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A1747">
      <w:pPr>
        <w:spacing w:line="800" w:lineRule="exact"/>
        <w:jc w:val="both"/>
        <w:rPr>
          <w:rFonts w:eastAsia="方正小标宋简体"/>
          <w:bCs/>
          <w:sz w:val="46"/>
          <w:szCs w:val="46"/>
        </w:rPr>
      </w:pPr>
      <w:bookmarkStart w:id="0" w:name="_GoBack"/>
      <w:bookmarkEnd w:id="0"/>
    </w:p>
    <w:p w14:paraId="1860C726">
      <w:pPr>
        <w:spacing w:line="800" w:lineRule="exact"/>
        <w:jc w:val="both"/>
        <w:rPr>
          <w:rFonts w:eastAsia="方正小标宋简体"/>
          <w:bCs/>
          <w:sz w:val="46"/>
          <w:szCs w:val="46"/>
        </w:rPr>
      </w:pPr>
    </w:p>
    <w:p w14:paraId="76B91DC1">
      <w:pPr>
        <w:spacing w:line="800" w:lineRule="exact"/>
        <w:jc w:val="center"/>
        <w:rPr>
          <w:rFonts w:eastAsia="方正小标宋简体"/>
          <w:bCs/>
          <w:sz w:val="46"/>
          <w:szCs w:val="46"/>
        </w:rPr>
      </w:pPr>
      <w:r>
        <w:rPr>
          <w:rFonts w:hint="eastAsia" w:eastAsia="方正小标宋简体"/>
          <w:bCs/>
          <w:sz w:val="46"/>
          <w:szCs w:val="46"/>
        </w:rPr>
        <w:t>湖南城陵矶新港区20</w:t>
      </w:r>
      <w:r>
        <w:rPr>
          <w:rFonts w:hint="eastAsia" w:eastAsia="方正小标宋简体"/>
          <w:bCs/>
          <w:sz w:val="46"/>
          <w:szCs w:val="46"/>
          <w:lang w:val="en-US" w:eastAsia="zh-CN"/>
        </w:rPr>
        <w:t>20</w:t>
      </w:r>
      <w:r>
        <w:rPr>
          <w:rFonts w:hint="eastAsia" w:eastAsia="方正小标宋简体"/>
          <w:bCs/>
          <w:sz w:val="46"/>
          <w:szCs w:val="46"/>
        </w:rPr>
        <w:t>年度部门</w:t>
      </w:r>
    </w:p>
    <w:p w14:paraId="29C716AA">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14:paraId="52E1B791">
      <w:pPr>
        <w:rPr>
          <w:rFonts w:eastAsia="仿宋_GB2312"/>
          <w:b/>
          <w:sz w:val="32"/>
        </w:rPr>
      </w:pPr>
    </w:p>
    <w:p w14:paraId="4CA02314">
      <w:pPr>
        <w:rPr>
          <w:rFonts w:eastAsia="仿宋_GB2312"/>
          <w:b/>
          <w:sz w:val="32"/>
        </w:rPr>
      </w:pPr>
    </w:p>
    <w:p w14:paraId="51F2FDA4">
      <w:pPr>
        <w:rPr>
          <w:rFonts w:eastAsia="仿宋_GB2312"/>
          <w:b/>
          <w:sz w:val="32"/>
        </w:rPr>
      </w:pPr>
    </w:p>
    <w:p w14:paraId="08762B2C">
      <w:pPr>
        <w:rPr>
          <w:rFonts w:eastAsia="仿宋_GB2312"/>
          <w:b/>
          <w:sz w:val="32"/>
        </w:rPr>
      </w:pPr>
    </w:p>
    <w:p w14:paraId="3B9E05C6">
      <w:pPr>
        <w:rPr>
          <w:rFonts w:eastAsia="仿宋_GB2312"/>
          <w:b/>
          <w:sz w:val="32"/>
        </w:rPr>
      </w:pPr>
    </w:p>
    <w:p w14:paraId="127A0B91">
      <w:pPr>
        <w:rPr>
          <w:rFonts w:eastAsia="仿宋_GB2312"/>
          <w:b/>
          <w:sz w:val="32"/>
        </w:rPr>
      </w:pPr>
    </w:p>
    <w:p w14:paraId="22423564">
      <w:pPr>
        <w:spacing w:beforeLines="50" w:line="348" w:lineRule="auto"/>
        <w:ind w:firstLine="640" w:firstLineChars="200"/>
        <w:rPr>
          <w:rFonts w:eastAsia="仿宋_GB2312"/>
          <w:sz w:val="32"/>
          <w:szCs w:val="32"/>
          <w:u w:val="single"/>
        </w:rPr>
      </w:pPr>
      <w:r>
        <w:rPr>
          <w:rFonts w:hint="eastAsia" w:eastAsia="仿宋_GB2312"/>
          <w:sz w:val="32"/>
          <w:szCs w:val="32"/>
        </w:rPr>
        <w:t>部门名称：</w:t>
      </w:r>
      <w:r>
        <w:rPr>
          <w:rFonts w:hint="eastAsia" w:eastAsia="仿宋_GB2312"/>
          <w:w w:val="90"/>
          <w:sz w:val="32"/>
          <w:szCs w:val="32"/>
          <w:u w:val="single"/>
        </w:rPr>
        <w:t xml:space="preserve">湖南城陵矶临港产业新区土地储备开发中心 </w:t>
      </w:r>
      <w:r>
        <w:rPr>
          <w:rFonts w:hint="eastAsia" w:eastAsia="仿宋_GB2312"/>
          <w:sz w:val="32"/>
          <w:szCs w:val="32"/>
          <w:u w:val="single"/>
        </w:rPr>
        <w:t xml:space="preserve">     </w:t>
      </w:r>
    </w:p>
    <w:p w14:paraId="64AB091A">
      <w:pPr>
        <w:spacing w:beforeLines="50" w:line="348" w:lineRule="auto"/>
        <w:ind w:firstLine="640" w:firstLineChars="200"/>
        <w:rPr>
          <w:rFonts w:eastAsia="仿宋_GB2312"/>
          <w:spacing w:val="20"/>
          <w:sz w:val="32"/>
          <w:szCs w:val="32"/>
        </w:rPr>
      </w:pPr>
      <w:r>
        <w:rPr>
          <w:rFonts w:hint="eastAsia" w:eastAsia="仿宋_GB2312"/>
          <w:sz w:val="32"/>
          <w:szCs w:val="32"/>
        </w:rPr>
        <w:t>预算编码</w:t>
      </w:r>
      <w:r>
        <w:rPr>
          <w:rFonts w:hint="eastAsia" w:eastAsia="仿宋_GB2312"/>
          <w:spacing w:val="30"/>
          <w:sz w:val="32"/>
          <w:szCs w:val="32"/>
        </w:rPr>
        <w:t>：</w:t>
      </w:r>
      <w:r>
        <w:rPr>
          <w:rFonts w:hint="eastAsia" w:eastAsia="仿宋_GB2312"/>
          <w:spacing w:val="20"/>
          <w:sz w:val="32"/>
          <w:szCs w:val="32"/>
          <w:u w:val="single"/>
        </w:rPr>
        <w:t xml:space="preserve">014001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14:paraId="5B762394">
      <w:pPr>
        <w:spacing w:beforeLines="50" w:line="348" w:lineRule="auto"/>
        <w:ind w:firstLine="640" w:firstLineChars="200"/>
        <w:rPr>
          <w:rFonts w:eastAsia="仿宋_GB2312"/>
          <w:sz w:val="32"/>
          <w:szCs w:val="32"/>
        </w:rPr>
      </w:pPr>
      <w:r>
        <w:rPr>
          <w:rFonts w:hint="eastAsia" w:eastAsia="仿宋_GB2312"/>
          <w:sz w:val="32"/>
          <w:szCs w:val="32"/>
        </w:rPr>
        <w:t>评价方式：部门（单位）绩效自评</w:t>
      </w:r>
    </w:p>
    <w:p w14:paraId="553AFCE0">
      <w:pPr>
        <w:spacing w:beforeLines="50" w:line="348" w:lineRule="auto"/>
        <w:ind w:firstLine="640" w:firstLineChars="200"/>
        <w:rPr>
          <w:rFonts w:eastAsia="仿宋_GB2312"/>
          <w:sz w:val="32"/>
          <w:szCs w:val="32"/>
        </w:rPr>
      </w:pPr>
      <w:r>
        <w:rPr>
          <w:rFonts w:hint="eastAsia" w:eastAsia="仿宋_GB2312"/>
          <w:sz w:val="32"/>
          <w:szCs w:val="32"/>
        </w:rPr>
        <w:t xml:space="preserve">评价机构：部门（单位）评价组   </w:t>
      </w:r>
    </w:p>
    <w:p w14:paraId="449DED5D">
      <w:pPr>
        <w:spacing w:line="720" w:lineRule="exact"/>
        <w:ind w:firstLine="2208" w:firstLineChars="690"/>
        <w:rPr>
          <w:rFonts w:eastAsia="仿宋_GB2312"/>
          <w:sz w:val="32"/>
        </w:rPr>
      </w:pPr>
    </w:p>
    <w:p w14:paraId="53AF0A33">
      <w:pPr>
        <w:spacing w:line="720" w:lineRule="exact"/>
        <w:ind w:firstLine="2208" w:firstLineChars="690"/>
        <w:rPr>
          <w:rFonts w:eastAsia="仿宋_GB2312"/>
          <w:sz w:val="32"/>
        </w:rPr>
      </w:pPr>
    </w:p>
    <w:p w14:paraId="378C43F7">
      <w:pPr>
        <w:spacing w:line="720" w:lineRule="exact"/>
        <w:ind w:firstLine="2208" w:firstLineChars="690"/>
        <w:rPr>
          <w:rFonts w:eastAsia="仿宋_GB2312"/>
          <w:sz w:val="32"/>
        </w:rPr>
      </w:pPr>
    </w:p>
    <w:p w14:paraId="405884D2">
      <w:pPr>
        <w:spacing w:line="720" w:lineRule="exact"/>
        <w:rPr>
          <w:rFonts w:eastAsia="仿宋_GB2312"/>
          <w:sz w:val="32"/>
        </w:rPr>
      </w:pPr>
    </w:p>
    <w:p w14:paraId="0C67D8DE">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年</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w:t>
      </w:r>
      <w:r>
        <w:rPr>
          <w:rFonts w:hint="eastAsia" w:eastAsia="仿宋_GB2312"/>
          <w:sz w:val="32"/>
        </w:rPr>
        <w:t>8日</w:t>
      </w:r>
    </w:p>
    <w:p w14:paraId="485F75B4">
      <w:pPr>
        <w:spacing w:line="348" w:lineRule="auto"/>
        <w:jc w:val="center"/>
        <w:rPr>
          <w:rFonts w:eastAsia="仿宋_GB2312"/>
          <w:sz w:val="32"/>
        </w:rPr>
      </w:pPr>
    </w:p>
    <w:tbl>
      <w:tblPr>
        <w:tblStyle w:val="6"/>
        <w:tblW w:w="96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59"/>
        <w:gridCol w:w="1080"/>
        <w:gridCol w:w="210"/>
        <w:gridCol w:w="1145"/>
        <w:gridCol w:w="272"/>
        <w:gridCol w:w="674"/>
        <w:gridCol w:w="1839"/>
        <w:gridCol w:w="64"/>
        <w:gridCol w:w="284"/>
        <w:gridCol w:w="789"/>
        <w:gridCol w:w="663"/>
        <w:gridCol w:w="139"/>
        <w:gridCol w:w="49"/>
        <w:gridCol w:w="770"/>
      </w:tblGrid>
      <w:tr w14:paraId="386C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14:paraId="26DE0CE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59F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14:paraId="07A2D62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1" w:type="dxa"/>
            <w:gridSpan w:val="3"/>
            <w:vAlign w:val="center"/>
          </w:tcPr>
          <w:p w14:paraId="4DA3A65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何四海</w:t>
            </w:r>
          </w:p>
        </w:tc>
        <w:tc>
          <w:tcPr>
            <w:tcW w:w="1903" w:type="dxa"/>
            <w:gridSpan w:val="2"/>
            <w:vAlign w:val="center"/>
          </w:tcPr>
          <w:p w14:paraId="4C07A9E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联络电话</w:t>
            </w:r>
          </w:p>
        </w:tc>
        <w:tc>
          <w:tcPr>
            <w:tcW w:w="2694" w:type="dxa"/>
            <w:gridSpan w:val="6"/>
            <w:vAlign w:val="center"/>
          </w:tcPr>
          <w:p w14:paraId="7EFB1E1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13607306543</w:t>
            </w:r>
          </w:p>
        </w:tc>
      </w:tr>
      <w:tr w14:paraId="100D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14:paraId="7D8F151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人员编制</w:t>
            </w:r>
          </w:p>
        </w:tc>
        <w:tc>
          <w:tcPr>
            <w:tcW w:w="2091" w:type="dxa"/>
            <w:gridSpan w:val="3"/>
            <w:vAlign w:val="center"/>
          </w:tcPr>
          <w:p w14:paraId="6B2DA4D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3人</w:t>
            </w:r>
          </w:p>
        </w:tc>
        <w:tc>
          <w:tcPr>
            <w:tcW w:w="1903" w:type="dxa"/>
            <w:gridSpan w:val="2"/>
            <w:vAlign w:val="center"/>
          </w:tcPr>
          <w:p w14:paraId="70CD2EA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实有人数</w:t>
            </w:r>
          </w:p>
        </w:tc>
        <w:tc>
          <w:tcPr>
            <w:tcW w:w="2694" w:type="dxa"/>
            <w:gridSpan w:val="6"/>
            <w:vAlign w:val="center"/>
          </w:tcPr>
          <w:p w14:paraId="3BF3608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人</w:t>
            </w:r>
          </w:p>
        </w:tc>
      </w:tr>
      <w:tr w14:paraId="2A62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7" w:hRule="atLeast"/>
        </w:trPr>
        <w:tc>
          <w:tcPr>
            <w:tcW w:w="2990" w:type="dxa"/>
            <w:gridSpan w:val="4"/>
            <w:vAlign w:val="center"/>
          </w:tcPr>
          <w:p w14:paraId="540CD3B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6688" w:type="dxa"/>
            <w:gridSpan w:val="11"/>
            <w:vAlign w:val="center"/>
          </w:tcPr>
          <w:p w14:paraId="57ABC656">
            <w:pPr>
              <w:autoSpaceDN w:val="0"/>
              <w:spacing w:line="320" w:lineRule="exact"/>
              <w:ind w:firstLine="360" w:firstLineChars="15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负责编制湖南城陵矶新港区规划范围内中长期土地储备规划和年度计划；负责辖区内土地收购、报批、储备和土地出让的前期工作；负责储备土地的管护、临时利用和前期开发；负责土地储备资金管理等工作。</w:t>
            </w:r>
          </w:p>
        </w:tc>
      </w:tr>
      <w:tr w14:paraId="78A2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5" w:hRule="atLeast"/>
        </w:trPr>
        <w:tc>
          <w:tcPr>
            <w:tcW w:w="2990" w:type="dxa"/>
            <w:gridSpan w:val="4"/>
            <w:vAlign w:val="center"/>
          </w:tcPr>
          <w:p w14:paraId="4FFDC40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14:paraId="3E64F25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6688" w:type="dxa"/>
            <w:gridSpan w:val="11"/>
            <w:vAlign w:val="center"/>
          </w:tcPr>
          <w:p w14:paraId="104C7C63">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bCs/>
                <w:color w:val="000000"/>
                <w:sz w:val="24"/>
                <w:szCs w:val="24"/>
              </w:rPr>
              <w:t>党的建设情况</w:t>
            </w:r>
          </w:p>
          <w:p w14:paraId="5876040B">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1、成立党的基层组织，提升党员凝集力。今年3月，经党工委批准，我中心成立了支部委员会，选举产生了支部委员会。既加强了党对业务工作的领导，同时也提升了中心党员的凝聚力。</w:t>
            </w:r>
          </w:p>
          <w:p w14:paraId="710F85EA">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展党建主题活动，增强党员使命感。今年5月，支部组织了全体党员及入党积极分子前往全国爱国主义教育基地-韶山、宁乡等地开展了“不忘初心，牢记使命”党建主题活动，通过此次活动让支部党员再次坚定了自身理想信念，增强了党员使命感。</w:t>
            </w:r>
          </w:p>
          <w:p w14:paraId="13119DF8">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抓好三会一课制度，提升支部战斗力。今年，支部分别召开9次支部委员会、3次党员大会、1次党课。迅速传达和学习了各项重要会议精神，学习的精神内容有：习近平总书记关于新冠肺炎疫情防控工作相关会议的讲话精神以及省委、市委有关疫情防控部署；常务副省长谢建辉同志《3月21日在城陵矶新港区调研座谈会上的讲话》、学习了《4月1日</w:t>
            </w:r>
            <w:r>
              <w:rPr>
                <w:rFonts w:hint="eastAsia" w:ascii="仿宋_GB2312" w:hAnsi="仿宋_GB2312" w:eastAsia="仿宋_GB2312" w:cs="仿宋_GB2312"/>
                <w:color w:val="000000"/>
                <w:sz w:val="24"/>
                <w:szCs w:val="24"/>
                <w:lang w:eastAsia="zh-CN"/>
              </w:rPr>
              <w:t>市委常委会会议</w:t>
            </w:r>
            <w:r>
              <w:rPr>
                <w:rFonts w:hint="eastAsia" w:ascii="仿宋_GB2312" w:hAnsi="仿宋_GB2312" w:eastAsia="仿宋_GB2312" w:cs="仿宋_GB2312"/>
                <w:color w:val="000000"/>
                <w:sz w:val="24"/>
                <w:szCs w:val="24"/>
              </w:rPr>
              <w:t>精神》、市委书记王一鸥同志《5月20日在城陵矶新港区调研时的讲话》、关于认真组织开展学习《湖南省加快产业园区市场化建设运营若干政策》、学习《中共湖南省委关于深入学习贯彻习近平总书记考察湖南重要讲话精神，奋力谱写新时代坚持和发展中国特色社会主义湖南新篇章的决定》。</w:t>
            </w:r>
          </w:p>
          <w:p w14:paraId="4DEB26E0">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二、</w:t>
            </w:r>
            <w:r>
              <w:rPr>
                <w:rFonts w:hint="eastAsia" w:ascii="仿宋_GB2312" w:hAnsi="仿宋_GB2312" w:eastAsia="仿宋_GB2312" w:cs="仿宋_GB2312"/>
                <w:b/>
                <w:bCs/>
                <w:color w:val="000000"/>
                <w:sz w:val="24"/>
                <w:szCs w:val="24"/>
              </w:rPr>
              <w:t>资金筹措与运用情况</w:t>
            </w:r>
          </w:p>
          <w:p w14:paraId="62E075FF">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1、通过向上积极争取，上半年从岳阳市城投集团公司争取到非港区规划范围内的用地报批主体资格，争取到了土地报批资金1亿元，为土地报批提供了一定的资金保障。</w:t>
            </w:r>
          </w:p>
          <w:p w14:paraId="6C15B9FA">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2、为了保障土地收储项目顺利推进，今年土地储备中心累计支付各类征拆、报批、土地开发等资金13.17亿元,强力推进土地征拆与报批工作。</w:t>
            </w:r>
          </w:p>
          <w:p w14:paraId="6BCDD840">
            <w:pPr>
              <w:autoSpaceDN w:val="0"/>
              <w:spacing w:line="320" w:lineRule="exact"/>
              <w:ind w:firstLine="480"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eastAsia="zh-CN"/>
              </w:rPr>
              <w:t>三、</w:t>
            </w:r>
            <w:r>
              <w:rPr>
                <w:rFonts w:hint="eastAsia" w:ascii="仿宋_GB2312" w:hAnsi="仿宋_GB2312" w:eastAsia="仿宋_GB2312" w:cs="仿宋_GB2312"/>
                <w:b/>
                <w:bCs/>
                <w:color w:val="000000"/>
                <w:sz w:val="24"/>
                <w:szCs w:val="24"/>
              </w:rPr>
              <w:t>建设用地报批情况</w:t>
            </w:r>
          </w:p>
          <w:p w14:paraId="46071C92">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1、咬紧年度目标，超额完成任务  今年由于新的土地管理法、以及新的空间用途管制的实施，明确征拆工作与用地报批工作同步上报审批，出现重大行政审批制度变革，用地报批工作量增加了一倍。我中心坚持以“确保2000亩、力争3000亩用地报批”为工作目标，截止12月31日，累计已完成省厅审批17个批次，合计3,760亩，占全年目标任务188%，已超额完成年度目标。</w:t>
            </w:r>
          </w:p>
          <w:p w14:paraId="2F19FAA0">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2、加强联动，争当排头兵  截止12月31日，累计已完成市城投集团岳阳临港创新产业园项目7个批次组卷进入省厅审批，合计1,620亩。目前，全市共完成用地报批7,250亩，全省完成50,430亩，我区占比全市52%，全市排名第一。</w:t>
            </w:r>
          </w:p>
          <w:p w14:paraId="3B8ED74D">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3、利用政策红利、努力降低报批成本  通过向省厅积极对接，我区全年用地报批全部使用省厅新增建设用地年度计划，购买耕地占补平衡指标采用“最低等级耕地+粮食产能+省厅最低限价+分期付款”方式，土地报批成本是近年来最低的。</w:t>
            </w:r>
          </w:p>
          <w:p w14:paraId="58ADD285">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四、</w:t>
            </w:r>
            <w:r>
              <w:rPr>
                <w:rFonts w:hint="eastAsia" w:ascii="仿宋_GB2312" w:hAnsi="仿宋_GB2312" w:eastAsia="仿宋_GB2312" w:cs="仿宋_GB2312"/>
                <w:b/>
                <w:bCs/>
                <w:color w:val="000000"/>
                <w:sz w:val="24"/>
                <w:szCs w:val="24"/>
              </w:rPr>
              <w:t>国有土地收储情况</w:t>
            </w:r>
          </w:p>
          <w:p w14:paraId="40EAE1E3">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1、基本完成阶段  为配合北环线建设，岳阳港建设，恒大项目、攀华项目落地，闲置用地处理等要求，对33个项目展开收储工作，其中华能二灰湖、恒泰雅园涉北环线地块、港建投八块闲置用地、原边检大楼等13个项目已全部完成.</w:t>
            </w:r>
          </w:p>
          <w:p w14:paraId="628A9310">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2、已签订协议阶段  海吉星北区、西区部分土地收储协议已签订，双方正在处理后续国土证分割事宜；金叶众望、宏岳科技、九鼎、税务局收储工作均已进入收尾阶段，对其地上附着物正在进行拆除，为后续净地挂牌扫清障碍。其中金叶众望、宏岳科技资产已完成拍卖，九鼎资产正在按流程进行第四轮拍卖，有效防范了工作风险，避免了国有资产流失。</w:t>
            </w:r>
          </w:p>
        </w:tc>
      </w:tr>
      <w:tr w14:paraId="28A5A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17" w:hRule="atLeast"/>
        </w:trPr>
        <w:tc>
          <w:tcPr>
            <w:tcW w:w="2990" w:type="dxa"/>
            <w:gridSpan w:val="4"/>
            <w:vAlign w:val="center"/>
          </w:tcPr>
          <w:p w14:paraId="66A9C6E2">
            <w:pPr>
              <w:autoSpaceDN w:val="0"/>
              <w:spacing w:line="320" w:lineRule="exact"/>
              <w:jc w:val="center"/>
              <w:textAlignment w:val="center"/>
              <w:rPr>
                <w:rFonts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6688" w:type="dxa"/>
            <w:gridSpan w:val="11"/>
            <w:vAlign w:val="center"/>
          </w:tcPr>
          <w:p w14:paraId="282A14B4">
            <w:pPr>
              <w:pStyle w:val="14"/>
              <w:numPr>
                <w:ilvl w:val="0"/>
                <w:numId w:val="0"/>
              </w:numPr>
              <w:ind w:firstLine="456" w:firstLineChars="200"/>
              <w:rPr>
                <w:rFonts w:ascii="仿宋_GB2312" w:hAnsi="宋体" w:eastAsia="仿宋_GB2312" w:cs="宋体"/>
                <w:spacing w:val="-6"/>
                <w:sz w:val="24"/>
                <w:szCs w:val="24"/>
              </w:rPr>
            </w:pPr>
            <w:r>
              <w:rPr>
                <w:rFonts w:hint="eastAsia" w:ascii="仿宋_GB2312" w:hAnsi="宋体" w:eastAsia="仿宋_GB2312" w:cs="宋体"/>
                <w:spacing w:val="-6"/>
                <w:sz w:val="24"/>
                <w:szCs w:val="24"/>
              </w:rPr>
              <w:t>2020年我中心坚持以紧密围绕党工委、管委会中心工作，全力服务港区发展大局为目标。全年举部门之力从党的建设、服务党工委重点工作、资金筹措与运用、建设用地报批、国有土地收储等多方面开展了工作。</w:t>
            </w:r>
          </w:p>
          <w:p w14:paraId="6F841419">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1、通过向上积极争取，上半年从岳阳市城投集团公司争取到非港区规划范围内的用地报批主体资格，争取到了土地报批资金1亿元，为土地报批提供了一定的资金保障。</w:t>
            </w:r>
          </w:p>
          <w:p w14:paraId="4627FF26">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2、为了保障土地收储项目顺利推进，今年土地储备中心累计支付各类征拆、报批、土地开发等资金13.17亿元,强力推进土地征拆与报批工作。</w:t>
            </w:r>
          </w:p>
          <w:p w14:paraId="13E1888A">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咬紧年度目标，超额完成任务  今年由于新的土地管理法、以及新的空间用途管制的实施，明确征拆工作与用地报批工作同步上报审批，出现重大行政审批制度变革，用地报批工作量增加了一倍。我中心坚持以“确保2000亩、力争3000亩用地报批”为工作目标，截止12月31日，累计已完成省厅审批17个批次，合计3,760亩，占全年目标任务188%，已超额完成年度目标。</w:t>
            </w:r>
          </w:p>
          <w:p w14:paraId="284D3807">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加强联动，争当排头兵  截止12月31日，累计已完成市城投集团岳阳临港创新产业园项目7个批次组卷进入省厅审批，合计1,620亩。目前，全市共完成用地报批7,250亩，全省完成50,430亩，我区占比全市52%，全市排名第一。</w:t>
            </w:r>
          </w:p>
          <w:p w14:paraId="54006162">
            <w:pPr>
              <w:autoSpaceDN w:val="0"/>
              <w:spacing w:line="320" w:lineRule="exact"/>
              <w:ind w:firstLine="480" w:firstLineChars="200"/>
              <w:jc w:val="left"/>
              <w:textAlignment w:val="center"/>
              <w:rPr>
                <w:rFonts w:ascii="仿宋_GB2312" w:hAnsi="宋体" w:eastAsia="仿宋_GB2312" w:cs="宋体"/>
                <w:spacing w:val="-6"/>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利用政策红利、努力降低报批成本  通过向省厅积极对接，我区全年用地报批全部使用省厅新增建设用地年度计划，购买耕地占补平衡指标采用“最低等级耕地+粮食产能+省厅最低限价+分期付款”方式，土地报批成本是近年来最低的。</w:t>
            </w:r>
          </w:p>
        </w:tc>
      </w:tr>
      <w:tr w14:paraId="65D7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14:paraId="0EDB1F39">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二、部门（单位）收支情况</w:t>
            </w:r>
          </w:p>
        </w:tc>
      </w:tr>
      <w:tr w14:paraId="038A2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14:paraId="23BAAC7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14:paraId="6243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Merge w:val="restart"/>
            <w:vAlign w:val="center"/>
          </w:tcPr>
          <w:p w14:paraId="4170FF1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080" w:type="dxa"/>
            <w:vMerge w:val="restart"/>
            <w:tcBorders>
              <w:right w:val="single" w:color="auto" w:sz="4" w:space="0"/>
            </w:tcBorders>
            <w:vAlign w:val="center"/>
          </w:tcPr>
          <w:p w14:paraId="13EE6A5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6898" w:type="dxa"/>
            <w:gridSpan w:val="12"/>
            <w:tcBorders>
              <w:left w:val="single" w:color="auto" w:sz="4" w:space="0"/>
            </w:tcBorders>
            <w:vAlign w:val="center"/>
          </w:tcPr>
          <w:p w14:paraId="1C15C6F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5A4B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trPr>
        <w:tc>
          <w:tcPr>
            <w:tcW w:w="1700" w:type="dxa"/>
            <w:gridSpan w:val="2"/>
            <w:vMerge w:val="continue"/>
            <w:vAlign w:val="center"/>
          </w:tcPr>
          <w:p w14:paraId="7614BCA8">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Merge w:val="continue"/>
            <w:tcBorders>
              <w:right w:val="single" w:color="auto" w:sz="4" w:space="0"/>
            </w:tcBorders>
            <w:vAlign w:val="center"/>
          </w:tcPr>
          <w:p w14:paraId="7DC168B1">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15358AF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946" w:type="dxa"/>
            <w:gridSpan w:val="2"/>
            <w:vAlign w:val="center"/>
          </w:tcPr>
          <w:p w14:paraId="4F24235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14:paraId="08F5E33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839" w:type="dxa"/>
            <w:vAlign w:val="center"/>
          </w:tcPr>
          <w:p w14:paraId="016C86C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vAlign w:val="center"/>
          </w:tcPr>
          <w:p w14:paraId="074F495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958" w:type="dxa"/>
            <w:gridSpan w:val="3"/>
            <w:vAlign w:val="center"/>
          </w:tcPr>
          <w:p w14:paraId="5B7C9E6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14:paraId="42C58B9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14:paraId="64EF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trPr>
        <w:tc>
          <w:tcPr>
            <w:tcW w:w="1700" w:type="dxa"/>
            <w:gridSpan w:val="2"/>
            <w:vAlign w:val="center"/>
          </w:tcPr>
          <w:p w14:paraId="3355F59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48C1D5B1">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27210</w:t>
            </w:r>
          </w:p>
        </w:tc>
        <w:tc>
          <w:tcPr>
            <w:tcW w:w="1355" w:type="dxa"/>
            <w:gridSpan w:val="2"/>
            <w:tcBorders>
              <w:left w:val="single" w:color="auto" w:sz="4" w:space="0"/>
            </w:tcBorders>
            <w:vAlign w:val="center"/>
          </w:tcPr>
          <w:p w14:paraId="325AE90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46" w:type="dxa"/>
            <w:gridSpan w:val="2"/>
            <w:vAlign w:val="center"/>
          </w:tcPr>
          <w:p w14:paraId="1B253489">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27210</w:t>
            </w:r>
          </w:p>
        </w:tc>
        <w:tc>
          <w:tcPr>
            <w:tcW w:w="1839" w:type="dxa"/>
            <w:vAlign w:val="center"/>
          </w:tcPr>
          <w:p w14:paraId="793B1B3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800" w:type="dxa"/>
            <w:gridSpan w:val="4"/>
            <w:vAlign w:val="center"/>
          </w:tcPr>
          <w:p w14:paraId="1B1C1F7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58" w:type="dxa"/>
            <w:gridSpan w:val="3"/>
            <w:vAlign w:val="center"/>
          </w:tcPr>
          <w:p w14:paraId="1CBD5CB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1BA18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14:paraId="6C60BE29">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661A76F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27210</w:t>
            </w:r>
          </w:p>
        </w:tc>
        <w:tc>
          <w:tcPr>
            <w:tcW w:w="1355" w:type="dxa"/>
            <w:gridSpan w:val="2"/>
            <w:tcBorders>
              <w:left w:val="single" w:color="auto" w:sz="4" w:space="0"/>
            </w:tcBorders>
            <w:vAlign w:val="center"/>
          </w:tcPr>
          <w:p w14:paraId="6247F8E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46" w:type="dxa"/>
            <w:gridSpan w:val="2"/>
            <w:vAlign w:val="center"/>
          </w:tcPr>
          <w:p w14:paraId="3764C4E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27210</w:t>
            </w:r>
          </w:p>
        </w:tc>
        <w:tc>
          <w:tcPr>
            <w:tcW w:w="1839" w:type="dxa"/>
            <w:vAlign w:val="center"/>
          </w:tcPr>
          <w:p w14:paraId="78D3293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800" w:type="dxa"/>
            <w:gridSpan w:val="4"/>
            <w:vAlign w:val="center"/>
          </w:tcPr>
          <w:p w14:paraId="464B054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58" w:type="dxa"/>
            <w:gridSpan w:val="3"/>
            <w:vAlign w:val="center"/>
          </w:tcPr>
          <w:p w14:paraId="69275A3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327C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14:paraId="61B25D12">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01A7DF8F">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66488CE0">
            <w:pPr>
              <w:autoSpaceDN w:val="0"/>
              <w:spacing w:line="320" w:lineRule="exact"/>
              <w:jc w:val="left"/>
              <w:textAlignment w:val="center"/>
              <w:rPr>
                <w:rFonts w:ascii="仿宋_GB2312" w:hAnsi="仿宋_GB2312" w:eastAsia="仿宋_GB2312" w:cs="仿宋_GB2312"/>
                <w:color w:val="000000"/>
                <w:sz w:val="24"/>
                <w:szCs w:val="24"/>
              </w:rPr>
            </w:pPr>
          </w:p>
        </w:tc>
        <w:tc>
          <w:tcPr>
            <w:tcW w:w="946" w:type="dxa"/>
            <w:gridSpan w:val="2"/>
            <w:vAlign w:val="center"/>
          </w:tcPr>
          <w:p w14:paraId="5C341E80">
            <w:pPr>
              <w:autoSpaceDN w:val="0"/>
              <w:spacing w:line="320" w:lineRule="exact"/>
              <w:jc w:val="left"/>
              <w:textAlignment w:val="center"/>
              <w:rPr>
                <w:rFonts w:ascii="仿宋_GB2312" w:hAnsi="仿宋_GB2312" w:eastAsia="仿宋_GB2312" w:cs="仿宋_GB2312"/>
                <w:color w:val="000000"/>
                <w:sz w:val="24"/>
                <w:szCs w:val="24"/>
              </w:rPr>
            </w:pPr>
          </w:p>
        </w:tc>
        <w:tc>
          <w:tcPr>
            <w:tcW w:w="1839" w:type="dxa"/>
            <w:vAlign w:val="center"/>
          </w:tcPr>
          <w:p w14:paraId="60F840AF">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497ECE81">
            <w:pPr>
              <w:autoSpaceDN w:val="0"/>
              <w:spacing w:line="320" w:lineRule="exact"/>
              <w:jc w:val="center"/>
              <w:textAlignment w:val="center"/>
              <w:rPr>
                <w:rFonts w:ascii="仿宋_GB2312" w:hAnsi="仿宋_GB2312" w:eastAsia="仿宋_GB2312" w:cs="仿宋_GB2312"/>
                <w:color w:val="000000"/>
                <w:sz w:val="24"/>
                <w:szCs w:val="24"/>
              </w:rPr>
            </w:pPr>
          </w:p>
        </w:tc>
        <w:tc>
          <w:tcPr>
            <w:tcW w:w="958" w:type="dxa"/>
            <w:gridSpan w:val="3"/>
            <w:vAlign w:val="center"/>
          </w:tcPr>
          <w:p w14:paraId="6AF6DF52">
            <w:pPr>
              <w:autoSpaceDN w:val="0"/>
              <w:spacing w:line="320" w:lineRule="exact"/>
              <w:jc w:val="left"/>
              <w:textAlignment w:val="center"/>
              <w:rPr>
                <w:rFonts w:ascii="仿宋_GB2312" w:hAnsi="仿宋_GB2312" w:eastAsia="仿宋_GB2312" w:cs="仿宋_GB2312"/>
                <w:color w:val="000000"/>
                <w:sz w:val="24"/>
                <w:szCs w:val="24"/>
              </w:rPr>
            </w:pPr>
          </w:p>
        </w:tc>
      </w:tr>
      <w:tr w14:paraId="76E2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14:paraId="09713990">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0FB4261C">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77F78D4C">
            <w:pPr>
              <w:autoSpaceDN w:val="0"/>
              <w:spacing w:line="320" w:lineRule="exact"/>
              <w:jc w:val="left"/>
              <w:textAlignment w:val="center"/>
              <w:rPr>
                <w:rFonts w:ascii="仿宋_GB2312" w:hAnsi="仿宋_GB2312" w:eastAsia="仿宋_GB2312" w:cs="仿宋_GB2312"/>
                <w:color w:val="000000"/>
                <w:sz w:val="24"/>
                <w:szCs w:val="24"/>
              </w:rPr>
            </w:pPr>
          </w:p>
        </w:tc>
        <w:tc>
          <w:tcPr>
            <w:tcW w:w="946" w:type="dxa"/>
            <w:gridSpan w:val="2"/>
            <w:vAlign w:val="center"/>
          </w:tcPr>
          <w:p w14:paraId="64301B1E">
            <w:pPr>
              <w:autoSpaceDN w:val="0"/>
              <w:spacing w:line="320" w:lineRule="exact"/>
              <w:jc w:val="left"/>
              <w:textAlignment w:val="center"/>
              <w:rPr>
                <w:rFonts w:ascii="仿宋_GB2312" w:hAnsi="仿宋_GB2312" w:eastAsia="仿宋_GB2312" w:cs="仿宋_GB2312"/>
                <w:color w:val="000000"/>
                <w:sz w:val="24"/>
                <w:szCs w:val="24"/>
              </w:rPr>
            </w:pPr>
          </w:p>
        </w:tc>
        <w:tc>
          <w:tcPr>
            <w:tcW w:w="1839" w:type="dxa"/>
            <w:vAlign w:val="center"/>
          </w:tcPr>
          <w:p w14:paraId="6C570273">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15B955B3">
            <w:pPr>
              <w:autoSpaceDN w:val="0"/>
              <w:spacing w:line="320" w:lineRule="exact"/>
              <w:jc w:val="center"/>
              <w:textAlignment w:val="center"/>
              <w:rPr>
                <w:rFonts w:ascii="仿宋_GB2312" w:hAnsi="仿宋_GB2312" w:eastAsia="仿宋_GB2312" w:cs="仿宋_GB2312"/>
                <w:color w:val="000000"/>
                <w:sz w:val="24"/>
                <w:szCs w:val="24"/>
              </w:rPr>
            </w:pPr>
          </w:p>
        </w:tc>
        <w:tc>
          <w:tcPr>
            <w:tcW w:w="958" w:type="dxa"/>
            <w:gridSpan w:val="3"/>
            <w:vAlign w:val="center"/>
          </w:tcPr>
          <w:p w14:paraId="6C9E9B4E">
            <w:pPr>
              <w:autoSpaceDN w:val="0"/>
              <w:spacing w:line="320" w:lineRule="exact"/>
              <w:jc w:val="left"/>
              <w:textAlignment w:val="center"/>
              <w:rPr>
                <w:rFonts w:ascii="仿宋_GB2312" w:hAnsi="仿宋_GB2312" w:eastAsia="仿宋_GB2312" w:cs="仿宋_GB2312"/>
                <w:color w:val="000000"/>
                <w:sz w:val="24"/>
                <w:szCs w:val="24"/>
              </w:rPr>
            </w:pPr>
          </w:p>
        </w:tc>
      </w:tr>
      <w:tr w14:paraId="7D70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9678" w:type="dxa"/>
            <w:gridSpan w:val="15"/>
            <w:vAlign w:val="center"/>
          </w:tcPr>
          <w:p w14:paraId="2AA5C82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    部门（单位）年度支出和结余情况（万元）</w:t>
            </w:r>
          </w:p>
        </w:tc>
      </w:tr>
      <w:tr w14:paraId="1FF4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14:paraId="4246DAA7">
            <w:pPr>
              <w:snapToGri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47475B9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277" w:type="dxa"/>
            <w:gridSpan w:val="8"/>
            <w:tcBorders>
              <w:left w:val="single" w:color="auto" w:sz="4" w:space="0"/>
              <w:bottom w:val="single" w:color="auto" w:sz="4" w:space="0"/>
              <w:right w:val="single" w:color="auto" w:sz="4" w:space="0"/>
            </w:tcBorders>
            <w:vAlign w:val="center"/>
          </w:tcPr>
          <w:p w14:paraId="6D64E86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621" w:type="dxa"/>
            <w:gridSpan w:val="4"/>
            <w:tcBorders>
              <w:left w:val="single" w:color="auto" w:sz="4" w:space="0"/>
              <w:bottom w:val="single" w:color="auto" w:sz="4" w:space="0"/>
            </w:tcBorders>
            <w:vAlign w:val="center"/>
          </w:tcPr>
          <w:p w14:paraId="309AB97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14:paraId="7D061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14:paraId="12C8E550">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1B0E6B0D">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vAlign w:val="center"/>
          </w:tcPr>
          <w:p w14:paraId="556F3CF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2849" w:type="dxa"/>
            <w:gridSpan w:val="4"/>
            <w:tcBorders>
              <w:top w:val="single" w:color="auto" w:sz="4" w:space="0"/>
            </w:tcBorders>
            <w:vAlign w:val="center"/>
          </w:tcPr>
          <w:p w14:paraId="434526E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73" w:type="dxa"/>
            <w:gridSpan w:val="2"/>
            <w:vMerge w:val="restart"/>
            <w:tcBorders>
              <w:top w:val="single" w:color="auto" w:sz="4" w:space="0"/>
              <w:right w:val="single" w:color="auto" w:sz="4" w:space="0"/>
            </w:tcBorders>
            <w:vAlign w:val="center"/>
          </w:tcPr>
          <w:p w14:paraId="1AE4DA4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851" w:type="dxa"/>
            <w:gridSpan w:val="3"/>
            <w:vMerge w:val="restart"/>
            <w:tcBorders>
              <w:top w:val="single" w:color="auto" w:sz="4" w:space="0"/>
              <w:left w:val="single" w:color="auto" w:sz="4" w:space="0"/>
              <w:right w:val="single" w:color="auto" w:sz="4" w:space="0"/>
            </w:tcBorders>
            <w:vAlign w:val="center"/>
          </w:tcPr>
          <w:p w14:paraId="28805DC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770" w:type="dxa"/>
            <w:vMerge w:val="restart"/>
            <w:tcBorders>
              <w:top w:val="single" w:color="auto" w:sz="4" w:space="0"/>
              <w:left w:val="single" w:color="auto" w:sz="4" w:space="0"/>
            </w:tcBorders>
            <w:vAlign w:val="center"/>
          </w:tcPr>
          <w:p w14:paraId="11E515B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14:paraId="6459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14:paraId="08970D58">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295770FE">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continue"/>
            <w:tcBorders>
              <w:left w:val="single" w:color="auto" w:sz="4" w:space="0"/>
            </w:tcBorders>
            <w:vAlign w:val="center"/>
          </w:tcPr>
          <w:p w14:paraId="27ECCC6D">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14:paraId="49BA9CF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1903" w:type="dxa"/>
            <w:gridSpan w:val="2"/>
            <w:vAlign w:val="center"/>
          </w:tcPr>
          <w:p w14:paraId="14AE91A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73" w:type="dxa"/>
            <w:gridSpan w:val="2"/>
            <w:vMerge w:val="continue"/>
            <w:tcBorders>
              <w:right w:val="single" w:color="auto" w:sz="4" w:space="0"/>
            </w:tcBorders>
            <w:vAlign w:val="center"/>
          </w:tcPr>
          <w:p w14:paraId="3746B95C">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vMerge w:val="continue"/>
            <w:tcBorders>
              <w:left w:val="single" w:color="auto" w:sz="4" w:space="0"/>
              <w:right w:val="single" w:color="auto" w:sz="4" w:space="0"/>
            </w:tcBorders>
            <w:vAlign w:val="center"/>
          </w:tcPr>
          <w:p w14:paraId="646349F7">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vMerge w:val="continue"/>
            <w:tcBorders>
              <w:left w:val="single" w:color="auto" w:sz="4" w:space="0"/>
            </w:tcBorders>
            <w:vAlign w:val="center"/>
          </w:tcPr>
          <w:p w14:paraId="43784473">
            <w:pPr>
              <w:autoSpaceDN w:val="0"/>
              <w:spacing w:line="320" w:lineRule="exact"/>
              <w:jc w:val="center"/>
              <w:textAlignment w:val="center"/>
              <w:rPr>
                <w:rFonts w:ascii="仿宋_GB2312" w:hAnsi="仿宋_GB2312" w:eastAsia="仿宋_GB2312" w:cs="仿宋_GB2312"/>
                <w:color w:val="000000"/>
                <w:sz w:val="24"/>
                <w:szCs w:val="24"/>
              </w:rPr>
            </w:pPr>
          </w:p>
        </w:tc>
      </w:tr>
      <w:tr w14:paraId="10CE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trPr>
        <w:tc>
          <w:tcPr>
            <w:tcW w:w="1700" w:type="dxa"/>
            <w:gridSpan w:val="2"/>
            <w:vAlign w:val="center"/>
          </w:tcPr>
          <w:p w14:paraId="4AC7FAF8">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02181106">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26633.15</w:t>
            </w:r>
          </w:p>
        </w:tc>
        <w:tc>
          <w:tcPr>
            <w:tcW w:w="1355" w:type="dxa"/>
            <w:gridSpan w:val="2"/>
            <w:tcBorders>
              <w:left w:val="single" w:color="auto" w:sz="4" w:space="0"/>
            </w:tcBorders>
            <w:vAlign w:val="center"/>
          </w:tcPr>
          <w:p w14:paraId="568C6E37">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104.38</w:t>
            </w:r>
          </w:p>
        </w:tc>
        <w:tc>
          <w:tcPr>
            <w:tcW w:w="946" w:type="dxa"/>
            <w:gridSpan w:val="2"/>
            <w:vAlign w:val="center"/>
          </w:tcPr>
          <w:p w14:paraId="46E65AEB">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104.38</w:t>
            </w:r>
          </w:p>
        </w:tc>
        <w:tc>
          <w:tcPr>
            <w:tcW w:w="1903" w:type="dxa"/>
            <w:gridSpan w:val="2"/>
            <w:vAlign w:val="center"/>
          </w:tcPr>
          <w:p w14:paraId="7A5DB911">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073" w:type="dxa"/>
            <w:gridSpan w:val="2"/>
            <w:vAlign w:val="center"/>
          </w:tcPr>
          <w:p w14:paraId="68B688A8">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26528.77</w:t>
            </w:r>
          </w:p>
        </w:tc>
        <w:tc>
          <w:tcPr>
            <w:tcW w:w="851" w:type="dxa"/>
            <w:gridSpan w:val="3"/>
            <w:tcBorders>
              <w:right w:val="single" w:color="auto" w:sz="4" w:space="0"/>
            </w:tcBorders>
            <w:vAlign w:val="center"/>
          </w:tcPr>
          <w:p w14:paraId="5CDF9533">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576.85</w:t>
            </w:r>
          </w:p>
        </w:tc>
        <w:tc>
          <w:tcPr>
            <w:tcW w:w="770" w:type="dxa"/>
            <w:tcBorders>
              <w:left w:val="single" w:color="auto" w:sz="4" w:space="0"/>
            </w:tcBorders>
            <w:vAlign w:val="center"/>
          </w:tcPr>
          <w:p w14:paraId="198F73AB">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576.85</w:t>
            </w:r>
          </w:p>
        </w:tc>
      </w:tr>
      <w:tr w14:paraId="00E6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9" w:hRule="atLeast"/>
        </w:trPr>
        <w:tc>
          <w:tcPr>
            <w:tcW w:w="1700" w:type="dxa"/>
            <w:gridSpan w:val="2"/>
            <w:vAlign w:val="center"/>
          </w:tcPr>
          <w:p w14:paraId="49C95324">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6348FEB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26633.15</w:t>
            </w:r>
          </w:p>
        </w:tc>
        <w:tc>
          <w:tcPr>
            <w:tcW w:w="1355" w:type="dxa"/>
            <w:gridSpan w:val="2"/>
            <w:tcBorders>
              <w:left w:val="single" w:color="auto" w:sz="4" w:space="0"/>
            </w:tcBorders>
            <w:vAlign w:val="center"/>
          </w:tcPr>
          <w:p w14:paraId="67DC073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104.38</w:t>
            </w:r>
          </w:p>
        </w:tc>
        <w:tc>
          <w:tcPr>
            <w:tcW w:w="946" w:type="dxa"/>
            <w:gridSpan w:val="2"/>
            <w:vAlign w:val="center"/>
          </w:tcPr>
          <w:p w14:paraId="713920B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104.38</w:t>
            </w:r>
          </w:p>
        </w:tc>
        <w:tc>
          <w:tcPr>
            <w:tcW w:w="1903" w:type="dxa"/>
            <w:gridSpan w:val="2"/>
            <w:vAlign w:val="center"/>
          </w:tcPr>
          <w:p w14:paraId="552E0BCA">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14:paraId="3E111D1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26528.77</w:t>
            </w:r>
          </w:p>
        </w:tc>
        <w:tc>
          <w:tcPr>
            <w:tcW w:w="851" w:type="dxa"/>
            <w:gridSpan w:val="3"/>
            <w:tcBorders>
              <w:right w:val="single" w:color="auto" w:sz="4" w:space="0"/>
            </w:tcBorders>
            <w:vAlign w:val="center"/>
          </w:tcPr>
          <w:p w14:paraId="1931B66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576.85</w:t>
            </w:r>
          </w:p>
        </w:tc>
        <w:tc>
          <w:tcPr>
            <w:tcW w:w="770" w:type="dxa"/>
            <w:tcBorders>
              <w:left w:val="single" w:color="auto" w:sz="4" w:space="0"/>
            </w:tcBorders>
            <w:vAlign w:val="center"/>
          </w:tcPr>
          <w:p w14:paraId="4F9E6BF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576.85</w:t>
            </w:r>
          </w:p>
        </w:tc>
      </w:tr>
      <w:tr w14:paraId="5C26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33226212">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40321E1E">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A84A03C">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14:paraId="12FFA4E9">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14:paraId="4E638A6E">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14:paraId="21EDD4C9">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tcBorders>
              <w:right w:val="single" w:color="auto" w:sz="4" w:space="0"/>
            </w:tcBorders>
            <w:vAlign w:val="center"/>
          </w:tcPr>
          <w:p w14:paraId="30F38227">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tcBorders>
              <w:left w:val="single" w:color="auto" w:sz="4" w:space="0"/>
            </w:tcBorders>
            <w:vAlign w:val="center"/>
          </w:tcPr>
          <w:p w14:paraId="5356645D">
            <w:pPr>
              <w:autoSpaceDN w:val="0"/>
              <w:spacing w:line="320" w:lineRule="exact"/>
              <w:jc w:val="center"/>
              <w:textAlignment w:val="center"/>
              <w:rPr>
                <w:rFonts w:ascii="仿宋_GB2312" w:hAnsi="仿宋_GB2312" w:eastAsia="仿宋_GB2312" w:cs="仿宋_GB2312"/>
                <w:color w:val="000000"/>
                <w:sz w:val="24"/>
                <w:szCs w:val="24"/>
              </w:rPr>
            </w:pPr>
          </w:p>
        </w:tc>
      </w:tr>
      <w:tr w14:paraId="302B0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78E5C249">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79E2A122">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1897D9C7">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14:paraId="740C1054">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14:paraId="0C238A7D">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14:paraId="4CD38A56">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tcBorders>
              <w:right w:val="single" w:color="auto" w:sz="4" w:space="0"/>
            </w:tcBorders>
            <w:vAlign w:val="center"/>
          </w:tcPr>
          <w:p w14:paraId="5E80DD4D">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tcBorders>
              <w:left w:val="single" w:color="auto" w:sz="4" w:space="0"/>
            </w:tcBorders>
            <w:vAlign w:val="center"/>
          </w:tcPr>
          <w:p w14:paraId="62F42DC5">
            <w:pPr>
              <w:autoSpaceDN w:val="0"/>
              <w:spacing w:line="320" w:lineRule="exact"/>
              <w:jc w:val="center"/>
              <w:textAlignment w:val="center"/>
              <w:rPr>
                <w:rFonts w:ascii="仿宋_GB2312" w:hAnsi="仿宋_GB2312" w:eastAsia="仿宋_GB2312" w:cs="仿宋_GB2312"/>
                <w:color w:val="000000"/>
                <w:sz w:val="24"/>
                <w:szCs w:val="24"/>
              </w:rPr>
            </w:pPr>
          </w:p>
        </w:tc>
      </w:tr>
      <w:tr w14:paraId="3043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14:paraId="0234CD70">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0DF3910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14:paraId="3484E08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898" w:type="dxa"/>
            <w:gridSpan w:val="12"/>
            <w:tcBorders>
              <w:left w:val="single" w:color="auto" w:sz="4" w:space="0"/>
            </w:tcBorders>
            <w:vAlign w:val="center"/>
          </w:tcPr>
          <w:p w14:paraId="133332B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7691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14:paraId="6E8504B5">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089F4637">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9E2A23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946" w:type="dxa"/>
            <w:gridSpan w:val="2"/>
            <w:vAlign w:val="center"/>
          </w:tcPr>
          <w:p w14:paraId="59063F8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1903" w:type="dxa"/>
            <w:gridSpan w:val="2"/>
            <w:vAlign w:val="center"/>
          </w:tcPr>
          <w:p w14:paraId="6418662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694" w:type="dxa"/>
            <w:gridSpan w:val="6"/>
            <w:vAlign w:val="center"/>
          </w:tcPr>
          <w:p w14:paraId="01F9757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14:paraId="0393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trPr>
        <w:tc>
          <w:tcPr>
            <w:tcW w:w="1700" w:type="dxa"/>
            <w:gridSpan w:val="2"/>
            <w:vAlign w:val="center"/>
          </w:tcPr>
          <w:p w14:paraId="789E1E9F">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6C0FE98A">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1355" w:type="dxa"/>
            <w:gridSpan w:val="2"/>
            <w:tcBorders>
              <w:left w:val="single" w:color="auto" w:sz="4" w:space="0"/>
            </w:tcBorders>
            <w:vAlign w:val="center"/>
          </w:tcPr>
          <w:p w14:paraId="4BCD7E75">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946" w:type="dxa"/>
            <w:gridSpan w:val="2"/>
            <w:vAlign w:val="center"/>
          </w:tcPr>
          <w:p w14:paraId="5A0149C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903" w:type="dxa"/>
            <w:gridSpan w:val="2"/>
            <w:vAlign w:val="center"/>
          </w:tcPr>
          <w:p w14:paraId="59C30E4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694" w:type="dxa"/>
            <w:gridSpan w:val="6"/>
            <w:vAlign w:val="center"/>
          </w:tcPr>
          <w:p w14:paraId="7E56AB7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62A81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38A3665A">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7315E6ED">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1355" w:type="dxa"/>
            <w:gridSpan w:val="2"/>
            <w:tcBorders>
              <w:left w:val="single" w:color="auto" w:sz="4" w:space="0"/>
            </w:tcBorders>
            <w:vAlign w:val="center"/>
          </w:tcPr>
          <w:p w14:paraId="743B3CCB">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946" w:type="dxa"/>
            <w:gridSpan w:val="2"/>
            <w:vAlign w:val="center"/>
          </w:tcPr>
          <w:p w14:paraId="677B4FE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903" w:type="dxa"/>
            <w:gridSpan w:val="2"/>
            <w:vAlign w:val="center"/>
          </w:tcPr>
          <w:p w14:paraId="60A23D4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694" w:type="dxa"/>
            <w:gridSpan w:val="6"/>
            <w:vAlign w:val="center"/>
          </w:tcPr>
          <w:p w14:paraId="122399E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5939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260D9283">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76295D95">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E85B200">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14:paraId="35311DA0">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14:paraId="3FA6AE78">
            <w:pPr>
              <w:autoSpaceDN w:val="0"/>
              <w:spacing w:line="320" w:lineRule="exact"/>
              <w:jc w:val="center"/>
              <w:textAlignment w:val="center"/>
              <w:rPr>
                <w:rFonts w:ascii="仿宋_GB2312" w:hAnsi="仿宋_GB2312" w:eastAsia="仿宋_GB2312" w:cs="仿宋_GB2312"/>
                <w:color w:val="000000"/>
                <w:sz w:val="24"/>
                <w:szCs w:val="24"/>
              </w:rPr>
            </w:pPr>
          </w:p>
        </w:tc>
        <w:tc>
          <w:tcPr>
            <w:tcW w:w="2694" w:type="dxa"/>
            <w:gridSpan w:val="6"/>
            <w:vAlign w:val="center"/>
          </w:tcPr>
          <w:p w14:paraId="6CD09338">
            <w:pPr>
              <w:autoSpaceDN w:val="0"/>
              <w:spacing w:line="320" w:lineRule="exact"/>
              <w:jc w:val="center"/>
              <w:textAlignment w:val="center"/>
              <w:rPr>
                <w:rFonts w:ascii="仿宋_GB2312" w:hAnsi="仿宋_GB2312" w:eastAsia="仿宋_GB2312" w:cs="仿宋_GB2312"/>
                <w:color w:val="000000"/>
                <w:sz w:val="24"/>
                <w:szCs w:val="24"/>
              </w:rPr>
            </w:pPr>
          </w:p>
        </w:tc>
      </w:tr>
      <w:tr w14:paraId="7DF2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525602EC">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2CC2FF93">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5E5D46A5">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14:paraId="29AC853B">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14:paraId="2E04A67D">
            <w:pPr>
              <w:autoSpaceDN w:val="0"/>
              <w:spacing w:line="320" w:lineRule="exact"/>
              <w:jc w:val="center"/>
              <w:textAlignment w:val="center"/>
              <w:rPr>
                <w:rFonts w:ascii="仿宋_GB2312" w:hAnsi="仿宋_GB2312" w:eastAsia="仿宋_GB2312" w:cs="仿宋_GB2312"/>
                <w:color w:val="000000"/>
                <w:sz w:val="24"/>
                <w:szCs w:val="24"/>
              </w:rPr>
            </w:pPr>
          </w:p>
        </w:tc>
        <w:tc>
          <w:tcPr>
            <w:tcW w:w="2694" w:type="dxa"/>
            <w:gridSpan w:val="6"/>
            <w:vAlign w:val="center"/>
          </w:tcPr>
          <w:p w14:paraId="4120008A">
            <w:pPr>
              <w:autoSpaceDN w:val="0"/>
              <w:spacing w:line="320" w:lineRule="exact"/>
              <w:jc w:val="center"/>
              <w:textAlignment w:val="center"/>
              <w:rPr>
                <w:rFonts w:ascii="仿宋_GB2312" w:hAnsi="仿宋_GB2312" w:eastAsia="仿宋_GB2312" w:cs="仿宋_GB2312"/>
                <w:color w:val="000000"/>
                <w:sz w:val="24"/>
                <w:szCs w:val="24"/>
              </w:rPr>
            </w:pPr>
          </w:p>
        </w:tc>
      </w:tr>
      <w:tr w14:paraId="6CE3B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14:paraId="632C0EE3">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3CD4E50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14:paraId="2921973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0"/>
            <w:tcBorders>
              <w:left w:val="single" w:color="auto" w:sz="4" w:space="0"/>
              <w:right w:val="single" w:color="auto" w:sz="4" w:space="0"/>
            </w:tcBorders>
            <w:vAlign w:val="center"/>
          </w:tcPr>
          <w:p w14:paraId="162C7E9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819" w:type="dxa"/>
            <w:gridSpan w:val="2"/>
            <w:vMerge w:val="restart"/>
            <w:tcBorders>
              <w:left w:val="single" w:color="auto" w:sz="4" w:space="0"/>
            </w:tcBorders>
            <w:vAlign w:val="center"/>
          </w:tcPr>
          <w:p w14:paraId="14B91D5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14:paraId="1109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14:paraId="7F6688B8">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25DA4D9B">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14:paraId="0313390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778" w:type="dxa"/>
            <w:gridSpan w:val="6"/>
            <w:tcBorders>
              <w:right w:val="single" w:color="auto" w:sz="4" w:space="0"/>
            </w:tcBorders>
            <w:vAlign w:val="center"/>
          </w:tcPr>
          <w:p w14:paraId="5978270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819" w:type="dxa"/>
            <w:gridSpan w:val="2"/>
            <w:vMerge w:val="continue"/>
            <w:tcBorders>
              <w:left w:val="single" w:color="auto" w:sz="4" w:space="0"/>
            </w:tcBorders>
            <w:vAlign w:val="center"/>
          </w:tcPr>
          <w:p w14:paraId="02B12980">
            <w:pPr>
              <w:autoSpaceDN w:val="0"/>
              <w:spacing w:line="320" w:lineRule="exact"/>
              <w:jc w:val="center"/>
              <w:textAlignment w:val="center"/>
              <w:rPr>
                <w:rFonts w:ascii="仿宋_GB2312" w:hAnsi="仿宋_GB2312" w:eastAsia="仿宋_GB2312" w:cs="仿宋_GB2312"/>
                <w:color w:val="000000"/>
                <w:sz w:val="24"/>
                <w:szCs w:val="24"/>
              </w:rPr>
            </w:pPr>
          </w:p>
        </w:tc>
      </w:tr>
      <w:tr w14:paraId="08BF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trPr>
        <w:tc>
          <w:tcPr>
            <w:tcW w:w="1700" w:type="dxa"/>
            <w:gridSpan w:val="2"/>
            <w:vAlign w:val="center"/>
          </w:tcPr>
          <w:p w14:paraId="6B92FD0E">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3468CC5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301" w:type="dxa"/>
            <w:gridSpan w:val="4"/>
            <w:tcBorders>
              <w:left w:val="single" w:color="auto" w:sz="4" w:space="0"/>
            </w:tcBorders>
            <w:vAlign w:val="center"/>
          </w:tcPr>
          <w:p w14:paraId="49ABB42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778" w:type="dxa"/>
            <w:gridSpan w:val="6"/>
            <w:vAlign w:val="center"/>
          </w:tcPr>
          <w:p w14:paraId="516CD9A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819" w:type="dxa"/>
            <w:gridSpan w:val="2"/>
            <w:vAlign w:val="center"/>
          </w:tcPr>
          <w:p w14:paraId="455B2D1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4098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2EE9F793">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5B1A9E2C">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14:paraId="70F33A32">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14:paraId="6BABA3FB">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14:paraId="4B96927B">
            <w:pPr>
              <w:autoSpaceDN w:val="0"/>
              <w:spacing w:line="320" w:lineRule="exact"/>
              <w:jc w:val="center"/>
              <w:textAlignment w:val="center"/>
              <w:rPr>
                <w:rFonts w:ascii="仿宋_GB2312" w:hAnsi="仿宋_GB2312" w:eastAsia="仿宋_GB2312" w:cs="仿宋_GB2312"/>
                <w:color w:val="000000"/>
                <w:sz w:val="24"/>
                <w:szCs w:val="24"/>
              </w:rPr>
            </w:pPr>
          </w:p>
        </w:tc>
      </w:tr>
      <w:tr w14:paraId="674F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59EA054E">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6E432E6E">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14:paraId="7278CED0">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14:paraId="33C97D55">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14:paraId="282745E3">
            <w:pPr>
              <w:autoSpaceDN w:val="0"/>
              <w:spacing w:line="320" w:lineRule="exact"/>
              <w:jc w:val="center"/>
              <w:textAlignment w:val="center"/>
              <w:rPr>
                <w:rFonts w:ascii="仿宋_GB2312" w:hAnsi="仿宋_GB2312" w:eastAsia="仿宋_GB2312" w:cs="仿宋_GB2312"/>
                <w:color w:val="000000"/>
                <w:sz w:val="24"/>
                <w:szCs w:val="24"/>
              </w:rPr>
            </w:pPr>
          </w:p>
        </w:tc>
      </w:tr>
      <w:tr w14:paraId="29A9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14:paraId="181CCEB8">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5D63E648">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14:paraId="3524F4AE">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14:paraId="1DB0E430">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14:paraId="7DED59AA">
            <w:pPr>
              <w:autoSpaceDN w:val="0"/>
              <w:spacing w:line="320" w:lineRule="exact"/>
              <w:jc w:val="center"/>
              <w:textAlignment w:val="center"/>
              <w:rPr>
                <w:rFonts w:ascii="仿宋_GB2312" w:hAnsi="仿宋_GB2312" w:eastAsia="仿宋_GB2312" w:cs="仿宋_GB2312"/>
                <w:color w:val="000000"/>
                <w:sz w:val="24"/>
                <w:szCs w:val="24"/>
              </w:rPr>
            </w:pPr>
          </w:p>
        </w:tc>
      </w:tr>
      <w:tr w14:paraId="34BA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14:paraId="1D4AD8D2">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三、部门（单位）整体支出绩效自评情况</w:t>
            </w:r>
          </w:p>
        </w:tc>
      </w:tr>
      <w:tr w14:paraId="2971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14:paraId="7714A36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整体支出绩效定性目标及实施计划完成情况</w:t>
            </w:r>
          </w:p>
        </w:tc>
        <w:tc>
          <w:tcPr>
            <w:tcW w:w="3640" w:type="dxa"/>
            <w:gridSpan w:val="6"/>
            <w:vAlign w:val="center"/>
          </w:tcPr>
          <w:p w14:paraId="536EEFC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预期目标</w:t>
            </w:r>
          </w:p>
        </w:tc>
        <w:tc>
          <w:tcPr>
            <w:tcW w:w="4597" w:type="dxa"/>
            <w:gridSpan w:val="8"/>
            <w:vAlign w:val="center"/>
          </w:tcPr>
          <w:p w14:paraId="349277E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实际完成</w:t>
            </w:r>
          </w:p>
        </w:tc>
      </w:tr>
      <w:tr w14:paraId="6735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trPr>
        <w:tc>
          <w:tcPr>
            <w:tcW w:w="1441" w:type="dxa"/>
            <w:vMerge w:val="continue"/>
            <w:vAlign w:val="center"/>
          </w:tcPr>
          <w:p w14:paraId="259804F7">
            <w:pPr>
              <w:spacing w:line="320" w:lineRule="exact"/>
              <w:rPr>
                <w:rFonts w:ascii="仿宋_GB2312" w:hAnsi="仿宋_GB2312" w:eastAsia="仿宋_GB2312" w:cs="仿宋_GB2312"/>
                <w:sz w:val="24"/>
                <w:szCs w:val="24"/>
              </w:rPr>
            </w:pPr>
          </w:p>
        </w:tc>
        <w:tc>
          <w:tcPr>
            <w:tcW w:w="3640" w:type="dxa"/>
            <w:gridSpan w:val="6"/>
            <w:vAlign w:val="center"/>
          </w:tcPr>
          <w:p w14:paraId="7C087ADC">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1、完成年度土地储备计划的编制；</w:t>
            </w:r>
          </w:p>
          <w:p w14:paraId="3FE82544">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2、承担临港产业新区范围内分批次征用储备土地的具体事务；</w:t>
            </w:r>
          </w:p>
          <w:p w14:paraId="225D330E">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3、对收回的存量土地实施储备、管理，建好土地储备库；</w:t>
            </w:r>
          </w:p>
          <w:p w14:paraId="6E15F3DE">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4、向管委会提供储备土地与土地开发的有关情况</w:t>
            </w:r>
          </w:p>
        </w:tc>
        <w:tc>
          <w:tcPr>
            <w:tcW w:w="4597" w:type="dxa"/>
            <w:gridSpan w:val="8"/>
            <w:vAlign w:val="center"/>
          </w:tcPr>
          <w:p w14:paraId="1E431B7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均已按照年初党工委、管委会要求完成</w:t>
            </w:r>
          </w:p>
        </w:tc>
      </w:tr>
      <w:tr w14:paraId="15E6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14:paraId="2F33110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14:paraId="0380560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5"/>
            <w:vAlign w:val="center"/>
          </w:tcPr>
          <w:p w14:paraId="073A9FE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861" w:type="dxa"/>
            <w:gridSpan w:val="4"/>
            <w:vAlign w:val="center"/>
          </w:tcPr>
          <w:p w14:paraId="43048D3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410" w:type="dxa"/>
            <w:gridSpan w:val="5"/>
            <w:vAlign w:val="center"/>
          </w:tcPr>
          <w:p w14:paraId="51782BA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14:paraId="4B908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1D31A12E">
            <w:pPr>
              <w:spacing w:line="320" w:lineRule="exact"/>
              <w:rPr>
                <w:rFonts w:ascii="仿宋_GB2312" w:hAnsi="仿宋_GB2312" w:eastAsia="仿宋_GB2312" w:cs="仿宋_GB2312"/>
                <w:sz w:val="24"/>
                <w:szCs w:val="24"/>
              </w:rPr>
            </w:pPr>
          </w:p>
        </w:tc>
        <w:tc>
          <w:tcPr>
            <w:tcW w:w="1549" w:type="dxa"/>
            <w:gridSpan w:val="3"/>
            <w:vMerge w:val="restart"/>
            <w:vAlign w:val="center"/>
          </w:tcPr>
          <w:p w14:paraId="1AF96E5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14:paraId="342B6E4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Align w:val="center"/>
          </w:tcPr>
          <w:p w14:paraId="38E104D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861" w:type="dxa"/>
            <w:gridSpan w:val="4"/>
            <w:vAlign w:val="center"/>
          </w:tcPr>
          <w:p w14:paraId="063523AB">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指标：商业地块履约保证金100%收缴到位</w:t>
            </w:r>
          </w:p>
        </w:tc>
        <w:tc>
          <w:tcPr>
            <w:tcW w:w="2410" w:type="dxa"/>
            <w:gridSpan w:val="5"/>
            <w:vAlign w:val="center"/>
          </w:tcPr>
          <w:p w14:paraId="5050EEA7">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03448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362624BC">
            <w:pPr>
              <w:spacing w:line="320" w:lineRule="exact"/>
              <w:rPr>
                <w:rFonts w:ascii="仿宋_GB2312" w:hAnsi="仿宋_GB2312" w:eastAsia="仿宋_GB2312" w:cs="仿宋_GB2312"/>
                <w:sz w:val="24"/>
                <w:szCs w:val="24"/>
              </w:rPr>
            </w:pPr>
          </w:p>
        </w:tc>
        <w:tc>
          <w:tcPr>
            <w:tcW w:w="1549" w:type="dxa"/>
            <w:gridSpan w:val="3"/>
            <w:vMerge w:val="continue"/>
            <w:vAlign w:val="center"/>
          </w:tcPr>
          <w:p w14:paraId="43524374">
            <w:pPr>
              <w:autoSpaceDN w:val="0"/>
              <w:spacing w:line="320" w:lineRule="exact"/>
              <w:rPr>
                <w:rFonts w:ascii="仿宋_GB2312" w:hAnsi="仿宋_GB2312" w:eastAsia="仿宋_GB2312" w:cs="仿宋_GB2312"/>
                <w:sz w:val="24"/>
                <w:szCs w:val="24"/>
              </w:rPr>
            </w:pPr>
          </w:p>
        </w:tc>
        <w:tc>
          <w:tcPr>
            <w:tcW w:w="1417" w:type="dxa"/>
            <w:gridSpan w:val="2"/>
            <w:vMerge w:val="restart"/>
            <w:vAlign w:val="center"/>
          </w:tcPr>
          <w:p w14:paraId="4083F5F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861" w:type="dxa"/>
            <w:gridSpan w:val="4"/>
            <w:vAlign w:val="center"/>
          </w:tcPr>
          <w:p w14:paraId="1A76B440">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指标1：保障土地储备资金</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亿元资金的到位；</w:t>
            </w:r>
          </w:p>
        </w:tc>
        <w:tc>
          <w:tcPr>
            <w:tcW w:w="2410" w:type="dxa"/>
            <w:gridSpan w:val="5"/>
            <w:vAlign w:val="center"/>
          </w:tcPr>
          <w:p w14:paraId="469C3B2F">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保障土地储备资金</w:t>
            </w:r>
            <w:r>
              <w:rPr>
                <w:rFonts w:hint="eastAsia" w:ascii="仿宋_GB2312" w:hAnsi="仿宋_GB2312" w:eastAsia="仿宋_GB2312" w:cs="仿宋_GB2312"/>
                <w:color w:val="000000"/>
                <w:sz w:val="24"/>
                <w:szCs w:val="24"/>
                <w:lang w:val="en-US" w:eastAsia="zh-CN"/>
              </w:rPr>
              <w:t>13.17</w:t>
            </w:r>
            <w:r>
              <w:rPr>
                <w:rFonts w:hint="eastAsia" w:ascii="仿宋_GB2312" w:hAnsi="仿宋_GB2312" w:eastAsia="仿宋_GB2312" w:cs="仿宋_GB2312"/>
                <w:color w:val="000000"/>
                <w:sz w:val="24"/>
                <w:szCs w:val="24"/>
              </w:rPr>
              <w:t>亿元资金的到位；</w:t>
            </w:r>
          </w:p>
        </w:tc>
      </w:tr>
      <w:tr w14:paraId="4EC3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14:paraId="326AC385">
            <w:pPr>
              <w:spacing w:line="320" w:lineRule="exact"/>
              <w:rPr>
                <w:rFonts w:ascii="仿宋_GB2312" w:hAnsi="仿宋_GB2312" w:eastAsia="仿宋_GB2312" w:cs="仿宋_GB2312"/>
                <w:sz w:val="24"/>
                <w:szCs w:val="24"/>
              </w:rPr>
            </w:pPr>
          </w:p>
        </w:tc>
        <w:tc>
          <w:tcPr>
            <w:tcW w:w="1549" w:type="dxa"/>
            <w:gridSpan w:val="3"/>
            <w:vMerge w:val="continue"/>
            <w:vAlign w:val="center"/>
          </w:tcPr>
          <w:p w14:paraId="1D734823">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0FBF67E9">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vAlign w:val="center"/>
          </w:tcPr>
          <w:p w14:paraId="08D5D422">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2000</w:t>
            </w:r>
            <w:r>
              <w:rPr>
                <w:rFonts w:hint="eastAsia" w:ascii="仿宋_GB2312" w:hAnsi="仿宋_GB2312" w:eastAsia="仿宋_GB2312" w:cs="仿宋_GB2312"/>
                <w:color w:val="000000"/>
                <w:sz w:val="24"/>
                <w:szCs w:val="24"/>
              </w:rPr>
              <w:t>亩；</w:t>
            </w:r>
          </w:p>
        </w:tc>
        <w:tc>
          <w:tcPr>
            <w:tcW w:w="2410" w:type="dxa"/>
            <w:gridSpan w:val="5"/>
            <w:vAlign w:val="center"/>
          </w:tcPr>
          <w:p w14:paraId="35699C40">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3760</w:t>
            </w:r>
            <w:r>
              <w:rPr>
                <w:rFonts w:hint="eastAsia" w:ascii="仿宋_GB2312" w:hAnsi="仿宋_GB2312" w:eastAsia="仿宋_GB2312" w:cs="仿宋_GB2312"/>
                <w:color w:val="000000"/>
                <w:sz w:val="24"/>
                <w:szCs w:val="24"/>
              </w:rPr>
              <w:t>亩；</w:t>
            </w:r>
          </w:p>
        </w:tc>
      </w:tr>
      <w:tr w14:paraId="2086E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6459524C">
            <w:pPr>
              <w:spacing w:line="320" w:lineRule="exact"/>
              <w:rPr>
                <w:rFonts w:ascii="仿宋_GB2312" w:hAnsi="仿宋_GB2312" w:eastAsia="仿宋_GB2312" w:cs="仿宋_GB2312"/>
                <w:sz w:val="24"/>
                <w:szCs w:val="24"/>
              </w:rPr>
            </w:pPr>
          </w:p>
        </w:tc>
        <w:tc>
          <w:tcPr>
            <w:tcW w:w="1549" w:type="dxa"/>
            <w:gridSpan w:val="3"/>
            <w:vMerge w:val="continue"/>
            <w:vAlign w:val="center"/>
          </w:tcPr>
          <w:p w14:paraId="4C4061B7">
            <w:pPr>
              <w:autoSpaceDN w:val="0"/>
              <w:spacing w:line="320" w:lineRule="exact"/>
              <w:rPr>
                <w:rFonts w:ascii="仿宋_GB2312" w:hAnsi="仿宋_GB2312" w:eastAsia="仿宋_GB2312" w:cs="仿宋_GB2312"/>
                <w:sz w:val="24"/>
                <w:szCs w:val="24"/>
              </w:rPr>
            </w:pPr>
          </w:p>
        </w:tc>
        <w:tc>
          <w:tcPr>
            <w:tcW w:w="1417" w:type="dxa"/>
            <w:gridSpan w:val="2"/>
            <w:vAlign w:val="center"/>
          </w:tcPr>
          <w:p w14:paraId="6806BAC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861" w:type="dxa"/>
            <w:gridSpan w:val="4"/>
            <w:vAlign w:val="center"/>
          </w:tcPr>
          <w:p w14:paraId="3913C5A1">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2020</w:t>
            </w:r>
            <w:r>
              <w:rPr>
                <w:rFonts w:hint="eastAsia" w:ascii="仿宋_GB2312" w:hAnsi="仿宋_GB2312" w:eastAsia="仿宋_GB2312" w:cs="仿宋_GB2312"/>
                <w:color w:val="000000"/>
                <w:sz w:val="24"/>
                <w:szCs w:val="24"/>
              </w:rPr>
              <w:t>年度内完成；</w:t>
            </w:r>
          </w:p>
        </w:tc>
        <w:tc>
          <w:tcPr>
            <w:tcW w:w="2410" w:type="dxa"/>
            <w:gridSpan w:val="5"/>
            <w:vAlign w:val="center"/>
          </w:tcPr>
          <w:p w14:paraId="282D1A29">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3BCF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7B88C372">
            <w:pPr>
              <w:spacing w:line="320" w:lineRule="exact"/>
              <w:rPr>
                <w:rFonts w:ascii="仿宋_GB2312" w:hAnsi="仿宋_GB2312" w:eastAsia="仿宋_GB2312" w:cs="仿宋_GB2312"/>
                <w:sz w:val="24"/>
                <w:szCs w:val="24"/>
              </w:rPr>
            </w:pPr>
          </w:p>
        </w:tc>
        <w:tc>
          <w:tcPr>
            <w:tcW w:w="1549" w:type="dxa"/>
            <w:gridSpan w:val="3"/>
            <w:vMerge w:val="continue"/>
            <w:vAlign w:val="center"/>
          </w:tcPr>
          <w:p w14:paraId="16ACEDC9">
            <w:pPr>
              <w:autoSpaceDN w:val="0"/>
              <w:spacing w:line="320" w:lineRule="exact"/>
              <w:rPr>
                <w:rFonts w:ascii="仿宋_GB2312" w:hAnsi="仿宋_GB2312" w:eastAsia="仿宋_GB2312" w:cs="仿宋_GB2312"/>
                <w:sz w:val="24"/>
                <w:szCs w:val="24"/>
              </w:rPr>
            </w:pPr>
          </w:p>
        </w:tc>
        <w:tc>
          <w:tcPr>
            <w:tcW w:w="1417" w:type="dxa"/>
            <w:gridSpan w:val="2"/>
            <w:vAlign w:val="center"/>
          </w:tcPr>
          <w:p w14:paraId="5904719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861" w:type="dxa"/>
            <w:gridSpan w:val="4"/>
            <w:vAlign w:val="center"/>
          </w:tcPr>
          <w:p w14:paraId="1C836EEA">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指标：严格控制预算开支；</w:t>
            </w:r>
          </w:p>
        </w:tc>
        <w:tc>
          <w:tcPr>
            <w:tcW w:w="2410" w:type="dxa"/>
            <w:gridSpan w:val="5"/>
            <w:vAlign w:val="center"/>
          </w:tcPr>
          <w:p w14:paraId="185E3B56">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3A4C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534A3739">
            <w:pPr>
              <w:spacing w:line="320" w:lineRule="exact"/>
              <w:rPr>
                <w:rFonts w:ascii="仿宋_GB2312" w:hAnsi="仿宋_GB2312" w:eastAsia="仿宋_GB2312" w:cs="仿宋_GB2312"/>
                <w:sz w:val="24"/>
                <w:szCs w:val="24"/>
              </w:rPr>
            </w:pPr>
          </w:p>
        </w:tc>
        <w:tc>
          <w:tcPr>
            <w:tcW w:w="1549" w:type="dxa"/>
            <w:gridSpan w:val="3"/>
            <w:vMerge w:val="restart"/>
            <w:vAlign w:val="center"/>
          </w:tcPr>
          <w:p w14:paraId="2D9F086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14:paraId="7EF5784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vAlign w:val="center"/>
          </w:tcPr>
          <w:p w14:paraId="75FF440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861" w:type="dxa"/>
            <w:gridSpan w:val="4"/>
            <w:vAlign w:val="center"/>
          </w:tcPr>
          <w:p w14:paraId="669CBEE1">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指标：规范土地使用、开发，保证储备土地升值；</w:t>
            </w:r>
          </w:p>
        </w:tc>
        <w:tc>
          <w:tcPr>
            <w:tcW w:w="2410" w:type="dxa"/>
            <w:gridSpan w:val="5"/>
            <w:vAlign w:val="center"/>
          </w:tcPr>
          <w:p w14:paraId="637BBEA2">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0E1B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14EA86F2">
            <w:pPr>
              <w:spacing w:line="320" w:lineRule="exact"/>
              <w:rPr>
                <w:rFonts w:ascii="仿宋_GB2312" w:hAnsi="仿宋_GB2312" w:eastAsia="仿宋_GB2312" w:cs="仿宋_GB2312"/>
                <w:sz w:val="24"/>
                <w:szCs w:val="24"/>
              </w:rPr>
            </w:pPr>
          </w:p>
        </w:tc>
        <w:tc>
          <w:tcPr>
            <w:tcW w:w="1549" w:type="dxa"/>
            <w:gridSpan w:val="3"/>
            <w:vMerge w:val="continue"/>
            <w:vAlign w:val="center"/>
          </w:tcPr>
          <w:p w14:paraId="4212B97E">
            <w:pPr>
              <w:autoSpaceDN w:val="0"/>
              <w:spacing w:line="320" w:lineRule="exact"/>
              <w:rPr>
                <w:rFonts w:ascii="仿宋_GB2312" w:hAnsi="仿宋_GB2312" w:eastAsia="仿宋_GB2312" w:cs="仿宋_GB2312"/>
                <w:sz w:val="24"/>
                <w:szCs w:val="24"/>
              </w:rPr>
            </w:pPr>
          </w:p>
        </w:tc>
        <w:tc>
          <w:tcPr>
            <w:tcW w:w="1417" w:type="dxa"/>
            <w:gridSpan w:val="2"/>
            <w:vAlign w:val="center"/>
          </w:tcPr>
          <w:p w14:paraId="28BE068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861" w:type="dxa"/>
            <w:gridSpan w:val="4"/>
            <w:vAlign w:val="center"/>
          </w:tcPr>
          <w:p w14:paraId="2382A14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指标：实现土地出让竞买保证金按评估地价的100%缴纳，保障土地收入入账；</w:t>
            </w:r>
          </w:p>
        </w:tc>
        <w:tc>
          <w:tcPr>
            <w:tcW w:w="2410" w:type="dxa"/>
            <w:gridSpan w:val="5"/>
            <w:vAlign w:val="center"/>
          </w:tcPr>
          <w:p w14:paraId="678DADD0">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1246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6F96810A">
            <w:pPr>
              <w:spacing w:line="320" w:lineRule="exact"/>
              <w:rPr>
                <w:rFonts w:ascii="仿宋_GB2312" w:hAnsi="仿宋_GB2312" w:eastAsia="仿宋_GB2312" w:cs="仿宋_GB2312"/>
                <w:sz w:val="24"/>
                <w:szCs w:val="24"/>
              </w:rPr>
            </w:pPr>
          </w:p>
        </w:tc>
        <w:tc>
          <w:tcPr>
            <w:tcW w:w="1549" w:type="dxa"/>
            <w:gridSpan w:val="3"/>
            <w:vMerge w:val="continue"/>
            <w:vAlign w:val="center"/>
          </w:tcPr>
          <w:p w14:paraId="7BA913D9">
            <w:pPr>
              <w:autoSpaceDN w:val="0"/>
              <w:spacing w:line="320" w:lineRule="exact"/>
              <w:rPr>
                <w:rFonts w:ascii="仿宋_GB2312" w:hAnsi="仿宋_GB2312" w:eastAsia="仿宋_GB2312" w:cs="仿宋_GB2312"/>
                <w:sz w:val="24"/>
                <w:szCs w:val="24"/>
              </w:rPr>
            </w:pPr>
          </w:p>
        </w:tc>
        <w:tc>
          <w:tcPr>
            <w:tcW w:w="1417" w:type="dxa"/>
            <w:gridSpan w:val="2"/>
            <w:vAlign w:val="center"/>
          </w:tcPr>
          <w:p w14:paraId="0494753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861" w:type="dxa"/>
            <w:gridSpan w:val="4"/>
            <w:vAlign w:val="center"/>
          </w:tcPr>
          <w:p w14:paraId="4173A732">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指标：支持新港区范围内生态保护建设；</w:t>
            </w:r>
          </w:p>
        </w:tc>
        <w:tc>
          <w:tcPr>
            <w:tcW w:w="2410" w:type="dxa"/>
            <w:gridSpan w:val="5"/>
            <w:vAlign w:val="center"/>
          </w:tcPr>
          <w:p w14:paraId="5899EC2D">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419A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14:paraId="64A383FD">
            <w:pPr>
              <w:spacing w:line="320" w:lineRule="exact"/>
              <w:rPr>
                <w:rFonts w:ascii="仿宋_GB2312" w:hAnsi="仿宋_GB2312" w:eastAsia="仿宋_GB2312" w:cs="仿宋_GB2312"/>
                <w:sz w:val="24"/>
                <w:szCs w:val="24"/>
              </w:rPr>
            </w:pPr>
          </w:p>
        </w:tc>
        <w:tc>
          <w:tcPr>
            <w:tcW w:w="1549" w:type="dxa"/>
            <w:gridSpan w:val="3"/>
            <w:vMerge w:val="continue"/>
            <w:vAlign w:val="center"/>
          </w:tcPr>
          <w:p w14:paraId="4AB33A30">
            <w:pPr>
              <w:autoSpaceDN w:val="0"/>
              <w:spacing w:line="320" w:lineRule="exact"/>
              <w:rPr>
                <w:rFonts w:ascii="仿宋_GB2312" w:hAnsi="仿宋_GB2312" w:eastAsia="仿宋_GB2312" w:cs="仿宋_GB2312"/>
                <w:sz w:val="24"/>
                <w:szCs w:val="24"/>
              </w:rPr>
            </w:pPr>
          </w:p>
        </w:tc>
        <w:tc>
          <w:tcPr>
            <w:tcW w:w="1417" w:type="dxa"/>
            <w:gridSpan w:val="2"/>
            <w:vAlign w:val="center"/>
          </w:tcPr>
          <w:p w14:paraId="6C569B6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861" w:type="dxa"/>
            <w:gridSpan w:val="4"/>
            <w:vAlign w:val="center"/>
          </w:tcPr>
          <w:p w14:paraId="76A0621A">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指标：服务对象满意度达到95%；群众满意度达到95%；</w:t>
            </w:r>
          </w:p>
        </w:tc>
        <w:tc>
          <w:tcPr>
            <w:tcW w:w="2410" w:type="dxa"/>
            <w:gridSpan w:val="5"/>
            <w:vAlign w:val="center"/>
          </w:tcPr>
          <w:p w14:paraId="373CA0F6">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14:paraId="67957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14:paraId="5E9686C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688" w:type="dxa"/>
            <w:gridSpan w:val="11"/>
            <w:vAlign w:val="center"/>
          </w:tcPr>
          <w:p w14:paraId="036854D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r>
      <w:tr w14:paraId="2109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14:paraId="67BA48A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688" w:type="dxa"/>
            <w:gridSpan w:val="11"/>
            <w:vAlign w:val="center"/>
          </w:tcPr>
          <w:p w14:paraId="6102CD14">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优</w:t>
            </w:r>
          </w:p>
        </w:tc>
      </w:tr>
      <w:tr w14:paraId="5D24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678" w:type="dxa"/>
            <w:gridSpan w:val="15"/>
            <w:vAlign w:val="center"/>
          </w:tcPr>
          <w:p w14:paraId="7EC4ECC1">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四、评价人员</w:t>
            </w:r>
          </w:p>
        </w:tc>
      </w:tr>
      <w:tr w14:paraId="298D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14:paraId="3F7C730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2091" w:type="dxa"/>
            <w:gridSpan w:val="3"/>
            <w:vAlign w:val="center"/>
          </w:tcPr>
          <w:p w14:paraId="1D6C867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903" w:type="dxa"/>
            <w:gridSpan w:val="2"/>
            <w:vAlign w:val="center"/>
          </w:tcPr>
          <w:p w14:paraId="59E0CD7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694" w:type="dxa"/>
            <w:gridSpan w:val="6"/>
            <w:vAlign w:val="center"/>
          </w:tcPr>
          <w:p w14:paraId="0EAB7B1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14:paraId="7D7A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14:paraId="5EDAB926">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李汉武</w:t>
            </w:r>
          </w:p>
        </w:tc>
        <w:tc>
          <w:tcPr>
            <w:tcW w:w="2091" w:type="dxa"/>
            <w:gridSpan w:val="3"/>
            <w:vAlign w:val="center"/>
          </w:tcPr>
          <w:p w14:paraId="7522AA3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主任</w:t>
            </w:r>
          </w:p>
        </w:tc>
        <w:tc>
          <w:tcPr>
            <w:tcW w:w="1903" w:type="dxa"/>
            <w:gridSpan w:val="2"/>
            <w:vAlign w:val="center"/>
          </w:tcPr>
          <w:p w14:paraId="0E9168E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14:paraId="6E0DA1EC">
            <w:pPr>
              <w:autoSpaceDN w:val="0"/>
              <w:spacing w:line="320" w:lineRule="exact"/>
              <w:jc w:val="center"/>
              <w:textAlignment w:val="center"/>
              <w:rPr>
                <w:rFonts w:ascii="仿宋_GB2312" w:hAnsi="仿宋_GB2312" w:eastAsia="仿宋_GB2312" w:cs="仿宋_GB2312"/>
                <w:color w:val="000000"/>
                <w:sz w:val="24"/>
                <w:szCs w:val="24"/>
              </w:rPr>
            </w:pPr>
          </w:p>
        </w:tc>
      </w:tr>
      <w:tr w14:paraId="3158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14:paraId="0CFA0878">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2091" w:type="dxa"/>
            <w:gridSpan w:val="3"/>
            <w:vAlign w:val="center"/>
          </w:tcPr>
          <w:p w14:paraId="01A2A24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1903" w:type="dxa"/>
            <w:gridSpan w:val="2"/>
            <w:vAlign w:val="center"/>
          </w:tcPr>
          <w:p w14:paraId="68D4402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14:paraId="1F4699BC">
            <w:pPr>
              <w:autoSpaceDN w:val="0"/>
              <w:spacing w:line="320" w:lineRule="exact"/>
              <w:jc w:val="center"/>
              <w:textAlignment w:val="center"/>
              <w:rPr>
                <w:rFonts w:ascii="仿宋_GB2312" w:hAnsi="仿宋_GB2312" w:eastAsia="仿宋_GB2312" w:cs="仿宋_GB2312"/>
                <w:color w:val="000000"/>
                <w:sz w:val="24"/>
                <w:szCs w:val="24"/>
              </w:rPr>
            </w:pPr>
          </w:p>
        </w:tc>
      </w:tr>
      <w:tr w14:paraId="5AA8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14:paraId="6717484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何四海</w:t>
            </w:r>
          </w:p>
        </w:tc>
        <w:tc>
          <w:tcPr>
            <w:tcW w:w="2091" w:type="dxa"/>
            <w:gridSpan w:val="3"/>
            <w:vAlign w:val="center"/>
          </w:tcPr>
          <w:p w14:paraId="4A6279E7">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科长</w:t>
            </w:r>
          </w:p>
        </w:tc>
        <w:tc>
          <w:tcPr>
            <w:tcW w:w="1903" w:type="dxa"/>
            <w:gridSpan w:val="2"/>
            <w:vAlign w:val="center"/>
          </w:tcPr>
          <w:p w14:paraId="0A1F599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14:paraId="5FE8653E">
            <w:pPr>
              <w:autoSpaceDN w:val="0"/>
              <w:spacing w:line="320" w:lineRule="exact"/>
              <w:jc w:val="center"/>
              <w:textAlignment w:val="center"/>
              <w:rPr>
                <w:rFonts w:ascii="仿宋_GB2312" w:hAnsi="仿宋_GB2312" w:eastAsia="仿宋_GB2312" w:cs="仿宋_GB2312"/>
                <w:color w:val="000000"/>
                <w:sz w:val="24"/>
                <w:szCs w:val="24"/>
              </w:rPr>
            </w:pPr>
          </w:p>
        </w:tc>
      </w:tr>
      <w:tr w14:paraId="2BCB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3" w:hRule="atLeast"/>
        </w:trPr>
        <w:tc>
          <w:tcPr>
            <w:tcW w:w="9678" w:type="dxa"/>
            <w:gridSpan w:val="15"/>
            <w:vAlign w:val="center"/>
          </w:tcPr>
          <w:p w14:paraId="5290EFBE">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14:paraId="1FC69A57">
            <w:pPr>
              <w:autoSpaceDN w:val="0"/>
              <w:spacing w:line="320" w:lineRule="exact"/>
              <w:jc w:val="left"/>
              <w:textAlignment w:val="center"/>
              <w:rPr>
                <w:rFonts w:ascii="仿宋_GB2312" w:hAnsi="仿宋_GB2312" w:eastAsia="仿宋_GB2312" w:cs="仿宋_GB2312"/>
                <w:color w:val="000000"/>
                <w:sz w:val="24"/>
                <w:szCs w:val="24"/>
              </w:rPr>
            </w:pPr>
          </w:p>
          <w:p w14:paraId="7B6F09F8">
            <w:pPr>
              <w:autoSpaceDN w:val="0"/>
              <w:spacing w:line="320" w:lineRule="exact"/>
              <w:jc w:val="left"/>
              <w:textAlignment w:val="center"/>
              <w:rPr>
                <w:rFonts w:ascii="仿宋_GB2312" w:hAnsi="仿宋_GB2312" w:eastAsia="仿宋_GB2312" w:cs="仿宋_GB2312"/>
                <w:color w:val="000000"/>
                <w:sz w:val="24"/>
                <w:szCs w:val="24"/>
              </w:rPr>
            </w:pPr>
          </w:p>
          <w:p w14:paraId="626FF9DF">
            <w:pPr>
              <w:autoSpaceDN w:val="0"/>
              <w:spacing w:line="320" w:lineRule="exact"/>
              <w:jc w:val="left"/>
              <w:textAlignment w:val="center"/>
              <w:rPr>
                <w:rFonts w:ascii="仿宋_GB2312" w:hAnsi="仿宋_GB2312" w:eastAsia="仿宋_GB2312" w:cs="仿宋_GB2312"/>
                <w:color w:val="000000"/>
                <w:sz w:val="24"/>
                <w:szCs w:val="24"/>
              </w:rPr>
            </w:pPr>
          </w:p>
          <w:p w14:paraId="56E0D347">
            <w:pPr>
              <w:autoSpaceDN w:val="0"/>
              <w:spacing w:line="320" w:lineRule="exact"/>
              <w:jc w:val="left"/>
              <w:textAlignment w:val="center"/>
              <w:rPr>
                <w:rFonts w:ascii="仿宋_GB2312" w:hAnsi="仿宋_GB2312" w:eastAsia="仿宋_GB2312" w:cs="仿宋_GB2312"/>
                <w:color w:val="000000"/>
                <w:sz w:val="24"/>
                <w:szCs w:val="24"/>
              </w:rPr>
            </w:pPr>
          </w:p>
          <w:p w14:paraId="720FB4E9">
            <w:pPr>
              <w:autoSpaceDN w:val="0"/>
              <w:spacing w:line="320" w:lineRule="exact"/>
              <w:jc w:val="left"/>
              <w:textAlignment w:val="center"/>
              <w:rPr>
                <w:rFonts w:ascii="仿宋_GB2312" w:hAnsi="仿宋_GB2312" w:eastAsia="仿宋_GB2312" w:cs="仿宋_GB2312"/>
                <w:color w:val="000000"/>
                <w:sz w:val="24"/>
                <w:szCs w:val="24"/>
              </w:rPr>
            </w:pPr>
          </w:p>
          <w:p w14:paraId="1C8DBFF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14:paraId="11C86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72" w:hRule="atLeast"/>
        </w:trPr>
        <w:tc>
          <w:tcPr>
            <w:tcW w:w="9678" w:type="dxa"/>
            <w:gridSpan w:val="15"/>
            <w:vAlign w:val="center"/>
          </w:tcPr>
          <w:p w14:paraId="7E9A8F62">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14:paraId="543B4582">
            <w:pPr>
              <w:autoSpaceDN w:val="0"/>
              <w:spacing w:line="320" w:lineRule="exact"/>
              <w:jc w:val="left"/>
              <w:textAlignment w:val="center"/>
              <w:rPr>
                <w:rFonts w:ascii="仿宋_GB2312" w:hAnsi="仿宋_GB2312" w:eastAsia="仿宋_GB2312" w:cs="仿宋_GB2312"/>
                <w:color w:val="000000"/>
                <w:sz w:val="24"/>
                <w:szCs w:val="24"/>
              </w:rPr>
            </w:pPr>
          </w:p>
          <w:p w14:paraId="39BE6595">
            <w:pPr>
              <w:autoSpaceDN w:val="0"/>
              <w:spacing w:line="320" w:lineRule="exact"/>
              <w:jc w:val="left"/>
              <w:textAlignment w:val="center"/>
              <w:rPr>
                <w:rFonts w:ascii="仿宋_GB2312" w:hAnsi="仿宋_GB2312" w:eastAsia="仿宋_GB2312" w:cs="仿宋_GB2312"/>
                <w:color w:val="000000"/>
                <w:sz w:val="24"/>
                <w:szCs w:val="24"/>
              </w:rPr>
            </w:pPr>
          </w:p>
          <w:p w14:paraId="3E179418">
            <w:pPr>
              <w:autoSpaceDN w:val="0"/>
              <w:spacing w:line="320" w:lineRule="exact"/>
              <w:jc w:val="left"/>
              <w:textAlignment w:val="center"/>
              <w:rPr>
                <w:rFonts w:ascii="仿宋_GB2312" w:hAnsi="仿宋_GB2312" w:eastAsia="仿宋_GB2312" w:cs="仿宋_GB2312"/>
                <w:color w:val="000000"/>
                <w:sz w:val="24"/>
                <w:szCs w:val="24"/>
              </w:rPr>
            </w:pPr>
          </w:p>
          <w:p w14:paraId="493BE1D9">
            <w:pPr>
              <w:autoSpaceDN w:val="0"/>
              <w:spacing w:line="320" w:lineRule="exact"/>
              <w:jc w:val="left"/>
              <w:textAlignment w:val="center"/>
              <w:rPr>
                <w:rFonts w:ascii="仿宋_GB2312" w:hAnsi="仿宋_GB2312" w:eastAsia="仿宋_GB2312" w:cs="仿宋_GB2312"/>
                <w:color w:val="000000"/>
                <w:sz w:val="24"/>
                <w:szCs w:val="24"/>
              </w:rPr>
            </w:pPr>
          </w:p>
          <w:p w14:paraId="73F7D3D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14:paraId="235FA02F">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14:paraId="62C9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8" w:hRule="atLeast"/>
        </w:trPr>
        <w:tc>
          <w:tcPr>
            <w:tcW w:w="9678" w:type="dxa"/>
            <w:gridSpan w:val="15"/>
            <w:vAlign w:val="center"/>
          </w:tcPr>
          <w:p w14:paraId="18CC92F1">
            <w:pPr>
              <w:spacing w:line="320" w:lineRule="exact"/>
              <w:rPr>
                <w:rFonts w:ascii="仿宋_GB2312" w:eastAsia="仿宋_GB2312"/>
                <w:sz w:val="24"/>
                <w:szCs w:val="24"/>
              </w:rPr>
            </w:pPr>
            <w:r>
              <w:rPr>
                <w:rFonts w:hint="eastAsia" w:ascii="仿宋_GB2312" w:eastAsia="仿宋_GB2312"/>
                <w:sz w:val="24"/>
                <w:szCs w:val="24"/>
              </w:rPr>
              <w:t>财政部门归口业务科室意见：</w:t>
            </w:r>
          </w:p>
          <w:p w14:paraId="5C9E767A">
            <w:pPr>
              <w:spacing w:line="320" w:lineRule="exact"/>
              <w:rPr>
                <w:rFonts w:ascii="仿宋_GB2312" w:eastAsia="仿宋_GB2312"/>
                <w:sz w:val="24"/>
                <w:szCs w:val="24"/>
              </w:rPr>
            </w:pPr>
          </w:p>
          <w:p w14:paraId="0479141D">
            <w:pPr>
              <w:spacing w:line="320" w:lineRule="exact"/>
              <w:rPr>
                <w:rFonts w:ascii="仿宋_GB2312" w:eastAsia="仿宋_GB2312"/>
                <w:sz w:val="24"/>
                <w:szCs w:val="24"/>
              </w:rPr>
            </w:pPr>
          </w:p>
          <w:p w14:paraId="2C07EE4F">
            <w:pPr>
              <w:spacing w:line="320" w:lineRule="exact"/>
              <w:rPr>
                <w:rFonts w:ascii="仿宋_GB2312" w:eastAsia="仿宋_GB2312"/>
                <w:sz w:val="24"/>
                <w:szCs w:val="24"/>
              </w:rPr>
            </w:pPr>
          </w:p>
          <w:p w14:paraId="3A7256DD">
            <w:pPr>
              <w:spacing w:line="320" w:lineRule="exact"/>
              <w:rPr>
                <w:rFonts w:ascii="仿宋_GB2312" w:eastAsia="仿宋_GB2312"/>
                <w:sz w:val="24"/>
                <w:szCs w:val="24"/>
              </w:rPr>
            </w:pPr>
          </w:p>
          <w:p w14:paraId="3D18DEA6">
            <w:pPr>
              <w:spacing w:line="320" w:lineRule="exact"/>
              <w:rPr>
                <w:rFonts w:ascii="仿宋_GB2312" w:eastAsia="仿宋_GB2312"/>
                <w:sz w:val="24"/>
                <w:szCs w:val="24"/>
              </w:rPr>
            </w:pPr>
            <w:r>
              <w:rPr>
                <w:rFonts w:hint="eastAsia" w:ascii="仿宋_GB2312" w:eastAsia="仿宋_GB2312"/>
                <w:sz w:val="24"/>
                <w:szCs w:val="24"/>
              </w:rPr>
              <w:t xml:space="preserve">                                  财政部门归口业务科室负责人（签章）：</w:t>
            </w:r>
          </w:p>
          <w:p w14:paraId="591B503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eastAsia="仿宋_GB2312"/>
                <w:sz w:val="24"/>
                <w:szCs w:val="24"/>
              </w:rPr>
              <w:t xml:space="preserve">                                                                 年    月   日</w:t>
            </w:r>
          </w:p>
        </w:tc>
      </w:tr>
    </w:tbl>
    <w:p w14:paraId="09E7F633">
      <w:pPr>
        <w:rPr>
          <w:rFonts w:ascii="仿宋_GB2312" w:eastAsia="仿宋_GB2312" w:cs="仿宋_GB2312"/>
          <w:bCs/>
          <w:sz w:val="24"/>
          <w:szCs w:val="24"/>
        </w:rPr>
      </w:pPr>
      <w:r>
        <w:rPr>
          <w:rFonts w:hint="eastAsia" w:ascii="仿宋_GB2312" w:eastAsia="仿宋_GB2312" w:cs="仿宋_GB2312"/>
          <w:bCs/>
          <w:sz w:val="24"/>
          <w:szCs w:val="24"/>
        </w:rPr>
        <w:t>填报人（签名）：                                      联系电话：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70E0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6" w:hRule="atLeast"/>
        </w:trPr>
        <w:tc>
          <w:tcPr>
            <w:tcW w:w="9558" w:type="dxa"/>
          </w:tcPr>
          <w:p w14:paraId="127B5D17">
            <w:pPr>
              <w:autoSpaceDN w:val="0"/>
              <w:spacing w:line="320" w:lineRule="exact"/>
              <w:jc w:val="center"/>
              <w:textAlignment w:val="center"/>
              <w:rPr>
                <w:rFonts w:hint="eastAsia" w:ascii="仿宋_GB2312" w:hAnsi="黑体" w:eastAsia="仿宋_GB2312" w:cs="黑体"/>
                <w:color w:val="000000"/>
                <w:sz w:val="24"/>
                <w:szCs w:val="24"/>
              </w:rPr>
            </w:pPr>
          </w:p>
          <w:p w14:paraId="49391BFD">
            <w:pPr>
              <w:autoSpaceDN w:val="0"/>
              <w:spacing w:line="32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五、评价报告综述</w:t>
            </w:r>
          </w:p>
          <w:p w14:paraId="758BB04C">
            <w:pPr>
              <w:autoSpaceDN w:val="0"/>
              <w:spacing w:line="320" w:lineRule="exact"/>
              <w:jc w:val="center"/>
              <w:textAlignment w:val="center"/>
              <w:rPr>
                <w:rFonts w:hint="eastAsia" w:ascii="仿宋_GB2312" w:hAnsi="黑体" w:eastAsia="仿宋_GB2312" w:cs="黑体"/>
                <w:color w:val="000000"/>
                <w:sz w:val="24"/>
                <w:szCs w:val="24"/>
              </w:rPr>
            </w:pPr>
          </w:p>
          <w:p w14:paraId="40B45988">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14:paraId="4CBA3A59">
            <w:pPr>
              <w:spacing w:line="63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2010年4月9日，市编办下发《关于成立湖南城陵矶临港产业新区土地储备开发中心的通知》（岳编办通〔2010〕41号），批复成立湖南城陵矶临港产业新区土地储备开发中心。2019年12月16日，市编办下发《关于重新明确湖南城陵矶临港产业新区土地储备开发中心机构编制事项的通知》（岳编办通〔2019〕249号），重新明确土地储备中心为新港区管委会下属正科级公益一类事业单位，设主任1名，副主任2名。主要是负责编制湖南城陵矶新港区规划范围内中长期土地储备规划和年度计划；负责辖区内土地收购、报批、储备和土地出让的前期工作；负责储备土地的管护、临时利用和前期开发；负责土地储备资金管理等工作。</w:t>
            </w:r>
          </w:p>
          <w:p w14:paraId="655995EA">
            <w:pPr>
              <w:spacing w:line="63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截止</w:t>
            </w:r>
            <w:r>
              <w:rPr>
                <w:rFonts w:hint="eastAsia" w:ascii="仿宋_GB2312" w:hAnsi="仿宋_GB2312" w:eastAsia="仿宋_GB2312" w:cs="仿宋_GB2312"/>
                <w:bCs/>
                <w:sz w:val="28"/>
                <w:szCs w:val="28"/>
                <w:lang w:val="en-US" w:eastAsia="zh-CN"/>
              </w:rPr>
              <w:t>2020年底，</w:t>
            </w:r>
            <w:r>
              <w:rPr>
                <w:rFonts w:hint="eastAsia" w:ascii="仿宋_GB2312" w:hAnsi="仿宋_GB2312" w:eastAsia="仿宋_GB2312" w:cs="仿宋_GB2312"/>
                <w:bCs/>
                <w:sz w:val="28"/>
                <w:szCs w:val="28"/>
              </w:rPr>
              <w:t>我中心现有工作人员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名，其中班子成员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名（编制内）、科员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名（四海揽才），内设</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个业务科室，分别为综合计划科、财务管理科</w:t>
            </w:r>
            <w:r>
              <w:rPr>
                <w:rFonts w:hint="eastAsia" w:ascii="仿宋_GB2312" w:hAnsi="仿宋_GB2312" w:eastAsia="仿宋_GB2312" w:cs="仿宋_GB2312"/>
                <w:bCs/>
                <w:sz w:val="28"/>
                <w:szCs w:val="28"/>
                <w:lang w:eastAsia="zh-CN"/>
              </w:rPr>
              <w:t>、开发利用科等</w:t>
            </w:r>
            <w:r>
              <w:rPr>
                <w:rFonts w:hint="eastAsia" w:ascii="仿宋_GB2312" w:hAnsi="仿宋_GB2312" w:eastAsia="仿宋_GB2312" w:cs="仿宋_GB2312"/>
                <w:bCs/>
                <w:sz w:val="28"/>
                <w:szCs w:val="28"/>
              </w:rPr>
              <w:t>。</w:t>
            </w:r>
          </w:p>
          <w:p w14:paraId="3040A527">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14:paraId="7C0965D4">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（一）基本支出</w:t>
            </w:r>
          </w:p>
          <w:p w14:paraId="4E8BAE71">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年土地储备中心基本支出预算安排</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104.38</w:t>
            </w:r>
            <w:r>
              <w:rPr>
                <w:rFonts w:hint="eastAsia" w:ascii="仿宋_GB2312" w:hAnsi="仿宋_GB2312" w:eastAsia="仿宋_GB2312" w:cs="仿宋_GB2312"/>
                <w:bCs/>
                <w:sz w:val="28"/>
                <w:szCs w:val="28"/>
              </w:rPr>
              <w:t>万元；结余资金为</w:t>
            </w:r>
            <w:r>
              <w:rPr>
                <w:rFonts w:hint="eastAsia" w:ascii="仿宋_GB2312" w:hAnsi="仿宋_GB2312" w:eastAsia="仿宋_GB2312" w:cs="仿宋_GB2312"/>
                <w:bCs/>
                <w:sz w:val="28"/>
                <w:szCs w:val="28"/>
                <w:lang w:val="en-US" w:eastAsia="zh-CN"/>
              </w:rPr>
              <w:t>5.62</w:t>
            </w:r>
            <w:r>
              <w:rPr>
                <w:rFonts w:hint="eastAsia" w:ascii="仿宋_GB2312" w:hAnsi="仿宋_GB2312" w:eastAsia="仿宋_GB2312" w:cs="仿宋_GB2312"/>
                <w:bCs/>
                <w:sz w:val="28"/>
                <w:szCs w:val="28"/>
              </w:rPr>
              <w:t>万元。</w:t>
            </w:r>
          </w:p>
          <w:p w14:paraId="50240F2F">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（二）专项支出</w:t>
            </w:r>
          </w:p>
          <w:p w14:paraId="377EFF1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项目专项资金</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 我中心严格按照财政资金管理办法，使用各项资金。</w:t>
            </w:r>
          </w:p>
          <w:p w14:paraId="1726F27B">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14:paraId="621B7A91">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土地储备中心严格按照财政资金管理办法，使用各项资金，专款专用，做好了资金使用台账。经统计，</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节省了财政资金，提高了财政资金使用效率。</w:t>
            </w:r>
          </w:p>
          <w:p w14:paraId="2D97CFB8">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14:paraId="1020ED6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土地储备中心严格按照财政资金管理办法，使用各项基本支出、项目支出等专用资金，做好了资金使用台账。经统计，</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年土地储备中心基本支出预算安排</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104.38</w:t>
            </w:r>
            <w:r>
              <w:rPr>
                <w:rFonts w:hint="eastAsia" w:ascii="仿宋_GB2312" w:hAnsi="仿宋_GB2312" w:eastAsia="仿宋_GB2312" w:cs="仿宋_GB2312"/>
                <w:bCs/>
                <w:sz w:val="28"/>
                <w:szCs w:val="28"/>
              </w:rPr>
              <w:t>万元；结余资金为</w:t>
            </w:r>
            <w:r>
              <w:rPr>
                <w:rFonts w:hint="eastAsia" w:ascii="仿宋_GB2312" w:hAnsi="仿宋_GB2312" w:eastAsia="仿宋_GB2312" w:cs="仿宋_GB2312"/>
                <w:bCs/>
                <w:sz w:val="28"/>
                <w:szCs w:val="28"/>
                <w:lang w:val="en-US" w:eastAsia="zh-CN"/>
              </w:rPr>
              <w:t>5.62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项目专项资金</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节省了财政资金，提高了财政资金使用效率。</w:t>
            </w:r>
          </w:p>
          <w:p w14:paraId="7B69DDA7">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14:paraId="03E29BA1">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0ED9F75F">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43791C99">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16BD1566">
            <w:pPr>
              <w:rPr>
                <w:rFonts w:hint="eastAsia" w:ascii="仿宋_GB2312" w:hAnsi="仿宋_GB2312" w:eastAsia="仿宋_GB2312" w:cs="仿宋_GB2312"/>
                <w:bCs/>
                <w:sz w:val="28"/>
                <w:szCs w:val="28"/>
              </w:rPr>
            </w:pPr>
          </w:p>
          <w:p w14:paraId="544E4503">
            <w:pPr>
              <w:rPr>
                <w:rFonts w:ascii="仿宋_GB2312" w:hAnsi="仿宋_GB2312" w:eastAsia="仿宋_GB2312" w:cs="仿宋_GB2312"/>
                <w:bCs/>
                <w:sz w:val="28"/>
                <w:szCs w:val="28"/>
              </w:rPr>
            </w:pPr>
          </w:p>
        </w:tc>
      </w:tr>
    </w:tbl>
    <w:p w14:paraId="0E71F183">
      <w:pPr>
        <w:spacing w:line="348" w:lineRule="auto"/>
        <w:rPr>
          <w:rFonts w:eastAsia="楷体_GB2312"/>
          <w:bCs/>
          <w:sz w:val="28"/>
          <w:szCs w:val="28"/>
        </w:rPr>
      </w:pPr>
    </w:p>
    <w:p w14:paraId="0E727D0F">
      <w:pPr>
        <w:rPr>
          <w:rFonts w:ascii="黑体" w:hAnsi="黑体" w:eastAsia="黑体"/>
          <w:sz w:val="32"/>
          <w:szCs w:val="32"/>
        </w:rPr>
      </w:pPr>
    </w:p>
    <w:p w14:paraId="321A1B09">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2DEB6C33">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037FE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6E23BFC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7B644D8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48133FB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735C44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0DEDF1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5EA6979">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1055EEBD">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69D20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2B59CD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BFE2F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7CA36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38962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4B9297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F593AB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A8CADC4">
            <w:pPr>
              <w:widowControl/>
              <w:spacing w:line="240" w:lineRule="exact"/>
              <w:jc w:val="left"/>
              <w:rPr>
                <w:rFonts w:ascii="仿宋_GB2312" w:hAnsi="宋体" w:eastAsia="仿宋_GB2312" w:cs="宋体"/>
                <w:color w:val="000000"/>
                <w:kern w:val="0"/>
                <w:sz w:val="18"/>
                <w:szCs w:val="18"/>
              </w:rPr>
            </w:pPr>
          </w:p>
        </w:tc>
      </w:tr>
      <w:tr w14:paraId="48469E6D">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E0DC4D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05F5AB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23C03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2A2DA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2A2D11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BA94CC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C5DD8C9">
            <w:pPr>
              <w:widowControl/>
              <w:spacing w:line="240" w:lineRule="exact"/>
              <w:jc w:val="left"/>
              <w:rPr>
                <w:rFonts w:ascii="仿宋_GB2312" w:hAnsi="宋体" w:eastAsia="仿宋_GB2312" w:cs="宋体"/>
                <w:color w:val="000000"/>
                <w:kern w:val="0"/>
                <w:sz w:val="18"/>
                <w:szCs w:val="18"/>
              </w:rPr>
            </w:pPr>
          </w:p>
        </w:tc>
      </w:tr>
      <w:tr w14:paraId="36E97E40">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54A299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0015BF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E9AD6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E120A8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217668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8535C5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6B4F33D">
            <w:pPr>
              <w:widowControl/>
              <w:spacing w:line="240" w:lineRule="exact"/>
              <w:jc w:val="left"/>
              <w:rPr>
                <w:rFonts w:ascii="仿宋_GB2312" w:hAnsi="宋体" w:eastAsia="仿宋_GB2312" w:cs="宋体"/>
                <w:color w:val="000000"/>
                <w:kern w:val="0"/>
                <w:sz w:val="18"/>
                <w:szCs w:val="18"/>
              </w:rPr>
            </w:pPr>
          </w:p>
        </w:tc>
      </w:tr>
      <w:tr w14:paraId="13289216">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8451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27842B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1F1E8D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CA60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5C116B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419FC3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AA5D1DE">
            <w:pPr>
              <w:widowControl/>
              <w:spacing w:line="240" w:lineRule="exact"/>
              <w:jc w:val="center"/>
              <w:rPr>
                <w:rFonts w:ascii="仿宋_GB2312" w:hAnsi="宋体" w:eastAsia="仿宋_GB2312" w:cs="宋体"/>
                <w:color w:val="000000"/>
                <w:kern w:val="0"/>
                <w:sz w:val="18"/>
                <w:szCs w:val="18"/>
              </w:rPr>
            </w:pPr>
          </w:p>
        </w:tc>
      </w:tr>
      <w:tr w14:paraId="6AC9B414">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062C66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925F8F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7DB00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1CBEF5C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6F73B9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05BA1F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4132C337">
            <w:pPr>
              <w:widowControl/>
              <w:spacing w:line="240" w:lineRule="exact"/>
              <w:jc w:val="center"/>
              <w:rPr>
                <w:rFonts w:ascii="仿宋_GB2312" w:hAnsi="宋体" w:eastAsia="仿宋_GB2312" w:cs="宋体"/>
                <w:color w:val="000000"/>
                <w:kern w:val="0"/>
                <w:sz w:val="18"/>
                <w:szCs w:val="18"/>
              </w:rPr>
            </w:pPr>
          </w:p>
        </w:tc>
      </w:tr>
      <w:tr w14:paraId="0458763D">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9CCD4F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0636D2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71873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4FA151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012A6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C53AEF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02562253">
            <w:pPr>
              <w:widowControl/>
              <w:spacing w:line="240" w:lineRule="exact"/>
              <w:jc w:val="center"/>
              <w:rPr>
                <w:rFonts w:ascii="仿宋_GB2312" w:hAnsi="宋体" w:eastAsia="仿宋_GB2312" w:cs="宋体"/>
                <w:color w:val="000000"/>
                <w:kern w:val="0"/>
                <w:sz w:val="18"/>
                <w:szCs w:val="18"/>
              </w:rPr>
            </w:pPr>
          </w:p>
        </w:tc>
      </w:tr>
      <w:tr w14:paraId="3CAEB0BD">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8E49F6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CEECA0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24AAB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3B2EB4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6940B6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0893D9A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04D177C8">
            <w:pPr>
              <w:widowControl/>
              <w:spacing w:line="240" w:lineRule="exact"/>
              <w:jc w:val="center"/>
              <w:rPr>
                <w:rFonts w:ascii="仿宋_GB2312" w:hAnsi="宋体" w:eastAsia="仿宋_GB2312" w:cs="宋体"/>
                <w:color w:val="000000"/>
                <w:kern w:val="0"/>
                <w:sz w:val="18"/>
                <w:szCs w:val="18"/>
              </w:rPr>
            </w:pPr>
          </w:p>
        </w:tc>
      </w:tr>
      <w:tr w14:paraId="771A08B9">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EC6AB4D">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79CC7A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57483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2C34F3B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57CA9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F3C4DE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4492D2E1">
            <w:pPr>
              <w:widowControl/>
              <w:spacing w:line="240" w:lineRule="exact"/>
              <w:jc w:val="center"/>
              <w:rPr>
                <w:rFonts w:ascii="仿宋_GB2312" w:hAnsi="宋体" w:eastAsia="仿宋_GB2312" w:cs="宋体"/>
                <w:color w:val="000000"/>
                <w:kern w:val="0"/>
                <w:sz w:val="18"/>
                <w:szCs w:val="18"/>
              </w:rPr>
            </w:pPr>
          </w:p>
        </w:tc>
      </w:tr>
      <w:tr w14:paraId="77ACA3F9">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6FF6CB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CFC6B3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5AD29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425D1B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1E824E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A37929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5670DF09">
            <w:pPr>
              <w:widowControl/>
              <w:spacing w:line="240" w:lineRule="exact"/>
              <w:jc w:val="center"/>
              <w:rPr>
                <w:rFonts w:ascii="仿宋_GB2312" w:hAnsi="宋体" w:eastAsia="仿宋_GB2312" w:cs="宋体"/>
                <w:color w:val="000000"/>
                <w:kern w:val="0"/>
                <w:sz w:val="18"/>
                <w:szCs w:val="18"/>
              </w:rPr>
            </w:pPr>
          </w:p>
        </w:tc>
      </w:tr>
      <w:tr w14:paraId="43B392AE">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5C2768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E65D5F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27967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29DDB28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3FE742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0F9C8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79EAD51">
            <w:pPr>
              <w:widowControl/>
              <w:spacing w:line="240" w:lineRule="exact"/>
              <w:jc w:val="center"/>
              <w:rPr>
                <w:rFonts w:ascii="仿宋_GB2312" w:hAnsi="宋体" w:eastAsia="仿宋_GB2312" w:cs="宋体"/>
                <w:kern w:val="0"/>
                <w:sz w:val="18"/>
                <w:szCs w:val="18"/>
              </w:rPr>
            </w:pPr>
          </w:p>
        </w:tc>
      </w:tr>
      <w:tr w14:paraId="1800198F">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346527F">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85F4A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312FB1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689D42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3CB5DA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3AD976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B39FB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7C13320">
            <w:pPr>
              <w:widowControl/>
              <w:spacing w:line="240" w:lineRule="exact"/>
              <w:jc w:val="center"/>
              <w:rPr>
                <w:rFonts w:ascii="仿宋_GB2312" w:hAnsi="宋体" w:eastAsia="仿宋_GB2312" w:cs="宋体"/>
                <w:kern w:val="0"/>
                <w:sz w:val="18"/>
                <w:szCs w:val="18"/>
              </w:rPr>
            </w:pPr>
          </w:p>
        </w:tc>
      </w:tr>
      <w:tr w14:paraId="0BC9B3DC">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A805B4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D2647F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35673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6B036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17AC76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2E0B3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AE4BD8B">
            <w:pPr>
              <w:widowControl/>
              <w:spacing w:line="240" w:lineRule="exact"/>
              <w:jc w:val="center"/>
              <w:rPr>
                <w:rFonts w:ascii="仿宋_GB2312" w:hAnsi="宋体" w:eastAsia="仿宋_GB2312" w:cs="宋体"/>
                <w:kern w:val="0"/>
                <w:sz w:val="18"/>
                <w:szCs w:val="18"/>
              </w:rPr>
            </w:pPr>
          </w:p>
        </w:tc>
      </w:tr>
      <w:tr w14:paraId="4E423C6E">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16CE078">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15EE7D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3F9C94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2995E8C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46C269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AB1BA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00DACD6">
            <w:pPr>
              <w:widowControl/>
              <w:spacing w:line="240" w:lineRule="exact"/>
              <w:jc w:val="center"/>
              <w:rPr>
                <w:rFonts w:ascii="仿宋_GB2312" w:hAnsi="宋体" w:eastAsia="仿宋_GB2312" w:cs="宋体"/>
                <w:kern w:val="0"/>
                <w:sz w:val="18"/>
                <w:szCs w:val="18"/>
              </w:rPr>
            </w:pPr>
          </w:p>
        </w:tc>
      </w:tr>
    </w:tbl>
    <w:p w14:paraId="4FCC95AE"/>
    <w:p w14:paraId="22A47A70"/>
    <w:p w14:paraId="214C7069"/>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3B50180">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B1DD97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0C12DF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47E9799E">
            <w:pPr>
              <w:widowControl/>
              <w:spacing w:line="240" w:lineRule="exact"/>
              <w:jc w:val="both"/>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2809870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0D4139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22A8D0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B7E665E">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9928622">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287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23738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2A3E9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70AC20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78A39F8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46210E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22CAA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0419E7D">
            <w:pPr>
              <w:widowControl/>
              <w:spacing w:line="240" w:lineRule="exact"/>
              <w:jc w:val="center"/>
              <w:rPr>
                <w:rFonts w:ascii="仿宋_GB2312" w:hAnsi="宋体" w:eastAsia="仿宋_GB2312" w:cs="宋体"/>
                <w:kern w:val="0"/>
                <w:sz w:val="18"/>
                <w:szCs w:val="18"/>
              </w:rPr>
            </w:pPr>
          </w:p>
        </w:tc>
      </w:tr>
      <w:tr w14:paraId="5E4183F5">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2EE23C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619ACB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02BB1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115B71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1BDE90B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3695E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8096BCF">
            <w:pPr>
              <w:widowControl/>
              <w:spacing w:line="240" w:lineRule="exact"/>
              <w:jc w:val="center"/>
              <w:rPr>
                <w:rFonts w:ascii="仿宋_GB2312" w:hAnsi="宋体" w:eastAsia="仿宋_GB2312" w:cs="宋体"/>
                <w:kern w:val="0"/>
                <w:sz w:val="18"/>
                <w:szCs w:val="18"/>
              </w:rPr>
            </w:pPr>
          </w:p>
        </w:tc>
      </w:tr>
      <w:tr w14:paraId="102F9C27">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45D93D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97276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3013EE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2A2E60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027872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1ECA49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DFD59CB">
            <w:pPr>
              <w:widowControl/>
              <w:spacing w:line="240" w:lineRule="exact"/>
              <w:jc w:val="center"/>
              <w:rPr>
                <w:rFonts w:ascii="仿宋_GB2312" w:hAnsi="宋体" w:eastAsia="仿宋_GB2312" w:cs="宋体"/>
                <w:kern w:val="0"/>
                <w:sz w:val="18"/>
                <w:szCs w:val="18"/>
              </w:rPr>
            </w:pPr>
          </w:p>
        </w:tc>
      </w:tr>
      <w:tr w14:paraId="025AE84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0E7216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410761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F9890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ECDD9E9">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B8395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5BAADC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725B3162">
            <w:pPr>
              <w:widowControl/>
              <w:spacing w:line="240" w:lineRule="exact"/>
              <w:jc w:val="center"/>
              <w:rPr>
                <w:rFonts w:ascii="仿宋_GB2312" w:hAnsi="宋体" w:eastAsia="仿宋_GB2312" w:cs="宋体"/>
                <w:kern w:val="0"/>
                <w:sz w:val="18"/>
                <w:szCs w:val="18"/>
              </w:rPr>
            </w:pPr>
          </w:p>
        </w:tc>
      </w:tr>
      <w:tr w14:paraId="7B1980A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BB21E6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5D8327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10086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3252DE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C6321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366099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EDEDFF8">
            <w:pPr>
              <w:widowControl/>
              <w:spacing w:line="240" w:lineRule="exact"/>
              <w:jc w:val="center"/>
              <w:rPr>
                <w:rFonts w:ascii="仿宋_GB2312" w:hAnsi="宋体" w:eastAsia="仿宋_GB2312" w:cs="宋体"/>
                <w:kern w:val="0"/>
                <w:sz w:val="18"/>
                <w:szCs w:val="18"/>
              </w:rPr>
            </w:pPr>
          </w:p>
        </w:tc>
      </w:tr>
      <w:tr w14:paraId="6334F6C3">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19A6D7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75836F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FC45A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960802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F8122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1954D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2B3F10FC">
            <w:pPr>
              <w:widowControl/>
              <w:spacing w:line="240" w:lineRule="exact"/>
              <w:jc w:val="center"/>
              <w:rPr>
                <w:rFonts w:ascii="仿宋_GB2312" w:hAnsi="宋体" w:eastAsia="仿宋_GB2312" w:cs="宋体"/>
                <w:kern w:val="0"/>
                <w:sz w:val="18"/>
                <w:szCs w:val="18"/>
              </w:rPr>
            </w:pPr>
          </w:p>
        </w:tc>
      </w:tr>
      <w:tr w14:paraId="77B72BA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36C5BE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5BCB51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CD96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F483CB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FFB42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982ADB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543C7FC">
            <w:pPr>
              <w:widowControl/>
              <w:spacing w:line="240" w:lineRule="exact"/>
              <w:jc w:val="center"/>
              <w:rPr>
                <w:rFonts w:ascii="仿宋_GB2312" w:hAnsi="宋体" w:eastAsia="仿宋_GB2312" w:cs="宋体"/>
                <w:kern w:val="0"/>
                <w:sz w:val="18"/>
                <w:szCs w:val="18"/>
              </w:rPr>
            </w:pPr>
          </w:p>
        </w:tc>
      </w:tr>
      <w:tr w14:paraId="2550F9C1">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836D83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494122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5B874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FA3CAED">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9D27C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3B3745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7C1849CA">
            <w:pPr>
              <w:widowControl/>
              <w:spacing w:line="240" w:lineRule="exact"/>
              <w:jc w:val="center"/>
              <w:rPr>
                <w:rFonts w:ascii="仿宋_GB2312" w:hAnsi="宋体" w:eastAsia="仿宋_GB2312" w:cs="宋体"/>
                <w:kern w:val="0"/>
                <w:sz w:val="18"/>
                <w:szCs w:val="18"/>
              </w:rPr>
            </w:pPr>
          </w:p>
        </w:tc>
      </w:tr>
      <w:tr w14:paraId="63D60D30">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2CFAAF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B023A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1B5A0B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6918E7D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00394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4590E4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70E74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5E2C3C33">
            <w:pPr>
              <w:widowControl/>
              <w:spacing w:line="240" w:lineRule="exact"/>
              <w:jc w:val="center"/>
              <w:rPr>
                <w:rFonts w:ascii="仿宋_GB2312" w:hAnsi="宋体" w:eastAsia="仿宋_GB2312" w:cs="宋体"/>
                <w:kern w:val="0"/>
                <w:sz w:val="18"/>
                <w:szCs w:val="18"/>
              </w:rPr>
            </w:pPr>
          </w:p>
        </w:tc>
      </w:tr>
      <w:tr w14:paraId="1E3B0F5E">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E8B75B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A2A9FC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39C444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D94AA5A">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221DC87E">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16729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95C0D1A">
            <w:pPr>
              <w:widowControl/>
              <w:spacing w:line="240" w:lineRule="exact"/>
              <w:jc w:val="center"/>
              <w:rPr>
                <w:rFonts w:ascii="仿宋_GB2312" w:hAnsi="宋体" w:eastAsia="仿宋_GB2312" w:cs="宋体"/>
                <w:kern w:val="0"/>
                <w:sz w:val="18"/>
                <w:szCs w:val="18"/>
              </w:rPr>
            </w:pPr>
          </w:p>
        </w:tc>
      </w:tr>
      <w:tr w14:paraId="6EEAB00F">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16CDC3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7431C7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68A76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D56D935">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6517051C">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131290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E6F6078">
            <w:pPr>
              <w:widowControl/>
              <w:spacing w:line="240" w:lineRule="exact"/>
              <w:jc w:val="center"/>
              <w:rPr>
                <w:rFonts w:ascii="仿宋_GB2312" w:hAnsi="宋体" w:eastAsia="仿宋_GB2312" w:cs="宋体"/>
                <w:kern w:val="0"/>
                <w:sz w:val="18"/>
                <w:szCs w:val="18"/>
              </w:rPr>
            </w:pPr>
          </w:p>
        </w:tc>
      </w:tr>
      <w:tr w14:paraId="1A15CCB0">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598EDE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DFF3D3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AD585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EEC2CF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3E2752C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0F05D0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0AC7DE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0B9322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08630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055B66C9">
            <w:pPr>
              <w:widowControl/>
              <w:spacing w:line="240" w:lineRule="exact"/>
              <w:jc w:val="center"/>
              <w:rPr>
                <w:rFonts w:ascii="仿宋_GB2312" w:hAnsi="宋体" w:eastAsia="仿宋_GB2312" w:cs="宋体"/>
                <w:kern w:val="0"/>
                <w:sz w:val="18"/>
                <w:szCs w:val="18"/>
              </w:rPr>
            </w:pPr>
          </w:p>
        </w:tc>
      </w:tr>
      <w:tr w14:paraId="00A43A23">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C01D12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3486F732">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37A53E4F">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C6F8311">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13C19F0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73FAE3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14:paraId="43127981">
            <w:pPr>
              <w:widowControl/>
              <w:spacing w:line="240" w:lineRule="exact"/>
              <w:jc w:val="center"/>
              <w:rPr>
                <w:rFonts w:ascii="仿宋_GB2312" w:hAnsi="宋体" w:eastAsia="仿宋_GB2312" w:cs="宋体"/>
                <w:b/>
                <w:bCs/>
                <w:kern w:val="0"/>
                <w:sz w:val="18"/>
                <w:szCs w:val="18"/>
              </w:rPr>
            </w:pPr>
          </w:p>
        </w:tc>
      </w:tr>
    </w:tbl>
    <w:p w14:paraId="09F4A0EF">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3DAAE16E">
      <w:pPr>
        <w:spacing w:line="348" w:lineRule="auto"/>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DE7B">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10</w:t>
    </w:r>
    <w:r>
      <w:rPr>
        <w:sz w:val="24"/>
        <w:szCs w:val="24"/>
      </w:rPr>
      <w:fldChar w:fldCharType="end"/>
    </w:r>
    <w:r>
      <w:rPr>
        <w:rStyle w:val="8"/>
        <w:rFonts w:hint="eastAsia"/>
        <w:sz w:val="24"/>
        <w:szCs w:val="24"/>
      </w:rPr>
      <w:t xml:space="preserve"> —</w:t>
    </w:r>
  </w:p>
  <w:p w14:paraId="0644D897">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C781">
    <w:pPr>
      <w:framePr w:wrap="around" w:vAnchor="text" w:hAnchor="margin" w:xAlign="outside" w:y="1"/>
    </w:pPr>
    <w:r>
      <w:fldChar w:fldCharType="begin"/>
    </w:r>
    <w:r>
      <w:instrText xml:space="preserve">PAGE  </w:instrText>
    </w:r>
    <w:r>
      <w:fldChar w:fldCharType="separate"/>
    </w:r>
    <w:r>
      <w:t>- 15 -</w:t>
    </w:r>
    <w:r>
      <w:fldChar w:fldCharType="end"/>
    </w:r>
  </w:p>
  <w:p w14:paraId="4D1E070B">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3443"/>
    <w:rsid w:val="00002153"/>
    <w:rsid w:val="00087C65"/>
    <w:rsid w:val="000E0103"/>
    <w:rsid w:val="000F3394"/>
    <w:rsid w:val="00122B08"/>
    <w:rsid w:val="00135358"/>
    <w:rsid w:val="00180538"/>
    <w:rsid w:val="0019788B"/>
    <w:rsid w:val="001D17BB"/>
    <w:rsid w:val="001D7FF8"/>
    <w:rsid w:val="00202E1A"/>
    <w:rsid w:val="00204856"/>
    <w:rsid w:val="0022696C"/>
    <w:rsid w:val="00261791"/>
    <w:rsid w:val="002808F1"/>
    <w:rsid w:val="002C12A9"/>
    <w:rsid w:val="002C3E04"/>
    <w:rsid w:val="002D1F52"/>
    <w:rsid w:val="002F7F1C"/>
    <w:rsid w:val="00300319"/>
    <w:rsid w:val="003020A4"/>
    <w:rsid w:val="00307CBE"/>
    <w:rsid w:val="003476DA"/>
    <w:rsid w:val="00357EF6"/>
    <w:rsid w:val="0036143C"/>
    <w:rsid w:val="003B2F20"/>
    <w:rsid w:val="003B4710"/>
    <w:rsid w:val="003D5262"/>
    <w:rsid w:val="004274A2"/>
    <w:rsid w:val="00436334"/>
    <w:rsid w:val="00476283"/>
    <w:rsid w:val="004B3664"/>
    <w:rsid w:val="004E344C"/>
    <w:rsid w:val="004F2C95"/>
    <w:rsid w:val="005B3505"/>
    <w:rsid w:val="005B38F1"/>
    <w:rsid w:val="005E1F8F"/>
    <w:rsid w:val="005E39C4"/>
    <w:rsid w:val="00613443"/>
    <w:rsid w:val="0065307D"/>
    <w:rsid w:val="00673BC2"/>
    <w:rsid w:val="00686240"/>
    <w:rsid w:val="006B0917"/>
    <w:rsid w:val="006B0E3A"/>
    <w:rsid w:val="00754128"/>
    <w:rsid w:val="007654AA"/>
    <w:rsid w:val="007D08BD"/>
    <w:rsid w:val="007D0C6A"/>
    <w:rsid w:val="007E336F"/>
    <w:rsid w:val="00815BAE"/>
    <w:rsid w:val="008414D7"/>
    <w:rsid w:val="00844F15"/>
    <w:rsid w:val="00897387"/>
    <w:rsid w:val="008A1D25"/>
    <w:rsid w:val="008E0CA7"/>
    <w:rsid w:val="008F2870"/>
    <w:rsid w:val="00916DC5"/>
    <w:rsid w:val="00954B0E"/>
    <w:rsid w:val="009855D7"/>
    <w:rsid w:val="00987F89"/>
    <w:rsid w:val="009A253E"/>
    <w:rsid w:val="009C6E40"/>
    <w:rsid w:val="009E0AA0"/>
    <w:rsid w:val="00A039A8"/>
    <w:rsid w:val="00A14F2C"/>
    <w:rsid w:val="00A15614"/>
    <w:rsid w:val="00A345AC"/>
    <w:rsid w:val="00A676EC"/>
    <w:rsid w:val="00AC7FB1"/>
    <w:rsid w:val="00AD4787"/>
    <w:rsid w:val="00AD6CDB"/>
    <w:rsid w:val="00B02520"/>
    <w:rsid w:val="00B30EA7"/>
    <w:rsid w:val="00B43AFA"/>
    <w:rsid w:val="00B50570"/>
    <w:rsid w:val="00B67437"/>
    <w:rsid w:val="00BB2160"/>
    <w:rsid w:val="00BB5B9B"/>
    <w:rsid w:val="00C045FE"/>
    <w:rsid w:val="00C44E9D"/>
    <w:rsid w:val="00C5302C"/>
    <w:rsid w:val="00C81CEE"/>
    <w:rsid w:val="00C82C06"/>
    <w:rsid w:val="00CA4FA9"/>
    <w:rsid w:val="00CC125F"/>
    <w:rsid w:val="00CC2670"/>
    <w:rsid w:val="00CE5A15"/>
    <w:rsid w:val="00CF2BA0"/>
    <w:rsid w:val="00D135E2"/>
    <w:rsid w:val="00D437CF"/>
    <w:rsid w:val="00D527F2"/>
    <w:rsid w:val="00D61255"/>
    <w:rsid w:val="00D75469"/>
    <w:rsid w:val="00D80E96"/>
    <w:rsid w:val="00D8160E"/>
    <w:rsid w:val="00DB3FEC"/>
    <w:rsid w:val="00DC2B6C"/>
    <w:rsid w:val="00DE1E9B"/>
    <w:rsid w:val="00DF4A69"/>
    <w:rsid w:val="00E212EB"/>
    <w:rsid w:val="00E45517"/>
    <w:rsid w:val="00E62DB0"/>
    <w:rsid w:val="00E84FD2"/>
    <w:rsid w:val="00E91CC4"/>
    <w:rsid w:val="00EC631E"/>
    <w:rsid w:val="00EC749D"/>
    <w:rsid w:val="00F11CFA"/>
    <w:rsid w:val="00F13C01"/>
    <w:rsid w:val="00F2502C"/>
    <w:rsid w:val="00F411FD"/>
    <w:rsid w:val="00F51B19"/>
    <w:rsid w:val="00F67A50"/>
    <w:rsid w:val="00F85297"/>
    <w:rsid w:val="00F92F70"/>
    <w:rsid w:val="00FA54C9"/>
    <w:rsid w:val="00FC68A2"/>
    <w:rsid w:val="00FF0C63"/>
    <w:rsid w:val="0A046EC8"/>
    <w:rsid w:val="0BCF0F16"/>
    <w:rsid w:val="0DAF1C49"/>
    <w:rsid w:val="119A074F"/>
    <w:rsid w:val="127C633D"/>
    <w:rsid w:val="19D767C9"/>
    <w:rsid w:val="28F00F8F"/>
    <w:rsid w:val="2922551D"/>
    <w:rsid w:val="30347B6E"/>
    <w:rsid w:val="38626CC0"/>
    <w:rsid w:val="3AC9167F"/>
    <w:rsid w:val="3B566F8A"/>
    <w:rsid w:val="3E417A02"/>
    <w:rsid w:val="40D56390"/>
    <w:rsid w:val="4D3434DD"/>
    <w:rsid w:val="4E6C5E71"/>
    <w:rsid w:val="515E1396"/>
    <w:rsid w:val="611C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5531</Words>
  <Characters>5972</Characters>
  <Lines>44</Lines>
  <Paragraphs>12</Paragraphs>
  <TotalTime>9</TotalTime>
  <ScaleCrop>false</ScaleCrop>
  <LinksUpToDate>false</LinksUpToDate>
  <CharactersWithSpaces>6512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叶宏欢</cp:lastModifiedBy>
  <cp:lastPrinted>2020-08-20T07:44:00Z</cp:lastPrinted>
  <dcterms:modified xsi:type="dcterms:W3CDTF">2026-06-05T01:27:23Z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B03B908C72D448C389E26164CF67A971</vt:lpwstr>
  </property>
  <property fmtid="{D5CDD505-2E9C-101B-9397-08002B2CF9AE}" pid="4" name="KSOTemplateDocerSaveRecord">
    <vt:lpwstr>eyJoZGlkIjoiMWQ2MDNjNzQ2NjVhMmFkYmRiMDUxYTVjMjZjYzU3YjciLCJ1c2VySWQiOiIxNDgxMDAwNDg1In0=</vt:lpwstr>
  </property>
</Properties>
</file>