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D07113">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44"/>
          <w:szCs w:val="44"/>
          <w:highlight w:val="none"/>
          <w:lang w:val="en-US" w:eastAsia="zh-CN" w:bidi="ar"/>
        </w:rPr>
      </w:pPr>
    </w:p>
    <w:p w14:paraId="0113FC1B">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44"/>
          <w:szCs w:val="44"/>
          <w:highlight w:val="none"/>
          <w:lang w:val="en-US" w:eastAsia="zh-CN" w:bidi="ar"/>
        </w:rPr>
      </w:pPr>
      <w:r>
        <w:rPr>
          <w:rFonts w:hint="default" w:ascii="Times New Roman" w:hAnsi="Times New Roman" w:eastAsia="宋体" w:cs="Times New Roman"/>
          <w:b/>
          <w:color w:val="000000"/>
          <w:kern w:val="0"/>
          <w:sz w:val="44"/>
          <w:szCs w:val="44"/>
          <w:highlight w:val="none"/>
          <w:lang w:val="en-US" w:eastAsia="zh-CN" w:bidi="ar"/>
        </w:rPr>
        <w:t>年产120万件铝合金零部件生产线项目</w:t>
      </w:r>
    </w:p>
    <w:p w14:paraId="3B9297AA">
      <w:pPr>
        <w:adjustRightInd w:val="0"/>
        <w:snapToGrid w:val="0"/>
        <w:spacing w:line="480" w:lineRule="auto"/>
        <w:ind w:left="0" w:leftChars="0" w:firstLine="0" w:firstLineChars="0"/>
        <w:jc w:val="center"/>
        <w:rPr>
          <w:rFonts w:hint="default" w:ascii="Times New Roman" w:hAnsi="Times New Roman" w:cs="Times New Roman" w:eastAsiaTheme="minorEastAsia"/>
          <w:b/>
          <w:bCs/>
          <w:color w:val="auto"/>
          <w:sz w:val="44"/>
          <w:szCs w:val="44"/>
          <w:lang w:val="en-US" w:eastAsia="zh-CN"/>
        </w:rPr>
      </w:pPr>
      <w:r>
        <w:rPr>
          <w:rFonts w:hint="eastAsia" w:ascii="Times New Roman" w:hAnsi="Times New Roman" w:cs="Times New Roman" w:eastAsiaTheme="minorEastAsia"/>
          <w:b/>
          <w:bCs/>
          <w:color w:val="auto"/>
          <w:sz w:val="44"/>
          <w:szCs w:val="44"/>
          <w:lang w:val="en-US" w:eastAsia="zh-CN"/>
        </w:rPr>
        <w:t xml:space="preserve">  环境影响报告书</w:t>
      </w:r>
    </w:p>
    <w:p w14:paraId="3BF19976">
      <w:pPr>
        <w:adjustRightInd w:val="0"/>
        <w:snapToGrid w:val="0"/>
        <w:spacing w:line="480" w:lineRule="auto"/>
        <w:ind w:left="0" w:leftChars="0" w:firstLine="0" w:firstLineChars="0"/>
        <w:jc w:val="center"/>
        <w:rPr>
          <w:rFonts w:hint="eastAsia" w:ascii="Times New Roman" w:hAnsi="Times New Roman" w:cs="Times New Roman" w:eastAsiaTheme="minorEastAsia"/>
          <w:b/>
          <w:bCs/>
          <w:color w:val="auto"/>
          <w:sz w:val="36"/>
          <w:szCs w:val="36"/>
          <w:lang w:val="en-US" w:eastAsia="zh-CN"/>
        </w:rPr>
      </w:pPr>
      <w:r>
        <w:rPr>
          <w:rFonts w:hint="eastAsia" w:ascii="Times New Roman" w:hAnsi="Times New Roman" w:cs="Times New Roman" w:eastAsiaTheme="minorEastAsia"/>
          <w:b/>
          <w:bCs/>
          <w:color w:val="auto"/>
          <w:sz w:val="36"/>
          <w:szCs w:val="36"/>
          <w:lang w:val="en-US" w:eastAsia="zh-CN"/>
        </w:rPr>
        <w:t>（送审稿）</w:t>
      </w:r>
    </w:p>
    <w:p w14:paraId="19C12CE0">
      <w:pPr>
        <w:pStyle w:val="29"/>
        <w:tabs>
          <w:tab w:val="left" w:pos="360"/>
        </w:tabs>
        <w:rPr>
          <w:rFonts w:ascii="Times New Roman" w:hAnsi="Times New Roman" w:eastAsiaTheme="minorEastAsia"/>
          <w:color w:val="auto"/>
        </w:rPr>
      </w:pPr>
    </w:p>
    <w:p w14:paraId="7FA225B1">
      <w:pPr>
        <w:pStyle w:val="29"/>
        <w:tabs>
          <w:tab w:val="left" w:pos="360"/>
        </w:tabs>
        <w:rPr>
          <w:rFonts w:ascii="Times New Roman" w:hAnsi="Times New Roman" w:eastAsiaTheme="minorEastAsia"/>
          <w:color w:val="auto"/>
        </w:rPr>
      </w:pPr>
    </w:p>
    <w:p w14:paraId="00301EC1">
      <w:pPr>
        <w:pStyle w:val="29"/>
        <w:tabs>
          <w:tab w:val="left" w:pos="360"/>
        </w:tabs>
        <w:rPr>
          <w:rFonts w:ascii="Times New Roman" w:hAnsi="Times New Roman" w:eastAsiaTheme="minorEastAsia"/>
          <w:color w:val="auto"/>
        </w:rPr>
      </w:pPr>
    </w:p>
    <w:p w14:paraId="08EB7FB4">
      <w:pPr>
        <w:jc w:val="center"/>
        <w:rPr>
          <w:rFonts w:ascii="Times New Roman" w:hAnsi="Times New Roman" w:eastAsiaTheme="minorEastAsia"/>
          <w:color w:val="auto"/>
          <w:sz w:val="52"/>
          <w:szCs w:val="52"/>
        </w:rPr>
      </w:pPr>
    </w:p>
    <w:p w14:paraId="6A22929F">
      <w:pPr>
        <w:jc w:val="center"/>
        <w:rPr>
          <w:rFonts w:ascii="Times New Roman" w:hAnsi="Times New Roman" w:eastAsiaTheme="minorEastAsia"/>
          <w:color w:val="auto"/>
          <w:sz w:val="52"/>
          <w:szCs w:val="52"/>
        </w:rPr>
      </w:pPr>
    </w:p>
    <w:p w14:paraId="2B9602FB">
      <w:pPr>
        <w:jc w:val="center"/>
        <w:rPr>
          <w:rFonts w:ascii="Times New Roman" w:hAnsi="Times New Roman" w:eastAsiaTheme="minorEastAsia"/>
          <w:color w:val="auto"/>
          <w:sz w:val="52"/>
          <w:szCs w:val="52"/>
        </w:rPr>
      </w:pPr>
    </w:p>
    <w:p w14:paraId="12A70F43">
      <w:pPr>
        <w:jc w:val="center"/>
        <w:rPr>
          <w:rFonts w:ascii="Times New Roman" w:hAnsi="Times New Roman" w:eastAsiaTheme="minorEastAsia"/>
          <w:color w:val="auto"/>
          <w:sz w:val="44"/>
          <w:szCs w:val="44"/>
        </w:rPr>
      </w:pPr>
      <w:r>
        <w:rPr>
          <w:rFonts w:ascii="Times New Roman" w:hAnsi="Times New Roman" w:eastAsiaTheme="minorEastAsia"/>
          <w:color w:val="auto"/>
          <w:sz w:val="52"/>
          <w:szCs w:val="52"/>
        </w:rPr>
        <w:t xml:space="preserve">  </w:t>
      </w:r>
    </w:p>
    <w:p w14:paraId="15E2A1D2">
      <w:pPr>
        <w:ind w:firstLine="1040"/>
        <w:rPr>
          <w:rFonts w:ascii="Times New Roman" w:hAnsi="Times New Roman" w:eastAsiaTheme="minorEastAsia"/>
          <w:color w:val="auto"/>
          <w:sz w:val="44"/>
          <w:szCs w:val="44"/>
        </w:rPr>
      </w:pPr>
    </w:p>
    <w:p w14:paraId="59BA1BDF">
      <w:pPr>
        <w:ind w:firstLine="1040"/>
        <w:rPr>
          <w:rFonts w:ascii="Times New Roman" w:hAnsi="Times New Roman" w:eastAsiaTheme="minorEastAsia"/>
          <w:color w:val="auto"/>
          <w:sz w:val="44"/>
          <w:szCs w:val="44"/>
        </w:rPr>
      </w:pPr>
    </w:p>
    <w:p w14:paraId="2F9654B7">
      <w:pPr>
        <w:ind w:firstLine="1040"/>
        <w:rPr>
          <w:rFonts w:ascii="Times New Roman" w:hAnsi="Times New Roman" w:eastAsiaTheme="minorEastAsia"/>
          <w:color w:val="auto"/>
          <w:sz w:val="44"/>
          <w:szCs w:val="44"/>
        </w:rPr>
      </w:pPr>
    </w:p>
    <w:p w14:paraId="131536C4">
      <w:pPr>
        <w:ind w:firstLine="1040"/>
        <w:rPr>
          <w:rFonts w:ascii="Times New Roman" w:hAnsi="Times New Roman" w:eastAsiaTheme="minorEastAsia"/>
          <w:color w:val="auto"/>
          <w:sz w:val="44"/>
          <w:szCs w:val="44"/>
        </w:rPr>
      </w:pPr>
    </w:p>
    <w:p w14:paraId="54348A65">
      <w:pPr>
        <w:ind w:firstLine="1040"/>
        <w:rPr>
          <w:rFonts w:ascii="Times New Roman" w:hAnsi="Times New Roman" w:eastAsiaTheme="minorEastAsia"/>
          <w:b/>
          <w:bCs/>
          <w:color w:val="auto"/>
          <w:sz w:val="44"/>
          <w:szCs w:val="44"/>
        </w:rPr>
      </w:pPr>
    </w:p>
    <w:p w14:paraId="6DA3721E">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32"/>
          <w:szCs w:val="32"/>
          <w:highlight w:val="none"/>
          <w:lang w:val="en-US" w:eastAsia="zh-CN" w:bidi="ar"/>
        </w:rPr>
      </w:pPr>
      <w:r>
        <w:rPr>
          <w:rFonts w:hint="eastAsia" w:ascii="Times New Roman" w:hAnsi="Times New Roman" w:eastAsia="宋体" w:cs="Times New Roman"/>
          <w:b/>
          <w:color w:val="000000"/>
          <w:kern w:val="0"/>
          <w:sz w:val="32"/>
          <w:szCs w:val="32"/>
          <w:highlight w:val="none"/>
          <w:lang w:val="en-US" w:eastAsia="zh-CN" w:bidi="ar"/>
        </w:rPr>
        <w:t>建设单位</w:t>
      </w:r>
      <w:r>
        <w:rPr>
          <w:rFonts w:hint="default" w:ascii="Times New Roman" w:hAnsi="Times New Roman" w:eastAsia="宋体" w:cs="Times New Roman"/>
          <w:b/>
          <w:color w:val="000000"/>
          <w:kern w:val="0"/>
          <w:sz w:val="32"/>
          <w:szCs w:val="32"/>
          <w:highlight w:val="none"/>
          <w:lang w:val="en-US" w:eastAsia="zh-CN" w:bidi="ar"/>
        </w:rPr>
        <w:t>：湖南中达精密制造有限公司</w:t>
      </w:r>
      <w:r>
        <w:rPr>
          <w:rFonts w:hint="eastAsia" w:ascii="Times New Roman" w:hAnsi="Times New Roman" w:eastAsia="宋体" w:cs="Times New Roman"/>
          <w:b/>
          <w:color w:val="000000"/>
          <w:kern w:val="0"/>
          <w:sz w:val="32"/>
          <w:szCs w:val="32"/>
          <w:highlight w:val="none"/>
          <w:lang w:val="en-US" w:eastAsia="zh-CN" w:bidi="ar"/>
        </w:rPr>
        <w:t xml:space="preserve"> </w:t>
      </w:r>
    </w:p>
    <w:p w14:paraId="68660C1F">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32"/>
          <w:szCs w:val="32"/>
          <w:highlight w:val="none"/>
          <w:lang w:val="en-US" w:eastAsia="zh-CN" w:bidi="ar"/>
        </w:rPr>
      </w:pPr>
      <w:r>
        <w:rPr>
          <w:rFonts w:hint="eastAsia" w:ascii="Times New Roman" w:hAnsi="Times New Roman" w:eastAsia="宋体" w:cs="Times New Roman"/>
          <w:b/>
          <w:color w:val="000000"/>
          <w:kern w:val="0"/>
          <w:sz w:val="32"/>
          <w:szCs w:val="32"/>
          <w:highlight w:val="none"/>
          <w:lang w:val="en-US" w:eastAsia="zh-CN" w:bidi="ar"/>
        </w:rPr>
        <w:t>环评</w:t>
      </w:r>
      <w:r>
        <w:rPr>
          <w:rFonts w:hint="default" w:ascii="Times New Roman" w:hAnsi="Times New Roman" w:eastAsia="宋体" w:cs="Times New Roman"/>
          <w:b/>
          <w:color w:val="000000"/>
          <w:kern w:val="0"/>
          <w:sz w:val="32"/>
          <w:szCs w:val="32"/>
          <w:highlight w:val="none"/>
          <w:lang w:val="en-US" w:eastAsia="zh-CN" w:bidi="ar"/>
        </w:rPr>
        <w:t>单位：湖南霖昇工程技术咨询有限公司</w:t>
      </w:r>
    </w:p>
    <w:p w14:paraId="476E7EAD">
      <w:pPr>
        <w:keepNext w:val="0"/>
        <w:keepLines w:val="0"/>
        <w:widowControl/>
        <w:suppressLineNumbers w:val="0"/>
        <w:ind w:left="0" w:leftChars="0" w:firstLine="0" w:firstLineChars="0"/>
        <w:jc w:val="center"/>
        <w:rPr>
          <w:rFonts w:hint="default" w:ascii="Times New Roman" w:hAnsi="Times New Roman" w:eastAsia="宋体" w:cs="Times New Roman"/>
          <w:b/>
          <w:color w:val="000000"/>
          <w:kern w:val="0"/>
          <w:sz w:val="32"/>
          <w:szCs w:val="32"/>
          <w:highlight w:val="none"/>
          <w:lang w:val="en-US" w:eastAsia="zh-CN" w:bidi="ar"/>
        </w:rPr>
      </w:pPr>
      <w:r>
        <w:rPr>
          <w:rFonts w:hint="default" w:ascii="Times New Roman" w:hAnsi="Times New Roman" w:eastAsia="宋体" w:cs="Times New Roman"/>
          <w:b/>
          <w:color w:val="000000"/>
          <w:kern w:val="0"/>
          <w:sz w:val="32"/>
          <w:szCs w:val="32"/>
          <w:highlight w:val="none"/>
          <w:lang w:val="en-US" w:eastAsia="zh-CN" w:bidi="ar"/>
        </w:rPr>
        <w:t>编制日期：</w:t>
      </w:r>
      <w:r>
        <w:rPr>
          <w:rFonts w:hint="eastAsia" w:ascii="Times New Roman" w:hAnsi="Times New Roman" w:eastAsia="宋体" w:cs="Times New Roman"/>
          <w:b/>
          <w:color w:val="000000"/>
          <w:kern w:val="0"/>
          <w:sz w:val="32"/>
          <w:szCs w:val="32"/>
          <w:highlight w:val="none"/>
          <w:lang w:val="en-US" w:eastAsia="zh-CN" w:bidi="ar"/>
        </w:rPr>
        <w:t>二〇二五年三月</w:t>
      </w:r>
    </w:p>
    <w:p w14:paraId="44C967C9">
      <w:pPr>
        <w:adjustRightInd w:val="0"/>
        <w:snapToGrid w:val="0"/>
        <w:spacing w:line="288" w:lineRule="auto"/>
        <w:ind w:firstLine="1040"/>
        <w:rPr>
          <w:rFonts w:ascii="Times New Roman" w:hAnsi="Times New Roman" w:eastAsiaTheme="minorEastAsia"/>
          <w:b/>
          <w:bCs/>
          <w:color w:val="auto"/>
          <w:sz w:val="36"/>
          <w:szCs w:val="36"/>
        </w:rPr>
      </w:pPr>
      <w:bookmarkStart w:id="0" w:name="_Hlk57884087"/>
    </w:p>
    <w:p w14:paraId="5D728A7C">
      <w:pPr>
        <w:adjustRightInd w:val="0"/>
        <w:snapToGrid w:val="0"/>
        <w:spacing w:line="288" w:lineRule="auto"/>
        <w:ind w:firstLine="1040"/>
        <w:rPr>
          <w:rFonts w:ascii="Times New Roman" w:hAnsi="Times New Roman" w:eastAsiaTheme="minorEastAsia"/>
          <w:b/>
          <w:bCs/>
          <w:color w:val="auto"/>
          <w:sz w:val="36"/>
          <w:szCs w:val="36"/>
        </w:rPr>
      </w:pPr>
    </w:p>
    <w:p w14:paraId="7EF494C4">
      <w:pPr>
        <w:adjustRightInd w:val="0"/>
        <w:snapToGrid w:val="0"/>
        <w:spacing w:line="288" w:lineRule="auto"/>
        <w:ind w:firstLine="1040"/>
        <w:rPr>
          <w:rFonts w:ascii="Times New Roman" w:hAnsi="Times New Roman" w:eastAsiaTheme="minorEastAsia"/>
          <w:b/>
          <w:bCs/>
          <w:color w:val="auto"/>
          <w:sz w:val="36"/>
          <w:szCs w:val="36"/>
        </w:rPr>
      </w:pPr>
    </w:p>
    <w:bookmarkEnd w:id="0"/>
    <w:p w14:paraId="5BF14253">
      <w:pPr>
        <w:pStyle w:val="25"/>
        <w:tabs>
          <w:tab w:val="right" w:leader="dot" w:pos="8312"/>
        </w:tabs>
        <w:ind w:firstLine="720" w:firstLineChars="0"/>
        <w:jc w:val="center"/>
        <w:rPr>
          <w:rFonts w:hint="default" w:ascii="Times New Roman" w:hAnsi="Times New Roman" w:eastAsia="宋体" w:cs="Times New Roman"/>
          <w:color w:val="auto"/>
          <w:kern w:val="2"/>
          <w:sz w:val="24"/>
          <w:szCs w:val="24"/>
          <w:u w:val="none"/>
          <w:lang w:val="en-US" w:eastAsia="zh-CN" w:bidi="ar-SA"/>
        </w:rPr>
      </w:pPr>
      <w:r>
        <w:rPr>
          <w:rFonts w:hint="default" w:ascii="Times New Roman" w:hAnsi="Times New Roman" w:cs="Times New Roman"/>
          <w:b/>
          <w:bCs/>
          <w:color w:val="auto"/>
          <w:sz w:val="36"/>
          <w:szCs w:val="36"/>
          <w:u w:val="none"/>
        </w:rPr>
        <w:t>目 录</w:t>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TOC \o "1-2" \h \u </w:instrText>
      </w:r>
      <w:r>
        <w:rPr>
          <w:rFonts w:hint="default" w:ascii="Times New Roman" w:hAnsi="Times New Roman" w:cs="Times New Roman"/>
          <w:color w:val="auto"/>
          <w:u w:val="none"/>
        </w:rPr>
        <w:fldChar w:fldCharType="separate"/>
      </w:r>
    </w:p>
    <w:p w14:paraId="3ADC9D39">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_Toc18754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 概述</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_Toc18754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A47066B">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_Toc11657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1.1. 项目由来</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_Toc11657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4550737E">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_Toc11533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1.2. 环境影响评价的工作过程</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_Toc11533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6</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446B053">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_Toc2411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1.3. 主要评价内容及评价重点</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_Toc2411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34A8386">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_Toc963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1.4. 相关情况判定</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_Toc963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8</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8434BF8">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_Toc17878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1.5. 关注的主要环境问题及环境影响</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_Toc17878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19</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47ABE46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_Toc3574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 环境影响评价的主要结论</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_Toc3574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EF3D80F">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_Toc25977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 总则</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_Toc25977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0BFD2B7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_Toc32377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2.1. 编制依据</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_Toc32377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CF6D9BB">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_Toc1867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2.2. 环境影响识别与评价因子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_Toc1867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23</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E497D3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_Toc6670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2.3. 评价标准</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_Toc6670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24</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0AD0455">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_Toc8205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2.4. 评价工作等级及评价范围</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_Toc8205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4DE4C50">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_Toc16751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2.5. 环境功能区划</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_Toc16751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442E10C">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_Toc14492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2.6. 环境保护目标</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_Toc14492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36</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6B2F55E">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_Toc8394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 建设项目概况</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_Toc8394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39</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9DCA98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_Toc8213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3.1. 基本情况</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_Toc8213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39</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3195C7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_Toc22498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3.2. 建设内容</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_Toc22498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39</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247DEBC">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_Toc14302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3.3. 主要原辅材料</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_Toc14302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0E4EC52C">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_Toc18549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3.4. 主要设备</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_Toc18549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43</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1541EC2">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_Toc28929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3.5. 劳动定员及工作制度</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_Toc28929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3976072">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_Toc25752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3.6. 总平面布置</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_Toc25752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875BE0F">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_Toc3472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 工程分析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_Toc3472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46</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693A0CA">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_Toc25892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4.1. 营运期工艺流程和产污环节分析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_Toc25892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46</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B369D63">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_Toc3552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4.2. 产污环节</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_Toc3552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A0C380B">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_Toc20595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4.3. 水平衡</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_Toc20595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10DB232">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_Toc12507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4.4. 物料平衡</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_Toc12507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57</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2D48345">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_Toc15341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4.5. 施工期污染源分析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_Toc15341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57</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26776316">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_Toc26565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4.6. 营运期污染源分析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_Toc26565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58</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E2453B6">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_Toc18245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4.7. 营运期污染源强汇总</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_Toc18245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C2D600E">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_Toc24857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 环境现状调查与评价</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_Toc24857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73</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48D8FD9C">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_Toc1620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5.1. 自然环境</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_Toc1620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73</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C93E778">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_Toc11120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5.2. 环境质量现状调查与评价</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_Toc11120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79</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09F0E4C2">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_Toc30438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6. 环境影响预测与评价</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_Toc30438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94</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A8CA2C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_Toc14485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6.1. 施工期环境影响分析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_Toc14485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94</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C37213D">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_Toc18950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6.2. 营运期环境影响预测及分析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_Toc18950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94</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7C627B6">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_Toc2602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6.3. 环境风险分析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_Toc2602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123</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0AC38CB">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_Toc17540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6.4. 总量控制指标</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_Toc17540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149</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79DA13D">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_Toc23697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 污染防治措施及可行性分析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_Toc23697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150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0EB759D6">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_Toc22730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7.1. 施工期环境保护措施可行性分析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_Toc22730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150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3565AFE">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_Toc2545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7.2. 营运期大气环境污染防治措施及可行性</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_Toc2545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150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172F7F4">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_Toc27707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7.3. 营运期地表水环境污染防治措施及可行性分析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_Toc27707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152</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45DEBAAB">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_Toc28302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7.4. 营运期土壤及地下水污染防治措施及可行性分析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_Toc28302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5829E8A">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_Toc3252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7.5. 营运期声环境污染防治措施及可行性分析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_Toc3252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3846999">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_Toc8405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7.6. 营运期固体废物污染防治措施及可行性分析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_Toc8405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162</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3D98D9E">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_Toc16101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8. 环境影响经济损益分析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_Toc16101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147FC6F">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_Toc8903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8.1. 环保投资分析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_Toc8903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165</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251CAAD5">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_Toc5275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8.2. 经济效益分析</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_Toc5275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166</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40F06425">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_Toc8098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8.3. 小结</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_Toc8098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167</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ACE2F99">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_Toc29236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 环境管理与监测计划</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_Toc29236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168</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44FC986">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_Toc8191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9.1. 环境管理</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_Toc8191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168</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54F44E52">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_Toc25806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9.2. 环境监测计划</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_Toc25806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170</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7DC04797">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_Toc12223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9.3. 竣工环境保护验收</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_Toc12223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171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36B14771">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_Toc14078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9.4. 排污口规范化管理</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_Toc14078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174</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4F3F3CD8">
      <w:pPr>
        <w:pStyle w:val="22"/>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_Toc3196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10. 结论与建议</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_Toc3196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178</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1338A400">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_Toc8195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10.1. 结论</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_Toc8195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178</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2DF9E6CF">
      <w:pPr>
        <w:pStyle w:val="25"/>
        <w:tabs>
          <w:tab w:val="right" w:leader="dot" w:pos="8312"/>
        </w:tabs>
        <w:rPr>
          <w:rFonts w:hint="default" w:ascii="Times New Roman" w:hAnsi="Times New Roman" w:cs="Times New Roman"/>
          <w:color w:val="auto"/>
          <w:u w:val="none"/>
        </w:rPr>
      </w:pP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HYPERLINK \l _Toc26710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10.2. 建议</w:t>
      </w:r>
      <w:r>
        <w:rPr>
          <w:rFonts w:hint="default" w:ascii="Times New Roman" w:hAnsi="Times New Roman" w:cs="Times New Roman"/>
          <w:color w:val="auto"/>
          <w:u w:val="none"/>
        </w:rPr>
        <w:tab/>
      </w:r>
      <w:r>
        <w:rPr>
          <w:rFonts w:hint="default" w:ascii="Times New Roman" w:hAnsi="Times New Roman" w:cs="Times New Roman"/>
          <w:color w:val="auto"/>
          <w:u w:val="none"/>
        </w:rPr>
        <w:fldChar w:fldCharType="begin"/>
      </w:r>
      <w:r>
        <w:rPr>
          <w:rFonts w:hint="default" w:ascii="Times New Roman" w:hAnsi="Times New Roman" w:cs="Times New Roman"/>
          <w:color w:val="auto"/>
          <w:u w:val="none"/>
        </w:rPr>
        <w:instrText xml:space="preserve"> PAGEREF _Toc26710 \h </w:instrText>
      </w:r>
      <w:r>
        <w:rPr>
          <w:rFonts w:hint="default" w:ascii="Times New Roman" w:hAnsi="Times New Roman" w:cs="Times New Roman"/>
          <w:color w:val="auto"/>
          <w:u w:val="none"/>
        </w:rPr>
        <w:fldChar w:fldCharType="separate"/>
      </w:r>
      <w:r>
        <w:rPr>
          <w:rFonts w:hint="default" w:ascii="Times New Roman" w:hAnsi="Times New Roman" w:cs="Times New Roman"/>
          <w:color w:val="auto"/>
          <w:u w:val="none"/>
        </w:rPr>
        <w:t>181</w:t>
      </w:r>
      <w:r>
        <w:rPr>
          <w:rFonts w:hint="default" w:ascii="Times New Roman" w:hAnsi="Times New Roman" w:cs="Times New Roman"/>
          <w:color w:val="auto"/>
          <w:u w:val="none"/>
        </w:rPr>
        <w:fldChar w:fldCharType="end"/>
      </w:r>
      <w:r>
        <w:rPr>
          <w:rFonts w:hint="default" w:ascii="Times New Roman" w:hAnsi="Times New Roman" w:cs="Times New Roman"/>
          <w:color w:val="auto"/>
          <w:u w:val="none"/>
        </w:rPr>
        <w:fldChar w:fldCharType="end"/>
      </w:r>
    </w:p>
    <w:p w14:paraId="6153DDB3">
      <w:pPr>
        <w:tabs>
          <w:tab w:val="right" w:leader="dot" w:pos="8312"/>
        </w:tabs>
        <w:ind w:firstLine="0" w:firstLineChars="0"/>
        <w:jc w:val="center"/>
        <w:rPr>
          <w:rFonts w:hint="default" w:ascii="Times New Roman" w:hAnsi="Times New Roman" w:cs="Times New Roman"/>
          <w:color w:val="auto"/>
          <w:u w:val="none"/>
        </w:rPr>
      </w:pPr>
      <w:r>
        <w:rPr>
          <w:rFonts w:hint="default" w:ascii="Times New Roman" w:hAnsi="Times New Roman" w:cs="Times New Roman"/>
          <w:color w:val="auto"/>
          <w:u w:val="none"/>
        </w:rPr>
        <w:fldChar w:fldCharType="end"/>
      </w:r>
      <w:bookmarkStart w:id="1" w:name="_Toc15506"/>
    </w:p>
    <w:p w14:paraId="511A9569">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b/>
          <w:bCs/>
          <w:color w:val="auto"/>
          <w:u w:val="none"/>
        </w:rPr>
      </w:pPr>
      <w:r>
        <w:rPr>
          <w:rFonts w:hint="default" w:ascii="Times New Roman" w:hAnsi="Times New Roman" w:cs="Times New Roman"/>
          <w:color w:val="FF0000"/>
          <w:u w:val="none"/>
        </w:rPr>
        <w:br w:type="page"/>
      </w:r>
      <w:r>
        <w:rPr>
          <w:rFonts w:hint="default" w:ascii="Times New Roman" w:hAnsi="Times New Roman" w:cs="Times New Roman"/>
          <w:b/>
          <w:bCs/>
          <w:color w:val="auto"/>
          <w:u w:val="none"/>
        </w:rPr>
        <w:t>附件</w:t>
      </w:r>
    </w:p>
    <w:p w14:paraId="2CA428ED">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附件1：委托函</w:t>
      </w:r>
    </w:p>
    <w:p w14:paraId="78811A03">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附件2：</w:t>
      </w:r>
      <w:r>
        <w:rPr>
          <w:rFonts w:hint="eastAsia" w:ascii="Times New Roman" w:hAnsi="Times New Roman" w:cs="Times New Roman"/>
          <w:color w:val="auto"/>
          <w:u w:val="none"/>
          <w:lang w:val="en-US" w:eastAsia="zh-CN"/>
        </w:rPr>
        <w:t>租赁合同</w:t>
      </w:r>
    </w:p>
    <w:p w14:paraId="63A32607">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附件3：发改委备案文件</w:t>
      </w:r>
    </w:p>
    <w:p w14:paraId="6B53FF4C">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附件</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：环境质量现状监测报告</w:t>
      </w:r>
    </w:p>
    <w:p w14:paraId="76403D3A">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附件</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：关于湖南城陵矶临港产业新区产业核心区环境影响报告书的批复</w:t>
      </w:r>
    </w:p>
    <w:p w14:paraId="63C39EDA">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附件</w:t>
      </w: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：岳阳临港高新技术产业开发区环境影响跟踪评价工作意见的函</w:t>
      </w:r>
    </w:p>
    <w:p w14:paraId="0A1DFF7D">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附件</w:t>
      </w:r>
      <w:r>
        <w:rPr>
          <w:rFonts w:hint="eastAsia" w:ascii="Times New Roman" w:hAnsi="Times New Roman" w:cs="Times New Roman"/>
          <w:color w:val="auto"/>
          <w:u w:val="none"/>
          <w:lang w:val="en-US" w:eastAsia="zh-CN"/>
        </w:rPr>
        <w:t>7</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废水纳管协议书</w:t>
      </w:r>
    </w:p>
    <w:p w14:paraId="3F36249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附件8  湖南城陵矶新港区2025年工作要点</w:t>
      </w:r>
    </w:p>
    <w:p w14:paraId="4721F019">
      <w:pPr>
        <w:keepNext w:val="0"/>
        <w:keepLines w:val="0"/>
        <w:pageBreakBefore w:val="0"/>
        <w:widowControl w:val="0"/>
        <w:kinsoku/>
        <w:wordWrap/>
        <w:overflowPunct/>
        <w:topLinePunct w:val="0"/>
        <w:autoSpaceDE/>
        <w:autoSpaceDN/>
        <w:bidi w:val="0"/>
        <w:adjustRightInd/>
        <w:snapToGrid/>
        <w:spacing w:line="336" w:lineRule="auto"/>
        <w:ind w:firstLine="482"/>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附图</w:t>
      </w:r>
    </w:p>
    <w:p w14:paraId="7D8ADF21">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附图1：项目地理位置图</w:t>
      </w:r>
    </w:p>
    <w:p w14:paraId="19EB02EA">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附图2：环境质量现状监测布点图</w:t>
      </w:r>
    </w:p>
    <w:p w14:paraId="3792DB00">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附图3：总平面布置及主要环保设施布置图</w:t>
      </w:r>
    </w:p>
    <w:p w14:paraId="5A62DA32">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附图4：</w:t>
      </w:r>
      <w:r>
        <w:rPr>
          <w:rFonts w:hint="eastAsia" w:ascii="Times New Roman" w:hAnsi="Times New Roman" w:cs="Times New Roman"/>
          <w:color w:val="auto"/>
          <w:u w:val="none"/>
          <w:lang w:val="en-US" w:eastAsia="zh-CN"/>
        </w:rPr>
        <w:t>生产车间布局图</w:t>
      </w:r>
    </w:p>
    <w:p w14:paraId="17B9A161">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：环保目标图</w:t>
      </w:r>
    </w:p>
    <w:p w14:paraId="0395B28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w:t>
      </w: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：城陵矶新港区北片区土地利用现状图</w:t>
      </w:r>
    </w:p>
    <w:p w14:paraId="6BBD427C">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w:t>
      </w:r>
      <w:r>
        <w:rPr>
          <w:rFonts w:hint="eastAsia" w:ascii="Times New Roman" w:hAnsi="Times New Roman" w:cs="Times New Roman"/>
          <w:color w:val="auto"/>
          <w:u w:val="none"/>
          <w:lang w:val="en-US" w:eastAsia="zh-CN"/>
        </w:rPr>
        <w:t>7</w:t>
      </w:r>
      <w:r>
        <w:rPr>
          <w:rFonts w:hint="default" w:ascii="Times New Roman" w:hAnsi="Times New Roman" w:cs="Times New Roman"/>
          <w:color w:val="auto"/>
          <w:u w:val="none"/>
        </w:rPr>
        <w:t>：岳阳市生态红线图</w:t>
      </w:r>
    </w:p>
    <w:p w14:paraId="298ABCA5">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w:t>
      </w:r>
      <w:r>
        <w:rPr>
          <w:rFonts w:hint="eastAsia" w:ascii="Times New Roman" w:hAnsi="Times New Roman" w:cs="Times New Roman"/>
          <w:color w:val="auto"/>
          <w:u w:val="none"/>
          <w:lang w:val="en-US" w:eastAsia="zh-CN"/>
        </w:rPr>
        <w:t>8</w:t>
      </w:r>
      <w:r>
        <w:rPr>
          <w:rFonts w:hint="default" w:ascii="Times New Roman" w:hAnsi="Times New Roman" w:cs="Times New Roman"/>
          <w:color w:val="auto"/>
          <w:u w:val="none"/>
        </w:rPr>
        <w:t>：大气环境评价范围图</w:t>
      </w:r>
    </w:p>
    <w:p w14:paraId="57D47C92">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w:t>
      </w:r>
      <w:r>
        <w:rPr>
          <w:rFonts w:hint="eastAsia" w:ascii="Times New Roman" w:hAnsi="Times New Roman" w:cs="Times New Roman"/>
          <w:color w:val="auto"/>
          <w:u w:val="none"/>
          <w:lang w:val="en-US" w:eastAsia="zh-CN"/>
        </w:rPr>
        <w:t>9</w:t>
      </w:r>
      <w:r>
        <w:rPr>
          <w:rFonts w:hint="default" w:ascii="Times New Roman" w:hAnsi="Times New Roman" w:cs="Times New Roman"/>
          <w:color w:val="auto"/>
          <w:u w:val="none"/>
        </w:rPr>
        <w:t>：大气环境风险评价范围图</w:t>
      </w:r>
    </w:p>
    <w:p w14:paraId="668C5E47">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w:t>
      </w:r>
      <w:r>
        <w:rPr>
          <w:rFonts w:hint="eastAsia" w:ascii="Times New Roman" w:hAnsi="Times New Roman" w:cs="Times New Roman"/>
          <w:color w:val="auto"/>
          <w:u w:val="none"/>
          <w:lang w:val="en-US" w:eastAsia="zh-CN"/>
        </w:rPr>
        <w:t>10</w:t>
      </w:r>
      <w:r>
        <w:rPr>
          <w:rFonts w:hint="default" w:ascii="Times New Roman" w:hAnsi="Times New Roman" w:cs="Times New Roman"/>
          <w:color w:val="auto"/>
          <w:u w:val="none"/>
        </w:rPr>
        <w:t>：地下水环境评价（地下水环境风险评价）范围图</w:t>
      </w:r>
    </w:p>
    <w:p w14:paraId="74BEA8B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附图1</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：土壤环境评价范围图</w:t>
      </w:r>
    </w:p>
    <w:p w14:paraId="5D95C76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附图1</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：声环境评价范围图</w:t>
      </w:r>
    </w:p>
    <w:p w14:paraId="60629754">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附图1</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：地表水环境风险评价范围图</w:t>
      </w:r>
    </w:p>
    <w:p w14:paraId="3E15E34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附图14：区域水系图</w:t>
      </w:r>
    </w:p>
    <w:p w14:paraId="6CACF653">
      <w:pPr>
        <w:keepNext w:val="0"/>
        <w:keepLines w:val="0"/>
        <w:pageBreakBefore w:val="0"/>
        <w:widowControl w:val="0"/>
        <w:kinsoku/>
        <w:wordWrap/>
        <w:overflowPunct/>
        <w:topLinePunct w:val="0"/>
        <w:autoSpaceDE/>
        <w:autoSpaceDN/>
        <w:bidi w:val="0"/>
        <w:adjustRightInd/>
        <w:snapToGrid/>
        <w:spacing w:line="336" w:lineRule="auto"/>
        <w:ind w:firstLine="482"/>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附表</w:t>
      </w:r>
    </w:p>
    <w:p w14:paraId="0A90F8B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大气环境影响评价自查表</w:t>
      </w:r>
    </w:p>
    <w:p w14:paraId="35887EC0">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环境风险评价自查表</w:t>
      </w:r>
    </w:p>
    <w:p w14:paraId="1114493C">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地表水环境影响评价自查表</w:t>
      </w:r>
    </w:p>
    <w:p w14:paraId="53DD9FF5">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土壤环境影响评价自查表</w:t>
      </w:r>
    </w:p>
    <w:p w14:paraId="258F6B3D">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生态影响评价自查表</w:t>
      </w:r>
    </w:p>
    <w:p w14:paraId="5A2BDC12">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声环境影响评价自查表</w:t>
      </w:r>
    </w:p>
    <w:p w14:paraId="6C64F59F">
      <w:pPr>
        <w:keepNext w:val="0"/>
        <w:keepLines w:val="0"/>
        <w:pageBreakBefore w:val="0"/>
        <w:widowControl w:val="0"/>
        <w:kinsoku/>
        <w:wordWrap/>
        <w:overflowPunct/>
        <w:topLinePunct w:val="0"/>
        <w:autoSpaceDE/>
        <w:autoSpaceDN/>
        <w:bidi w:val="0"/>
        <w:adjustRightInd/>
        <w:snapToGrid/>
        <w:spacing w:line="336"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建设项目环评审批基础信息表</w:t>
      </w:r>
    </w:p>
    <w:p w14:paraId="23BF9B95">
      <w:pPr>
        <w:ind w:firstLine="480"/>
        <w:rPr>
          <w:rFonts w:hint="default" w:ascii="Times New Roman" w:hAnsi="Times New Roman" w:cs="Times New Roman"/>
          <w:color w:val="FF0000"/>
          <w:u w:val="none"/>
        </w:rPr>
        <w:sectPr>
          <w:headerReference r:id="rId5" w:type="default"/>
          <w:footerReference r:id="rId6" w:type="default"/>
          <w:pgSz w:w="11906" w:h="16838"/>
          <w:pgMar w:top="1134" w:right="1797" w:bottom="1134" w:left="1797" w:header="851" w:footer="992" w:gutter="0"/>
          <w:pgBorders>
            <w:top w:val="none" w:sz="0" w:space="0"/>
            <w:left w:val="none" w:sz="0" w:space="0"/>
            <w:bottom w:val="none" w:sz="0" w:space="0"/>
            <w:right w:val="none" w:sz="0" w:space="0"/>
          </w:pgBorders>
          <w:pgNumType w:fmt="upperRoman" w:start="1"/>
          <w:cols w:space="0" w:num="1"/>
          <w:docGrid w:type="linesAndChars" w:linePitch="312" w:charSpace="0"/>
        </w:sectPr>
      </w:pPr>
    </w:p>
    <w:bookmarkEnd w:id="1"/>
    <w:p w14:paraId="2732247D">
      <w:pPr>
        <w:pStyle w:val="2"/>
        <w:ind w:left="0" w:leftChars="0" w:firstLineChars="0"/>
        <w:rPr>
          <w:rFonts w:hint="default" w:ascii="Times New Roman" w:hAnsi="Times New Roman" w:cs="Times New Roman"/>
          <w:color w:val="auto"/>
          <w:u w:val="none"/>
        </w:rPr>
      </w:pPr>
      <w:bookmarkStart w:id="2" w:name="_Toc18754"/>
      <w:bookmarkStart w:id="3" w:name="_Toc29506"/>
      <w:r>
        <w:rPr>
          <w:rFonts w:hint="default" w:ascii="Times New Roman" w:hAnsi="Times New Roman" w:cs="Times New Roman"/>
          <w:color w:val="auto"/>
          <w:u w:val="none"/>
        </w:rPr>
        <w:t>概述</w:t>
      </w:r>
      <w:bookmarkEnd w:id="2"/>
    </w:p>
    <w:p w14:paraId="7EE6FA7C">
      <w:pPr>
        <w:pStyle w:val="4"/>
        <w:ind w:left="0" w:leftChars="0" w:firstLineChars="0"/>
        <w:rPr>
          <w:rFonts w:hint="default" w:ascii="Times New Roman" w:hAnsi="Times New Roman" w:cs="Times New Roman"/>
          <w:color w:val="auto"/>
          <w:u w:val="none"/>
        </w:rPr>
      </w:pPr>
      <w:bookmarkStart w:id="4" w:name="_Toc31582"/>
      <w:bookmarkStart w:id="5" w:name="_Toc11657"/>
      <w:r>
        <w:rPr>
          <w:rFonts w:hint="default" w:ascii="Times New Roman" w:hAnsi="Times New Roman" w:cs="Times New Roman"/>
          <w:color w:val="auto"/>
          <w:u w:val="none"/>
        </w:rPr>
        <w:t>项目由来</w:t>
      </w:r>
      <w:bookmarkEnd w:id="4"/>
      <w:bookmarkEnd w:id="5"/>
    </w:p>
    <w:p w14:paraId="0BD320D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中达精密制造有限公司（简称中达精密）依托湖南中创空天新材料股份有限公司及中南大学在铝合金铸、挤压、锻造钣金等相关材料及工艺技术优势，结合高精度机加工生产技术，聚焦新能源汽车用铝材、汽车零部件市场及高端航空航天航海领域需求，是一家集挤压、精密零部件加工及表面处理于一体的高端金属材料加工制造基地。</w:t>
      </w:r>
    </w:p>
    <w:p w14:paraId="7D829EAA">
      <w:pPr>
        <w:rPr>
          <w:rFonts w:hint="default" w:ascii="Times New Roman" w:hAnsi="Times New Roman" w:cs="Times New Roman"/>
          <w:lang w:val="en-US" w:eastAsia="zh-CN"/>
        </w:rPr>
      </w:pPr>
      <w:r>
        <w:rPr>
          <w:rFonts w:hint="eastAsia" w:ascii="Times New Roman" w:hAnsi="Times New Roman" w:cs="Times New Roman"/>
          <w:lang w:val="en-US" w:eastAsia="zh-CN"/>
        </w:rPr>
        <w:t>根据中共湖南城陵矶新港区工作委员会关于印发《湖南城陵矶新港区 2025 年工作要点》的通知（详见附件附件8）中</w:t>
      </w:r>
      <w:r>
        <w:rPr>
          <w:rFonts w:hint="default" w:ascii="Times New Roman" w:hAnsi="Times New Roman" w:cs="Times New Roman"/>
          <w:lang w:val="en-US" w:eastAsia="zh-CN"/>
        </w:rPr>
        <w:t>打造空天产业园</w:t>
      </w:r>
      <w:r>
        <w:rPr>
          <w:rFonts w:hint="eastAsia" w:ascii="Times New Roman" w:hAnsi="Times New Roman" w:cs="Times New Roman"/>
          <w:lang w:val="en-US" w:eastAsia="zh-CN"/>
        </w:rPr>
        <w:t>；</w:t>
      </w:r>
      <w:r>
        <w:rPr>
          <w:rFonts w:hint="default" w:ascii="Times New Roman" w:hAnsi="Times New Roman" w:cs="Times New Roman"/>
          <w:lang w:val="en-US" w:eastAsia="zh-CN"/>
        </w:rPr>
        <w:t>以中南大学钟掘院士、中创空天为核心吸引航空航天领城上下游产业聚集，推动中创空天、6906、汇川合作进行技术研发和市场培育，落地新能源汽车机加及装配、运载火箭部段装配和航天高端饭金智能制造项目，不断拓展航空航天铝合金材料构件、商业航天领域和新能源汽车市场。</w:t>
      </w:r>
    </w:p>
    <w:p w14:paraId="55B03CD3">
      <w:pPr>
        <w:rPr>
          <w:rFonts w:hint="default" w:ascii="Times New Roman" w:hAnsi="Times New Roman" w:cs="Times New Roman"/>
          <w:lang w:val="en-US" w:eastAsia="zh-CN"/>
        </w:rPr>
      </w:pPr>
      <w:r>
        <w:rPr>
          <w:rFonts w:hint="default" w:ascii="Times New Roman" w:hAnsi="Times New Roman" w:cs="Times New Roman"/>
          <w:lang w:val="en-US" w:eastAsia="zh-CN"/>
        </w:rPr>
        <w:t>湖南中达精密制造有限公司：作为空天产业园产业链的重要环节，紧密依托中南大学钟掘院士及湖南中创空天新材料股份有限公司在铝合金熔铸、挤压、锻造、钣金等材料及工艺技术优势，结合自身高精度机加工生产技术，精准面向新能源汽车用铝材、汽车零部件市场以及高端航空航天航海领域需求。作为集挤压加工、精密零部件加工及表面处理于一体的高端金属材料加工制造基地，中达公司在生产中积累了丰富技术经验。</w:t>
      </w:r>
    </w:p>
    <w:p w14:paraId="7AD94A39">
      <w:pPr>
        <w:rPr>
          <w:rFonts w:hint="default" w:ascii="Times New Roman" w:hAnsi="Times New Roman" w:cs="Times New Roman"/>
          <w:lang w:val="en-US" w:eastAsia="zh-CN"/>
        </w:rPr>
      </w:pPr>
      <w:r>
        <w:rPr>
          <w:rFonts w:hint="default" w:ascii="Times New Roman" w:hAnsi="Times New Roman" w:cs="Times New Roman"/>
          <w:lang w:val="en-US" w:eastAsia="zh-CN"/>
        </w:rPr>
        <w:t>湖南中创空天新材料股份有限公司：在空天产业园中专注于铝合金等新材料的研发生产，为中达公司提供优质原材料与先进工艺支持。通过紧密合作，确保中达公司在产品质量与工艺先进性上保持领先，共同推动相关产品在航天航空、新能源汽车等领域的广泛应用。</w:t>
      </w:r>
    </w:p>
    <w:p w14:paraId="11436A14">
      <w:pPr>
        <w:rPr>
          <w:rFonts w:hint="default" w:ascii="Times New Roman" w:hAnsi="Times New Roman" w:cs="Times New Roman"/>
          <w:lang w:val="en-US" w:eastAsia="zh-CN"/>
        </w:rPr>
      </w:pPr>
      <w:r>
        <w:rPr>
          <w:rFonts w:hint="default" w:ascii="Times New Roman" w:hAnsi="Times New Roman" w:cs="Times New Roman"/>
          <w:lang w:val="en-US" w:eastAsia="zh-CN"/>
        </w:rPr>
        <w:t>湖南京创宇航科技有限公司：在空天产业园里凭借在航天航空新材料领域的创新研发能力占据重要地位。其研发成果为产业链提供了技术升级的动力，湖南中达精密制造有限公司凭借自身技术优势为其提供关键零部件及配套服务，进一步完善了产业链闭环，提升了整个产业园在航天航空领域的竞争力。</w:t>
      </w:r>
    </w:p>
    <w:p w14:paraId="29990915">
      <w:pPr>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中达精密的当前业务主要围绕高端民用铝材市场、股东方湖南中创空天新材料股份有限公司（简称中创股份）及其子公司湖南京创宇航科技有限公司（简称京创宇航）开展，提供为目标客户提供航空航天、新能源汽车、3C电子消费品用优质的高端铝合金材料及零件。京创宇航公司作为中达精密的核心目标客户，其产品为覆盖3-12m级火箭燃料贮箱瓜、顶盖、壁板，舱段条、蒙皮、框梁和功能件等铝合金部件，主要用于国家重点型号及商业航天运载火箭、导弹武器、军用飞机等型号产品；该系列产品的完整生产工艺为挤压、钣金、弯曲变形、铆接、热处理等加工成型，再通过阳极氧化处理，提升铝合金部件的表面耐腐蚀性。目前，京创宇航已建立了完整的成型及热处理的生产能力，但没有表面阳极氧化处理能力。因此，京创宇航需将成型后的铝合金部件运输至北京和天津的表面处理工序进行阳极氧化，再运回岳阳组装检验发货。来回转运增加了碰刮伤等质量风险和比例，物流成本大幅提升，交付周期也受到较大影响，尤其是给国家重点型号产品的交付造成了重大风险。为解决以上问题，京创宇航急需在岳阳本地寻求航天用铝合金部件的阳极氧化生产能力。中达精密，作为中创股份投资的合资公司，有义务和责任配合中创股份和其控股子公司解决国家卡脖子问题的痛点需求。为此，中达公司经过充分调研和评估，拟配合中创股份和京创宇航建设阳极氧化生产能力，补充其生产过程的关键工序短板，为航空/航天等特种领域铝合金钣金类零部件提供阳极氧化处理产品技术服务支持。同时，为满足新能源汽车制动系统阀块阳极氧化产品及3C电子消费品的市场需求，拟在新建的阳极氧化生产线同步进行工艺兼容和设备配套。充分利用新建产线产能和表面处理资源，提升企业的社会价值和对本地的经济贡献度。公司产品具有以下亮点(1.公司阳极氧化铝材表面不产生静电，从而不易沾染灰尘等细小颗粒物，即表面沾染油污等物质，亦可轻松擦除，自洁性强，清洁容易</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2.色精、油性笔、色素等都无法渗透到材料本身，耐渗透性强</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3.耐气候性强材料耐气候性(不褪色，不粉化，不腐蚀</w:t>
      </w:r>
      <w:r>
        <w:rPr>
          <w:rFonts w:hint="eastAsia" w:ascii="Times New Roman" w:hAnsi="Times New Roman" w:cs="Times New Roman"/>
          <w:color w:val="auto"/>
          <w:u w:val="none"/>
          <w:lang w:eastAsia="zh-CN"/>
        </w:rPr>
        <w:t>）。</w:t>
      </w:r>
    </w:p>
    <w:p w14:paraId="7EBAF4D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湖南中达精密制造有限</w:t>
      </w:r>
      <w:r>
        <w:rPr>
          <w:rFonts w:hint="eastAsia" w:ascii="Times New Roman" w:hAnsi="Times New Roman" w:cs="Times New Roman"/>
          <w:color w:val="auto"/>
          <w:u w:val="none"/>
          <w:lang w:val="en-US" w:eastAsia="zh-CN"/>
        </w:rPr>
        <w:t>公司</w:t>
      </w:r>
      <w:r>
        <w:rPr>
          <w:rFonts w:hint="eastAsia" w:ascii="Times New Roman" w:hAnsi="Times New Roman" w:cs="Times New Roman"/>
          <w:color w:val="auto"/>
          <w:kern w:val="0"/>
          <w:u w:val="none"/>
          <w:lang w:val="en-US" w:eastAsia="zh-CN" w:bidi="ar"/>
        </w:rPr>
        <w:t>拟</w:t>
      </w:r>
      <w:r>
        <w:rPr>
          <w:rFonts w:hint="default" w:ascii="Times New Roman" w:hAnsi="Times New Roman" w:cs="Times New Roman"/>
          <w:color w:val="auto"/>
          <w:kern w:val="0"/>
          <w:u w:val="none"/>
          <w:lang w:bidi="ar"/>
        </w:rPr>
        <w:t>投资</w:t>
      </w:r>
      <w:r>
        <w:rPr>
          <w:rFonts w:hint="eastAsia" w:ascii="Times New Roman" w:hAnsi="Times New Roman" w:cs="Times New Roman"/>
          <w:color w:val="auto"/>
          <w:kern w:val="0"/>
          <w:u w:val="none"/>
          <w:lang w:val="en-US" w:eastAsia="zh-CN" w:bidi="ar"/>
        </w:rPr>
        <w:t>1600万</w:t>
      </w:r>
      <w:r>
        <w:rPr>
          <w:rFonts w:hint="default" w:ascii="Times New Roman" w:hAnsi="Times New Roman" w:cs="Times New Roman"/>
          <w:color w:val="auto"/>
          <w:kern w:val="0"/>
          <w:u w:val="none"/>
          <w:lang w:bidi="ar"/>
        </w:rPr>
        <w:t>元，</w:t>
      </w:r>
      <w:r>
        <w:rPr>
          <w:rFonts w:hint="default" w:ascii="Times New Roman" w:hAnsi="Times New Roman" w:cs="Times New Roman"/>
          <w:color w:val="auto"/>
          <w:u w:val="none"/>
        </w:rPr>
        <w:t>在中国(湖南)自由贸易试验区岳阳片区长江大道与兴港路交汇处建立年产</w:t>
      </w:r>
      <w:r>
        <w:rPr>
          <w:rFonts w:hint="eastAsia" w:ascii="Times New Roman" w:hAnsi="Times New Roman" w:cs="Times New Roman"/>
          <w:color w:val="auto"/>
          <w:u w:val="none"/>
          <w:lang w:val="en-US" w:eastAsia="zh-CN"/>
        </w:rPr>
        <w:t>120</w:t>
      </w:r>
      <w:r>
        <w:rPr>
          <w:rFonts w:hint="default" w:ascii="Times New Roman" w:hAnsi="Times New Roman" w:cs="Times New Roman"/>
          <w:color w:val="auto"/>
          <w:u w:val="none"/>
        </w:rPr>
        <w:t>万件</w:t>
      </w:r>
      <w:r>
        <w:rPr>
          <w:rFonts w:hint="eastAsia" w:ascii="Times New Roman" w:hAnsi="Times New Roman" w:cs="Times New Roman"/>
          <w:color w:val="auto"/>
          <w:u w:val="none"/>
          <w:lang w:val="en-US" w:eastAsia="zh-CN"/>
        </w:rPr>
        <w:t>铝合金零部件生产线项目</w:t>
      </w:r>
      <w:r>
        <w:rPr>
          <w:rFonts w:hint="default" w:ascii="Times New Roman" w:hAnsi="Times New Roman" w:cs="Times New Roman"/>
          <w:color w:val="auto"/>
          <w:u w:val="none"/>
        </w:rPr>
        <w:t>。项目租赁高新产业园华为产业园2</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rPr>
        <w:t>B（约</w:t>
      </w:r>
      <w:r>
        <w:rPr>
          <w:rFonts w:hint="eastAsia" w:ascii="Times New Roman" w:hAnsi="Times New Roman" w:cs="Times New Roman"/>
          <w:color w:val="auto"/>
          <w:u w:val="none"/>
          <w:lang w:val="en-US" w:eastAsia="zh-CN"/>
        </w:rPr>
        <w:t>2109</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）进行生产，项目建设完成后形成年产</w:t>
      </w:r>
      <w:r>
        <w:rPr>
          <w:rFonts w:hint="eastAsia" w:ascii="Times New Roman" w:hAnsi="Times New Roman" w:cs="Times New Roman"/>
          <w:color w:val="auto"/>
          <w:u w:val="none"/>
          <w:lang w:val="en-US" w:eastAsia="zh-CN"/>
        </w:rPr>
        <w:t>120</w:t>
      </w:r>
      <w:r>
        <w:rPr>
          <w:rFonts w:hint="default" w:ascii="Times New Roman" w:hAnsi="Times New Roman" w:cs="Times New Roman"/>
          <w:color w:val="auto"/>
          <w:u w:val="none"/>
        </w:rPr>
        <w:t>万件</w:t>
      </w:r>
      <w:r>
        <w:rPr>
          <w:rFonts w:hint="eastAsia" w:ascii="Times New Roman" w:hAnsi="Times New Roman" w:cs="Times New Roman"/>
          <w:color w:val="auto"/>
          <w:u w:val="none"/>
          <w:lang w:val="en-US" w:eastAsia="zh-CN"/>
        </w:rPr>
        <w:t>铝合金零部件</w:t>
      </w:r>
      <w:r>
        <w:rPr>
          <w:rFonts w:hint="default" w:ascii="Times New Roman" w:hAnsi="Times New Roman" w:cs="Times New Roman"/>
          <w:color w:val="auto"/>
          <w:u w:val="none"/>
        </w:rPr>
        <w:t>生产能力。</w:t>
      </w:r>
    </w:p>
    <w:p w14:paraId="7BEAC7C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了严格贯彻执行国家及地方有关环境保护政策、法规，并根据《中华人民共和国环境保护法》、《中华人民共和国环境影响评价法》、《建设项目环境保护管理条例》（国务院令第682号）中的有关规定，本项目应进行环境影响评价。根据《建设项目环境影响评价分类管理名录（2021年版）》，项目生产工艺中涉及阳极氧化工艺，阳极氧化工序纳入电镀行业规范管理，因此，参照“三十、金属制品业33”中“67、金属表面处理及热处理加工有电镀工艺的”，应编制环境影响报告书。</w:t>
      </w:r>
    </w:p>
    <w:p w14:paraId="662811B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为此</w:t>
      </w:r>
      <w:r>
        <w:rPr>
          <w:rFonts w:hint="eastAsia" w:ascii="Times New Roman" w:hAnsi="Times New Roman" w:cs="Times New Roman"/>
          <w:color w:val="auto"/>
          <w:u w:val="none"/>
          <w:lang w:eastAsia="zh-CN"/>
        </w:rPr>
        <w:t>湖南中达精密制造有限公司</w:t>
      </w:r>
      <w:r>
        <w:rPr>
          <w:rFonts w:hint="default" w:ascii="Times New Roman" w:hAnsi="Times New Roman" w:cs="Times New Roman"/>
          <w:color w:val="auto"/>
          <w:u w:val="none"/>
        </w:rPr>
        <w:t>委托湖南霖昇工程技术咨询有限公司（以下简称“我公司”）承担“</w:t>
      </w:r>
      <w:r>
        <w:rPr>
          <w:rFonts w:hint="eastAsia" w:ascii="Times New Roman" w:hAnsi="Times New Roman" w:cs="Times New Roman"/>
          <w:color w:val="auto"/>
          <w:u w:val="none"/>
          <w:lang w:eastAsia="zh-CN"/>
        </w:rPr>
        <w:t>年产120万件铝合金零部件生产线项目</w:t>
      </w:r>
      <w:r>
        <w:rPr>
          <w:rFonts w:hint="default" w:ascii="Times New Roman" w:hAnsi="Times New Roman" w:cs="Times New Roman"/>
          <w:color w:val="auto"/>
          <w:u w:val="none"/>
        </w:rPr>
        <w:t>”的环境影响评价工作。我公司在接受委托后成立了环评工作小组，对项目现场及周边环境进行实地勘查、调研和资料收集，在此基础上，按照相关法律、法规、环境影响评价技术导则、规范和标准，编制了本项目的环境影响报告书。</w:t>
      </w:r>
    </w:p>
    <w:p w14:paraId="33F08DF3">
      <w:pPr>
        <w:pStyle w:val="4"/>
        <w:ind w:left="0" w:leftChars="0" w:firstLineChars="0"/>
        <w:jc w:val="left"/>
        <w:rPr>
          <w:rFonts w:hint="default" w:ascii="Times New Roman" w:hAnsi="Times New Roman" w:cs="Times New Roman"/>
          <w:color w:val="auto"/>
          <w:u w:val="none"/>
        </w:rPr>
      </w:pPr>
      <w:bookmarkStart w:id="6" w:name="_Toc11533"/>
      <w:bookmarkStart w:id="7" w:name="_Toc22262"/>
      <w:bookmarkStart w:id="8" w:name="_Toc27267"/>
      <w:r>
        <w:rPr>
          <w:rFonts w:hint="default" w:ascii="Times New Roman" w:hAnsi="Times New Roman" w:cs="Times New Roman"/>
          <w:color w:val="auto"/>
          <w:u w:val="none"/>
        </w:rPr>
        <w:t>环境影响评价的工作过程</w:t>
      </w:r>
      <w:bookmarkEnd w:id="6"/>
      <w:bookmarkEnd w:id="7"/>
      <w:bookmarkEnd w:id="8"/>
    </w:p>
    <w:p w14:paraId="5B2F396D">
      <w:pPr>
        <w:ind w:firstLine="480"/>
        <w:jc w:val="left"/>
        <w:rPr>
          <w:rFonts w:hint="eastAsia" w:ascii="Times New Roman" w:hAnsi="Times New Roman" w:cs="Times New Roman"/>
          <w:color w:val="auto"/>
          <w:u w:val="none"/>
          <w:lang w:val="en-US" w:eastAsia="zh-CN"/>
        </w:rPr>
      </w:pPr>
      <w:r>
        <w:rPr>
          <w:rFonts w:hint="default" w:ascii="Times New Roman" w:hAnsi="Times New Roman" w:cs="Times New Roman"/>
          <w:color w:val="auto"/>
          <w:u w:val="none"/>
        </w:rPr>
        <w:t>本次环境影响评价工作分为三个阶段，第一阶段的主要工作为前期准备、调研。具体工作内容是研究国家和地方有关环境保护的法律法规、政策、标准及相关规划，并在此基础上进行环境影响因素的识别与评价因子筛选，明确评价工作的重点和环境保护目标，确定大气、水、噪声、土壤等专项评价的工作等级、评价范围和评价基础，制定本次评价的工作方案；第二阶段的工作是根据评价工作方案完成评价范围内的环境状况的调查、监测和建设项目的工程分析，在此基础上对各环境要素进行环境影响预测与评价；第三阶段的工作是提出环境保护措施，进行技术经济论证，给出建设项目环境可行性的评价结论，最终完成环境影响报告书的编制。评价过程见评价工作程序图。</w:t>
      </w:r>
      <w:r>
        <w:rPr>
          <w:rFonts w:hint="eastAsia" w:ascii="Times New Roman" w:hAnsi="Times New Roman" w:cs="Times New Roman"/>
          <w:color w:val="auto"/>
          <w:u w:val="none"/>
          <w:lang w:val="en-US" w:eastAsia="zh-CN"/>
        </w:rPr>
        <w:t xml:space="preserve"> </w:t>
      </w:r>
    </w:p>
    <w:p w14:paraId="6526D3A5">
      <w:pPr>
        <w:ind w:firstLine="480"/>
        <w:jc w:val="left"/>
        <w:rPr>
          <w:rFonts w:hint="default" w:ascii="Times New Roman" w:hAnsi="Times New Roman" w:cs="Times New Roman"/>
          <w:color w:val="FF0000"/>
          <w:u w:val="none"/>
        </w:rPr>
      </w:pPr>
      <w:bookmarkStart w:id="251" w:name="_GoBack"/>
      <w:r>
        <w:rPr>
          <w:rFonts w:hint="default" w:ascii="Times New Roman" w:hAnsi="Times New Roman" w:cs="Times New Roman"/>
          <w:color w:val="FF0000"/>
          <w:u w:val="none"/>
        </w:rPr>
        <w:drawing>
          <wp:inline distT="0" distB="0" distL="114300" distR="114300">
            <wp:extent cx="5715000" cy="5501640"/>
            <wp:effectExtent l="0" t="0" r="0" b="3810"/>
            <wp:docPr id="46"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5"/>
                    <pic:cNvPicPr>
                      <a:picLocks noChangeAspect="1"/>
                    </pic:cNvPicPr>
                  </pic:nvPicPr>
                  <pic:blipFill>
                    <a:blip r:embed="rId11"/>
                    <a:stretch>
                      <a:fillRect/>
                    </a:stretch>
                  </pic:blipFill>
                  <pic:spPr>
                    <a:xfrm>
                      <a:off x="0" y="0"/>
                      <a:ext cx="5715000" cy="5501640"/>
                    </a:xfrm>
                    <a:prstGeom prst="rect">
                      <a:avLst/>
                    </a:prstGeom>
                    <a:noFill/>
                    <a:ln>
                      <a:noFill/>
                    </a:ln>
                  </pic:spPr>
                </pic:pic>
              </a:graphicData>
            </a:graphic>
          </wp:inline>
        </w:drawing>
      </w:r>
      <w:bookmarkEnd w:id="251"/>
    </w:p>
    <w:p w14:paraId="06105164">
      <w:pPr>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图1.2-1  建设项目环境影响评价工作程序图</w:t>
      </w:r>
    </w:p>
    <w:p w14:paraId="52D3D0A1">
      <w:pPr>
        <w:pStyle w:val="4"/>
        <w:keepLines w:val="0"/>
        <w:pageBreakBefore w:val="0"/>
        <w:widowControl w:val="0"/>
        <w:kinsoku/>
        <w:wordWrap/>
        <w:overflowPunct/>
        <w:topLinePunct w:val="0"/>
        <w:autoSpaceDE/>
        <w:autoSpaceDN/>
        <w:bidi w:val="0"/>
        <w:adjustRightInd/>
        <w:snapToGrid/>
        <w:spacing w:line="360" w:lineRule="auto"/>
        <w:ind w:left="0" w:leftChars="0" w:firstLineChars="0"/>
        <w:textAlignment w:val="auto"/>
        <w:rPr>
          <w:rFonts w:hint="default" w:ascii="Times New Roman" w:hAnsi="Times New Roman" w:cs="Times New Roman"/>
          <w:color w:val="auto"/>
          <w:u w:val="none"/>
        </w:rPr>
      </w:pPr>
      <w:bookmarkStart w:id="9" w:name="_Toc2411"/>
      <w:bookmarkStart w:id="10" w:name="_Toc23745"/>
      <w:r>
        <w:rPr>
          <w:rFonts w:hint="default" w:ascii="Times New Roman" w:hAnsi="Times New Roman" w:cs="Times New Roman"/>
          <w:color w:val="auto"/>
          <w:u w:val="none"/>
        </w:rPr>
        <w:t>主要评价内容及评价重点</w:t>
      </w:r>
      <w:bookmarkEnd w:id="9"/>
    </w:p>
    <w:bookmarkEnd w:id="10"/>
    <w:p w14:paraId="0D59365E">
      <w:pPr>
        <w:pStyle w:val="5"/>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u w:val="none"/>
        </w:rPr>
      </w:pPr>
      <w:r>
        <w:rPr>
          <w:rFonts w:hint="default" w:ascii="Times New Roman" w:hAnsi="Times New Roman" w:cs="Times New Roman"/>
          <w:color w:val="auto"/>
          <w:u w:val="none"/>
        </w:rPr>
        <w:t>主要评价内容</w:t>
      </w:r>
    </w:p>
    <w:p w14:paraId="7E50378F">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本项目主要评价内容包括：</w:t>
      </w:r>
    </w:p>
    <w:p w14:paraId="378C7BD0">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（1）通过环境现状调查，掌握项目厂区周围的自然环境及环境质量现状，为环境影响评价提供依据。</w:t>
      </w:r>
    </w:p>
    <w:p w14:paraId="55E3FA24">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（2）通过工程分析，针对项目特点和污染特征，确定主要污染因子和环境影响要素。</w:t>
      </w:r>
    </w:p>
    <w:p w14:paraId="099B9A2C">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（3）根据工程分析，提出避免或减轻污染的对策和建议。</w:t>
      </w:r>
    </w:p>
    <w:p w14:paraId="0387CFBB">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（4）评价项目的环境风险和环境可行性，并提出防止和减轻工程建设对环境产生不利影响的对策和建议。</w:t>
      </w:r>
    </w:p>
    <w:p w14:paraId="28A60913">
      <w:pPr>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（5）根据“污染物排放总量控制”的要求，对项目排放污染物的来源、排放浓度、排放总量做出分析和判断。</w:t>
      </w:r>
    </w:p>
    <w:p w14:paraId="037087B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（6）从环境保护的角度对项目建设是否可行做出明确的结论。</w:t>
      </w:r>
    </w:p>
    <w:p w14:paraId="1B8A62C3">
      <w:pPr>
        <w:pStyle w:val="5"/>
        <w:rPr>
          <w:rFonts w:hint="default" w:ascii="Times New Roman" w:hAnsi="Times New Roman" w:cs="Times New Roman"/>
          <w:color w:val="auto"/>
          <w:u w:val="none"/>
        </w:rPr>
      </w:pPr>
      <w:r>
        <w:rPr>
          <w:rFonts w:hint="default" w:ascii="Times New Roman" w:hAnsi="Times New Roman" w:cs="Times New Roman"/>
          <w:color w:val="auto"/>
          <w:u w:val="none"/>
        </w:rPr>
        <w:t>评价重点</w:t>
      </w:r>
    </w:p>
    <w:p w14:paraId="509FCED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本项目特征与所在地的环境特征，以及项目环境影响因子识别等综合分析，确定本项目评价重点为工程分析、大气环境影响评价、水环境影响评价、固体废物分析、环境风险影响评价、污染防治措施可行性及选址环境可行性。</w:t>
      </w:r>
    </w:p>
    <w:p w14:paraId="5F9B5EF1">
      <w:pPr>
        <w:pStyle w:val="4"/>
        <w:ind w:left="0" w:leftChars="0" w:firstLineChars="0"/>
        <w:rPr>
          <w:rFonts w:hint="default" w:ascii="Times New Roman" w:hAnsi="Times New Roman" w:cs="Times New Roman"/>
          <w:color w:val="auto"/>
          <w:u w:val="none"/>
        </w:rPr>
      </w:pPr>
      <w:bookmarkStart w:id="11" w:name="_Toc963"/>
      <w:r>
        <w:rPr>
          <w:rFonts w:hint="default" w:ascii="Times New Roman" w:hAnsi="Times New Roman" w:cs="Times New Roman"/>
          <w:color w:val="auto"/>
          <w:u w:val="none"/>
        </w:rPr>
        <w:t>相关情况判定</w:t>
      </w:r>
      <w:bookmarkEnd w:id="11"/>
    </w:p>
    <w:p w14:paraId="63498608">
      <w:pPr>
        <w:pStyle w:val="5"/>
        <w:rPr>
          <w:rFonts w:hint="default" w:ascii="Times New Roman" w:hAnsi="Times New Roman" w:cs="Times New Roman"/>
          <w:color w:val="auto"/>
          <w:u w:val="none"/>
        </w:rPr>
      </w:pPr>
      <w:bookmarkStart w:id="12" w:name="1.4.1产业政策符合性分析"/>
      <w:bookmarkEnd w:id="12"/>
      <w:bookmarkStart w:id="13" w:name="1.4.1.4与《汽车产业投资管理规定》的符合性分析"/>
      <w:bookmarkEnd w:id="13"/>
      <w:bookmarkStart w:id="14" w:name="1.4.2规划符合性分析"/>
      <w:bookmarkEnd w:id="14"/>
      <w:bookmarkStart w:id="15" w:name="1.4.1.3与《汽车产业发展政策（2009年修订）》的符合性分析"/>
      <w:bookmarkEnd w:id="15"/>
      <w:r>
        <w:rPr>
          <w:rFonts w:hint="default" w:ascii="Times New Roman" w:hAnsi="Times New Roman" w:cs="Times New Roman"/>
          <w:color w:val="auto"/>
          <w:u w:val="none"/>
        </w:rPr>
        <w:t>规划符合性分析</w:t>
      </w:r>
    </w:p>
    <w:p w14:paraId="1A521F91">
      <w:pPr>
        <w:numPr>
          <w:ilvl w:val="0"/>
          <w:numId w:val="2"/>
        </w:numPr>
        <w:ind w:firstLine="480"/>
        <w:rPr>
          <w:rFonts w:hint="default" w:ascii="Times New Roman" w:hAnsi="Times New Roman" w:cs="Times New Roman"/>
          <w:color w:val="auto"/>
          <w:u w:val="none"/>
        </w:rPr>
      </w:pPr>
      <w:bookmarkStart w:id="16" w:name="1.4.2.1与《大气污染防治行动计划》的符合性分析"/>
      <w:bookmarkEnd w:id="16"/>
      <w:r>
        <w:rPr>
          <w:rFonts w:hint="default" w:ascii="Times New Roman" w:hAnsi="Times New Roman" w:cs="Times New Roman"/>
          <w:color w:val="auto"/>
          <w:u w:val="none"/>
        </w:rPr>
        <w:t>与《产业结构调整指导目录》（2024年本）相符性</w:t>
      </w:r>
    </w:p>
    <w:p w14:paraId="6FE3F7D6">
      <w:pPr>
        <w:numPr>
          <w:ilvl w:val="0"/>
          <w:numId w:val="0"/>
        </w:numPr>
        <w:ind w:firstLine="480" w:firstLineChars="200"/>
        <w:rPr>
          <w:rFonts w:hint="default" w:ascii="Times New Roman" w:hAnsi="Times New Roman" w:cs="Times New Roman"/>
          <w:color w:val="auto"/>
          <w:u w:val="none"/>
        </w:rPr>
      </w:pPr>
      <w:r>
        <w:rPr>
          <w:rFonts w:hint="default" w:ascii="Times New Roman" w:hAnsi="Times New Roman" w:cs="Times New Roman"/>
          <w:color w:val="auto"/>
          <w:u w:val="none"/>
        </w:rPr>
        <w:t>根据《产业结构调整指导目录（2024年本）》的相关规定可知： 本项目不属于“鼓 励类”“限制类”及“淘汰类”，为允许建设项目，该项目不属于市场准入负面清单（2022年版）中“禁止类”项目。该项目不属于《部分工业行业淘汰落后生产工艺装备和产品指 导目录（2010年本）》（国家工业和信息化部，工产业[2010]第126号）中淘汰的工艺和产品，因此本项目建设符合国家相关政策的规定。</w:t>
      </w:r>
    </w:p>
    <w:p w14:paraId="5BBB2B1E">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产业定位符合性分析</w:t>
      </w:r>
    </w:p>
    <w:p w14:paraId="57559C9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2012年9月18日湖南省环保厅以湘环评[2012]293号文对《湖南城陵矶临港产业新区产业核心区环境影响报告书》进行了批复，本项目位于中国(湖南)自由贸易试验区岳阳片区长江大道与兴港路交汇处，属于湖南城陵矶临港产业新区产业核心区批复的范围内。</w:t>
      </w:r>
    </w:p>
    <w:p w14:paraId="0B87E8C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湖南城陵矶临港产业新区产业核心区环境影响报告书》及其批复提出的产业定位可知，产业定位为新材料、高技术服务、高端装备制造、电子信息。加快高端装备制造项目的招商引资力度，重点发展港口机械装备、工程建筑装备、化工机械装备和交通运输装备等产业，带动相关配套零部件发展。</w:t>
      </w:r>
      <w:r>
        <w:rPr>
          <w:rFonts w:hint="eastAsia" w:ascii="Times New Roman" w:hAnsi="Times New Roman" w:cs="Times New Roman"/>
          <w:color w:val="auto"/>
          <w:u w:val="none"/>
          <w:lang w:eastAsia="zh-CN"/>
        </w:rPr>
        <w:t>湖南中达精密制造有限公司主要从事铝合金产品表面处理及热处理加工，本项目为高端装备制造项目、交通运输装备等机械装备提供高标准、高质量的零部件，因此符合产业定位</w:t>
      </w:r>
      <w:r>
        <w:rPr>
          <w:rFonts w:hint="default" w:ascii="Times New Roman" w:hAnsi="Times New Roman" w:cs="Times New Roman"/>
          <w:color w:val="auto"/>
          <w:u w:val="none"/>
        </w:rPr>
        <w:t>。</w:t>
      </w:r>
    </w:p>
    <w:p w14:paraId="74D327BC">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3</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企业准入条件符合性分析</w:t>
      </w:r>
    </w:p>
    <w:p w14:paraId="08CF89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根据《湖南城陵矶临港产业新区产业核心区环境影响报告书》（以下简称“《规划环评报告》”）及其批复中提出的“核心区工业企业准入条件一览表”及项目相符性分析如下表所示：</w:t>
      </w:r>
    </w:p>
    <w:p w14:paraId="4C86608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表1.4-1</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企业准入条件一览表</w:t>
      </w:r>
    </w:p>
    <w:tbl>
      <w:tblPr>
        <w:tblStyle w:val="59"/>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6"/>
        <w:gridCol w:w="4043"/>
        <w:gridCol w:w="3502"/>
        <w:gridCol w:w="1415"/>
      </w:tblGrid>
      <w:tr w14:paraId="3FDC46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3D081E78">
            <w:pPr>
              <w:pStyle w:val="41"/>
              <w:rPr>
                <w:rFonts w:hint="default" w:ascii="Times New Roman" w:hAnsi="Times New Roman" w:cs="Times New Roman"/>
                <w:color w:val="auto"/>
                <w:u w:val="none"/>
              </w:rPr>
            </w:pPr>
            <w:bookmarkStart w:id="17" w:name="1.4.3与《挥发性有机物（VOCs）污染防治技术政策》符合性分析"/>
            <w:bookmarkEnd w:id="17"/>
            <w:r>
              <w:rPr>
                <w:rFonts w:hint="default" w:ascii="Times New Roman" w:hAnsi="Times New Roman" w:cs="Times New Roman"/>
                <w:color w:val="auto"/>
                <w:u w:val="none"/>
              </w:rPr>
              <w:t>类型</w:t>
            </w:r>
          </w:p>
        </w:tc>
        <w:tc>
          <w:tcPr>
            <w:tcW w:w="2091" w:type="pct"/>
            <w:tcBorders>
              <w:tl2br w:val="nil"/>
              <w:tr2bl w:val="nil"/>
            </w:tcBorders>
            <w:noWrap w:val="0"/>
            <w:vAlign w:val="center"/>
          </w:tcPr>
          <w:p w14:paraId="0100BA04">
            <w:pPr>
              <w:pStyle w:val="41"/>
              <w:rPr>
                <w:rFonts w:hint="default" w:ascii="Times New Roman" w:hAnsi="Times New Roman" w:cs="Times New Roman"/>
                <w:color w:val="auto"/>
                <w:u w:val="none"/>
              </w:rPr>
            </w:pPr>
            <w:r>
              <w:rPr>
                <w:rFonts w:hint="default" w:ascii="Times New Roman" w:hAnsi="Times New Roman" w:cs="Times New Roman"/>
                <w:color w:val="auto"/>
                <w:u w:val="none"/>
              </w:rPr>
              <w:t>行业类别</w:t>
            </w:r>
          </w:p>
        </w:tc>
        <w:tc>
          <w:tcPr>
            <w:tcW w:w="1811" w:type="pct"/>
            <w:tcBorders>
              <w:tl2br w:val="nil"/>
              <w:tr2bl w:val="nil"/>
            </w:tcBorders>
            <w:noWrap w:val="0"/>
            <w:vAlign w:val="center"/>
          </w:tcPr>
          <w:p w14:paraId="62A33E33">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符合性分析</w:t>
            </w:r>
          </w:p>
        </w:tc>
        <w:tc>
          <w:tcPr>
            <w:tcW w:w="732" w:type="pct"/>
            <w:tcBorders>
              <w:tl2br w:val="nil"/>
              <w:tr2bl w:val="nil"/>
            </w:tcBorders>
            <w:noWrap w:val="0"/>
            <w:vAlign w:val="center"/>
          </w:tcPr>
          <w:p w14:paraId="0A2F1642">
            <w:pPr>
              <w:pStyle w:val="41"/>
              <w:rPr>
                <w:rFonts w:hint="default" w:ascii="Times New Roman" w:hAnsi="Times New Roman" w:cs="Times New Roman"/>
                <w:color w:val="auto"/>
                <w:u w:val="none"/>
              </w:rPr>
            </w:pPr>
            <w:r>
              <w:rPr>
                <w:rFonts w:hint="default" w:ascii="Times New Roman" w:hAnsi="Times New Roman" w:cs="Times New Roman"/>
                <w:color w:val="auto"/>
                <w:u w:val="none"/>
              </w:rPr>
              <w:t>分析结论</w:t>
            </w:r>
          </w:p>
        </w:tc>
      </w:tr>
      <w:tr w14:paraId="4CF128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38E30C4F">
            <w:pPr>
              <w:pStyle w:val="41"/>
              <w:rPr>
                <w:rFonts w:hint="default" w:ascii="Times New Roman" w:hAnsi="Times New Roman" w:cs="Times New Roman"/>
                <w:color w:val="auto"/>
                <w:u w:val="none"/>
              </w:rPr>
            </w:pPr>
            <w:r>
              <w:rPr>
                <w:rFonts w:hint="default" w:ascii="Times New Roman" w:hAnsi="Times New Roman" w:cs="Times New Roman"/>
                <w:color w:val="auto"/>
                <w:u w:val="none"/>
              </w:rPr>
              <w:t>鼓励类</w:t>
            </w:r>
          </w:p>
        </w:tc>
        <w:tc>
          <w:tcPr>
            <w:tcW w:w="2091" w:type="pct"/>
            <w:tcBorders>
              <w:tl2br w:val="nil"/>
              <w:tr2bl w:val="nil"/>
            </w:tcBorders>
            <w:noWrap w:val="0"/>
            <w:vAlign w:val="center"/>
          </w:tcPr>
          <w:p w14:paraId="77BDF2C0">
            <w:pPr>
              <w:pStyle w:val="41"/>
              <w:rPr>
                <w:rFonts w:hint="default" w:ascii="Times New Roman" w:hAnsi="Times New Roman" w:cs="Times New Roman"/>
                <w:color w:val="auto"/>
                <w:u w:val="none"/>
              </w:rPr>
            </w:pPr>
            <w:r>
              <w:rPr>
                <w:rFonts w:hint="default" w:ascii="Times New Roman" w:hAnsi="Times New Roman" w:cs="Times New Roman"/>
                <w:color w:val="auto"/>
                <w:u w:val="none"/>
              </w:rPr>
              <w:t>一类工业企业：企业技术研发机构、无工业废水、工艺废气排放的产业、现代物流、基础设施项目：交通运输、邮电通讯、供水、供热、供气、污水处理等；二类工业企业：先进机械制造业、环保新材料、高新技术产业；综合利用资源与再生资源、环境保护工程。</w:t>
            </w:r>
          </w:p>
        </w:tc>
        <w:tc>
          <w:tcPr>
            <w:tcW w:w="1811" w:type="pct"/>
            <w:tcBorders>
              <w:tl2br w:val="nil"/>
              <w:tr2bl w:val="nil"/>
            </w:tcBorders>
            <w:noWrap w:val="0"/>
            <w:vAlign w:val="center"/>
          </w:tcPr>
          <w:p w14:paraId="5CCA3B51">
            <w:pPr>
              <w:pStyle w:val="41"/>
              <w:rPr>
                <w:rFonts w:hint="default" w:ascii="Times New Roman" w:hAnsi="Times New Roman" w:cs="Times New Roman"/>
                <w:color w:val="auto"/>
                <w:u w:val="none"/>
              </w:rPr>
            </w:pPr>
            <w:r>
              <w:rPr>
                <w:rFonts w:hint="default" w:ascii="Times New Roman" w:hAnsi="Times New Roman" w:cs="Times New Roman"/>
                <w:color w:val="auto"/>
                <w:u w:val="none"/>
              </w:rPr>
              <w:t>不涉及</w:t>
            </w:r>
          </w:p>
        </w:tc>
        <w:tc>
          <w:tcPr>
            <w:tcW w:w="732" w:type="pct"/>
            <w:tcBorders>
              <w:tl2br w:val="nil"/>
              <w:tr2bl w:val="nil"/>
            </w:tcBorders>
            <w:noWrap w:val="0"/>
            <w:vAlign w:val="center"/>
          </w:tcPr>
          <w:p w14:paraId="5E45651B">
            <w:pPr>
              <w:pStyle w:val="41"/>
              <w:rPr>
                <w:rFonts w:hint="default" w:ascii="Times New Roman" w:hAnsi="Times New Roman" w:cs="Times New Roman"/>
                <w:color w:val="auto"/>
                <w:u w:val="none"/>
              </w:rPr>
            </w:pPr>
            <w:r>
              <w:rPr>
                <w:rFonts w:hint="default" w:ascii="Times New Roman" w:hAnsi="Times New Roman" w:cs="Times New Roman"/>
                <w:color w:val="auto"/>
                <w:u w:val="none"/>
              </w:rPr>
              <w:t>不属于鼓励类</w:t>
            </w:r>
          </w:p>
        </w:tc>
      </w:tr>
      <w:tr w14:paraId="44B783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76A9F690">
            <w:pPr>
              <w:pStyle w:val="41"/>
              <w:rPr>
                <w:rFonts w:hint="default" w:ascii="Times New Roman" w:hAnsi="Times New Roman" w:cs="Times New Roman"/>
                <w:color w:val="auto"/>
                <w:u w:val="none"/>
              </w:rPr>
            </w:pPr>
            <w:r>
              <w:rPr>
                <w:rFonts w:hint="default" w:ascii="Times New Roman" w:hAnsi="Times New Roman" w:cs="Times New Roman"/>
                <w:color w:val="auto"/>
                <w:u w:val="none"/>
              </w:rPr>
              <w:t>允许类</w:t>
            </w:r>
          </w:p>
        </w:tc>
        <w:tc>
          <w:tcPr>
            <w:tcW w:w="2091" w:type="pct"/>
            <w:tcBorders>
              <w:tl2br w:val="nil"/>
              <w:tr2bl w:val="nil"/>
            </w:tcBorders>
            <w:noWrap w:val="0"/>
            <w:vAlign w:val="center"/>
          </w:tcPr>
          <w:p w14:paraId="486DC8AD">
            <w:pPr>
              <w:pStyle w:val="41"/>
              <w:rPr>
                <w:rFonts w:hint="default" w:ascii="Times New Roman" w:hAnsi="Times New Roman" w:cs="Times New Roman"/>
                <w:color w:val="auto"/>
                <w:u w:val="none"/>
              </w:rPr>
            </w:pPr>
            <w:r>
              <w:rPr>
                <w:rFonts w:hint="default" w:ascii="Times New Roman" w:hAnsi="Times New Roman" w:cs="Times New Roman"/>
                <w:color w:val="auto"/>
                <w:u w:val="none"/>
              </w:rPr>
              <w:t>二类工业企业：排污量小，物耗能耗低的与主导产业配套的相关产业</w:t>
            </w:r>
          </w:p>
        </w:tc>
        <w:tc>
          <w:tcPr>
            <w:tcW w:w="1811" w:type="pct"/>
            <w:tcBorders>
              <w:tl2br w:val="nil"/>
              <w:tr2bl w:val="nil"/>
            </w:tcBorders>
            <w:noWrap w:val="0"/>
            <w:vAlign w:val="center"/>
          </w:tcPr>
          <w:p w14:paraId="1284C511">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项目主要进行</w:t>
            </w:r>
            <w:r>
              <w:rPr>
                <w:rFonts w:hint="default" w:ascii="Times New Roman" w:hAnsi="Times New Roman" w:cs="Times New Roman"/>
                <w:color w:val="auto"/>
                <w:u w:val="none"/>
              </w:rPr>
              <w:t>金属制品表面处理及热处理加工，属于金属制品业。但本项目废水排放量较大</w:t>
            </w:r>
            <w:r>
              <w:rPr>
                <w:rFonts w:hint="eastAsia" w:cs="Times New Roman"/>
                <w:color w:val="auto"/>
                <w:u w:val="none"/>
                <w:lang w:eastAsia="zh-CN"/>
              </w:rPr>
              <w:t>。</w:t>
            </w:r>
          </w:p>
        </w:tc>
        <w:tc>
          <w:tcPr>
            <w:tcW w:w="732" w:type="pct"/>
            <w:tcBorders>
              <w:tl2br w:val="nil"/>
              <w:tr2bl w:val="nil"/>
            </w:tcBorders>
            <w:noWrap w:val="0"/>
            <w:vAlign w:val="center"/>
          </w:tcPr>
          <w:p w14:paraId="4D595BCF">
            <w:pPr>
              <w:pStyle w:val="41"/>
              <w:rPr>
                <w:rFonts w:hint="default" w:ascii="Times New Roman" w:hAnsi="Times New Roman" w:cs="Times New Roman"/>
                <w:color w:val="auto"/>
                <w:u w:val="none"/>
              </w:rPr>
            </w:pPr>
            <w:r>
              <w:rPr>
                <w:rFonts w:hint="default" w:ascii="Times New Roman" w:hAnsi="Times New Roman" w:cs="Times New Roman"/>
                <w:color w:val="auto"/>
                <w:u w:val="none"/>
              </w:rPr>
              <w:t>基本满足允许类要求</w:t>
            </w:r>
          </w:p>
        </w:tc>
      </w:tr>
      <w:tr w14:paraId="6DB1E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555B11B9">
            <w:pPr>
              <w:pStyle w:val="41"/>
              <w:rPr>
                <w:rFonts w:hint="default" w:ascii="Times New Roman" w:hAnsi="Times New Roman" w:cs="Times New Roman"/>
                <w:color w:val="auto"/>
                <w:u w:val="none"/>
              </w:rPr>
            </w:pPr>
            <w:r>
              <w:rPr>
                <w:rFonts w:hint="default" w:ascii="Times New Roman" w:hAnsi="Times New Roman" w:cs="Times New Roman"/>
                <w:color w:val="auto"/>
                <w:u w:val="none"/>
              </w:rPr>
              <w:t>限制类</w:t>
            </w:r>
          </w:p>
        </w:tc>
        <w:tc>
          <w:tcPr>
            <w:tcW w:w="2091" w:type="pct"/>
            <w:tcBorders>
              <w:tl2br w:val="nil"/>
              <w:tr2bl w:val="nil"/>
            </w:tcBorders>
            <w:noWrap w:val="0"/>
            <w:vAlign w:val="center"/>
          </w:tcPr>
          <w:p w14:paraId="5F4CCFCB">
            <w:pPr>
              <w:pStyle w:val="41"/>
              <w:rPr>
                <w:rFonts w:hint="default" w:ascii="Times New Roman" w:hAnsi="Times New Roman" w:cs="Times New Roman"/>
                <w:color w:val="auto"/>
                <w:u w:val="none"/>
              </w:rPr>
            </w:pPr>
            <w:r>
              <w:rPr>
                <w:rFonts w:hint="default" w:ascii="Times New Roman" w:hAnsi="Times New Roman" w:cs="Times New Roman"/>
                <w:color w:val="auto"/>
                <w:u w:val="none"/>
              </w:rPr>
              <w:t>一、二类工业企业：水耗、能耗较高的工业项目、现有生产能力大，市场容量小的项目；三类工业企业：制革工业、电镀工业、使用含汞、砷、镉、铬、铅、氰化物等为原料的项目、水耗、能耗较高的工业项目、现有生产能力大，市场容量小的项目。</w:t>
            </w:r>
          </w:p>
        </w:tc>
        <w:tc>
          <w:tcPr>
            <w:tcW w:w="1811" w:type="pct"/>
            <w:tcBorders>
              <w:tl2br w:val="nil"/>
              <w:tr2bl w:val="nil"/>
            </w:tcBorders>
            <w:noWrap w:val="0"/>
            <w:vAlign w:val="center"/>
          </w:tcPr>
          <w:p w14:paraId="2883C3C7">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①本项目其含镍、铬废水经处理后回用于生产，含磷废水经处理后回用于生产，其他废水</w:t>
            </w:r>
            <w:r>
              <w:rPr>
                <w:rFonts w:hint="eastAsia" w:cs="Times New Roman"/>
                <w:color w:val="auto"/>
                <w:u w:val="none"/>
                <w:lang w:val="en-US" w:eastAsia="zh-CN"/>
              </w:rPr>
              <w:t>进入</w:t>
            </w:r>
            <w:r>
              <w:rPr>
                <w:rFonts w:hint="eastAsia" w:eastAsia="宋体"/>
                <w:lang w:val="en-US" w:eastAsia="zh-CN"/>
              </w:rPr>
              <w:t>综合污水处理站处理达标后</w:t>
            </w:r>
            <w:r>
              <w:rPr>
                <w:rFonts w:hint="default" w:ascii="Times New Roman" w:hAnsi="Times New Roman" w:cs="Times New Roman"/>
                <w:color w:val="auto"/>
                <w:u w:val="none"/>
              </w:rPr>
              <w:t>后排入临港污水处理厂</w:t>
            </w:r>
            <w:r>
              <w:rPr>
                <w:rFonts w:hint="eastAsia" w:cs="Times New Roman"/>
                <w:color w:val="auto"/>
                <w:u w:val="none"/>
                <w:lang w:eastAsia="zh-CN"/>
              </w:rPr>
              <w:t>。</w:t>
            </w:r>
          </w:p>
          <w:p w14:paraId="22CFA480">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②</w:t>
            </w:r>
            <w:r>
              <w:rPr>
                <w:rFonts w:hint="default" w:ascii="Times New Roman" w:hAnsi="Times New Roman" w:cs="Times New Roman"/>
                <w:color w:val="auto"/>
                <w:u w:val="none"/>
                <w:lang w:val="en-US" w:eastAsia="zh-CN"/>
              </w:rPr>
              <w:t>本项目阳极氧化工艺使用的含铬原料，</w:t>
            </w:r>
            <w:r>
              <w:rPr>
                <w:rFonts w:hint="eastAsia" w:cs="Times New Roman"/>
                <w:color w:val="auto"/>
                <w:u w:val="none"/>
                <w:lang w:val="en-US" w:eastAsia="zh-CN"/>
              </w:rPr>
              <w:t>循环使用不外排。</w:t>
            </w:r>
          </w:p>
          <w:p w14:paraId="2EC31914">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③</w:t>
            </w:r>
            <w:r>
              <w:rPr>
                <w:rFonts w:hint="default" w:ascii="Times New Roman" w:hAnsi="Times New Roman" w:cs="Times New Roman"/>
                <w:color w:val="auto"/>
                <w:u w:val="none"/>
              </w:rPr>
              <w:t>本项目外排生产废水</w:t>
            </w:r>
            <w:r>
              <w:rPr>
                <w:rFonts w:hint="eastAsia" w:cs="Times New Roman"/>
                <w:color w:val="auto"/>
                <w:u w:val="none"/>
                <w:lang w:val="en-US" w:eastAsia="zh-CN"/>
              </w:rPr>
              <w:t>经厂区污水处理站处理后</w:t>
            </w:r>
            <w:r>
              <w:rPr>
                <w:rFonts w:hint="default" w:ascii="Times New Roman" w:hAnsi="Times New Roman" w:cs="Times New Roman"/>
                <w:color w:val="auto"/>
                <w:u w:val="none"/>
              </w:rPr>
              <w:t>，各项污染物指标可达到临港污水处理厂的</w:t>
            </w:r>
            <w:r>
              <w:rPr>
                <w:rFonts w:hint="default" w:ascii="Times New Roman" w:hAnsi="Times New Roman" w:cs="Times New Roman"/>
                <w:color w:val="auto"/>
                <w:sz w:val="21"/>
                <w:szCs w:val="21"/>
                <w:u w:val="none"/>
                <w:lang w:val="en-US" w:eastAsia="zh-CN"/>
              </w:rPr>
              <w:t>纳管协议</w:t>
            </w:r>
            <w:r>
              <w:rPr>
                <w:rFonts w:hint="default" w:ascii="Times New Roman" w:hAnsi="Times New Roman" w:cs="Times New Roman"/>
                <w:color w:val="auto"/>
                <w:sz w:val="21"/>
                <w:szCs w:val="21"/>
                <w:u w:val="none"/>
              </w:rPr>
              <w:t>标准</w:t>
            </w:r>
            <w:r>
              <w:rPr>
                <w:rFonts w:hint="default" w:ascii="Times New Roman" w:hAnsi="Times New Roman" w:cs="Times New Roman"/>
                <w:color w:val="auto"/>
                <w:u w:val="none"/>
              </w:rPr>
              <w:t>。本项目生产废水含镍、铬、含磷废水不外排，通过上述措施，可确保生产废水达标排放，故本项目的水质和水量不会对临港污水处理厂造成冲突。</w:t>
            </w:r>
          </w:p>
        </w:tc>
        <w:tc>
          <w:tcPr>
            <w:tcW w:w="732" w:type="pct"/>
            <w:tcBorders>
              <w:tl2br w:val="nil"/>
              <w:tr2bl w:val="nil"/>
            </w:tcBorders>
            <w:noWrap w:val="0"/>
            <w:vAlign w:val="center"/>
          </w:tcPr>
          <w:p w14:paraId="6EF297F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不属于限制类</w:t>
            </w:r>
          </w:p>
        </w:tc>
      </w:tr>
      <w:tr w14:paraId="4AF767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754C69BC">
            <w:pPr>
              <w:pStyle w:val="41"/>
              <w:rPr>
                <w:rFonts w:hint="default" w:ascii="Times New Roman" w:hAnsi="Times New Roman" w:cs="Times New Roman"/>
                <w:color w:val="auto"/>
                <w:u w:val="none"/>
              </w:rPr>
            </w:pPr>
            <w:r>
              <w:rPr>
                <w:rFonts w:hint="default" w:ascii="Times New Roman" w:hAnsi="Times New Roman" w:cs="Times New Roman"/>
                <w:color w:val="auto"/>
                <w:u w:val="none"/>
              </w:rPr>
              <w:t>禁止类</w:t>
            </w:r>
          </w:p>
        </w:tc>
        <w:tc>
          <w:tcPr>
            <w:tcW w:w="2091" w:type="pct"/>
            <w:tcBorders>
              <w:tl2br w:val="nil"/>
              <w:tr2bl w:val="nil"/>
            </w:tcBorders>
            <w:noWrap w:val="0"/>
            <w:vAlign w:val="center"/>
          </w:tcPr>
          <w:p w14:paraId="32F21D7B">
            <w:pPr>
              <w:pStyle w:val="41"/>
              <w:rPr>
                <w:rFonts w:hint="default" w:ascii="Times New Roman" w:hAnsi="Times New Roman" w:cs="Times New Roman"/>
                <w:color w:val="auto"/>
                <w:u w:val="none"/>
              </w:rPr>
            </w:pPr>
            <w:r>
              <w:rPr>
                <w:rFonts w:hint="default" w:ascii="Times New Roman" w:hAnsi="Times New Roman" w:cs="Times New Roman"/>
                <w:color w:val="auto"/>
                <w:u w:val="none"/>
              </w:rPr>
              <w:t>不符合核心区产业定位的一、二、三类工业企业项目；禁止铅、锌、铬等重污染冶炼行业；纺织印染、炼油、农药工业；水处理设施不完善的企业禁止开工生产；纺织印染工业；致癌、致畸、致突变产品生产项目；来料加工的海外废金属、塑料、纸张工业；电力工业的小火力发电；国家明文禁止的“十五小”和“新五小”项目，以及大量增加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X</w:t>
            </w:r>
            <w:r>
              <w:rPr>
                <w:rFonts w:hint="default" w:ascii="Times New Roman" w:hAnsi="Times New Roman" w:cs="Times New Roman"/>
                <w:color w:val="auto"/>
                <w:u w:val="none"/>
              </w:rPr>
              <w:t>、COD、NH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-N排放的工业项目。</w:t>
            </w:r>
          </w:p>
        </w:tc>
        <w:tc>
          <w:tcPr>
            <w:tcW w:w="1811" w:type="pct"/>
            <w:tcBorders>
              <w:tl2br w:val="nil"/>
              <w:tr2bl w:val="nil"/>
            </w:tcBorders>
            <w:noWrap w:val="0"/>
            <w:vAlign w:val="center"/>
          </w:tcPr>
          <w:p w14:paraId="2BD4195E">
            <w:pPr>
              <w:pStyle w:val="41"/>
              <w:rPr>
                <w:rFonts w:hint="default" w:ascii="Times New Roman" w:hAnsi="Times New Roman" w:cs="Times New Roman"/>
                <w:color w:val="auto"/>
                <w:u w:val="none"/>
              </w:rPr>
            </w:pPr>
            <w:r>
              <w:rPr>
                <w:rFonts w:hint="default" w:ascii="Times New Roman" w:hAnsi="Times New Roman" w:cs="Times New Roman"/>
                <w:color w:val="auto"/>
                <w:u w:val="none"/>
              </w:rPr>
              <w:t>不涉及</w:t>
            </w:r>
          </w:p>
        </w:tc>
        <w:tc>
          <w:tcPr>
            <w:tcW w:w="732" w:type="pct"/>
            <w:tcBorders>
              <w:tl2br w:val="nil"/>
              <w:tr2bl w:val="nil"/>
            </w:tcBorders>
            <w:noWrap w:val="0"/>
            <w:vAlign w:val="center"/>
          </w:tcPr>
          <w:p w14:paraId="2E39EB40">
            <w:pPr>
              <w:pStyle w:val="41"/>
              <w:rPr>
                <w:rFonts w:hint="default" w:ascii="Times New Roman" w:hAnsi="Times New Roman" w:cs="Times New Roman"/>
                <w:color w:val="auto"/>
                <w:u w:val="none"/>
              </w:rPr>
            </w:pPr>
            <w:r>
              <w:rPr>
                <w:rFonts w:hint="default" w:ascii="Times New Roman" w:hAnsi="Times New Roman" w:cs="Times New Roman"/>
                <w:color w:val="auto"/>
                <w:u w:val="none"/>
              </w:rPr>
              <w:t>不属于禁止类</w:t>
            </w:r>
          </w:p>
        </w:tc>
      </w:tr>
      <w:tr w14:paraId="5C782B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2F853279">
            <w:pPr>
              <w:pStyle w:val="41"/>
              <w:rPr>
                <w:rFonts w:hint="default" w:ascii="Times New Roman" w:hAnsi="Times New Roman" w:cs="Times New Roman"/>
                <w:color w:val="auto"/>
                <w:u w:val="none"/>
              </w:rPr>
            </w:pPr>
            <w:r>
              <w:rPr>
                <w:rFonts w:hint="default" w:ascii="Times New Roman" w:hAnsi="Times New Roman" w:cs="Times New Roman"/>
                <w:color w:val="auto"/>
                <w:u w:val="none"/>
              </w:rPr>
              <w:t>环保指标要求</w:t>
            </w:r>
          </w:p>
        </w:tc>
        <w:tc>
          <w:tcPr>
            <w:tcW w:w="2091" w:type="pct"/>
            <w:tcBorders>
              <w:tl2br w:val="nil"/>
              <w:tr2bl w:val="nil"/>
            </w:tcBorders>
            <w:noWrap w:val="0"/>
            <w:vAlign w:val="center"/>
          </w:tcPr>
          <w:p w14:paraId="5ABECB0B">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废水、废气处理率达100%固废处置率达100%污染物排放达标率100%</w:t>
            </w:r>
          </w:p>
        </w:tc>
        <w:tc>
          <w:tcPr>
            <w:tcW w:w="1811" w:type="pct"/>
            <w:tcBorders>
              <w:tl2br w:val="nil"/>
              <w:tr2bl w:val="nil"/>
            </w:tcBorders>
            <w:noWrap w:val="0"/>
            <w:vAlign w:val="center"/>
          </w:tcPr>
          <w:p w14:paraId="460A31D4">
            <w:pPr>
              <w:pStyle w:val="41"/>
              <w:rPr>
                <w:rFonts w:hint="default" w:ascii="Times New Roman" w:hAnsi="Times New Roman" w:cs="Times New Roman"/>
                <w:color w:val="auto"/>
                <w:u w:val="none"/>
              </w:rPr>
            </w:pPr>
            <w:r>
              <w:rPr>
                <w:rFonts w:hint="default" w:ascii="Times New Roman" w:hAnsi="Times New Roman" w:cs="Times New Roman"/>
                <w:color w:val="auto"/>
                <w:u w:val="none"/>
              </w:rPr>
              <w:t>建设单位在做好本次评价提出的相关环保措施的前提下，可满足上述环保指标要求。</w:t>
            </w:r>
          </w:p>
        </w:tc>
        <w:tc>
          <w:tcPr>
            <w:tcW w:w="732" w:type="pct"/>
            <w:tcBorders>
              <w:tl2br w:val="nil"/>
              <w:tr2bl w:val="nil"/>
            </w:tcBorders>
            <w:noWrap w:val="0"/>
            <w:vAlign w:val="center"/>
          </w:tcPr>
          <w:p w14:paraId="5D9F2EF6">
            <w:pPr>
              <w:pStyle w:val="41"/>
              <w:rPr>
                <w:rFonts w:hint="default" w:ascii="Times New Roman" w:hAnsi="Times New Roman" w:cs="Times New Roman"/>
                <w:color w:val="auto"/>
                <w:u w:val="none"/>
              </w:rPr>
            </w:pPr>
            <w:r>
              <w:rPr>
                <w:rFonts w:hint="default" w:ascii="Times New Roman" w:hAnsi="Times New Roman" w:cs="Times New Roman"/>
                <w:color w:val="auto"/>
                <w:u w:val="none"/>
              </w:rPr>
              <w:t>满足要求</w:t>
            </w:r>
          </w:p>
        </w:tc>
      </w:tr>
      <w:tr w14:paraId="3096C3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5" w:type="pct"/>
            <w:tcBorders>
              <w:tl2br w:val="nil"/>
              <w:tr2bl w:val="nil"/>
            </w:tcBorders>
            <w:noWrap w:val="0"/>
            <w:vAlign w:val="center"/>
          </w:tcPr>
          <w:p w14:paraId="107F4436">
            <w:pPr>
              <w:pStyle w:val="41"/>
              <w:rPr>
                <w:rFonts w:hint="default" w:ascii="Times New Roman" w:hAnsi="Times New Roman" w:cs="Times New Roman"/>
                <w:color w:val="auto"/>
                <w:u w:val="none"/>
              </w:rPr>
            </w:pPr>
            <w:r>
              <w:rPr>
                <w:rFonts w:hint="default" w:ascii="Times New Roman" w:hAnsi="Times New Roman" w:cs="Times New Roman"/>
                <w:color w:val="auto"/>
                <w:u w:val="none"/>
              </w:rPr>
              <w:t>其他</w:t>
            </w:r>
          </w:p>
        </w:tc>
        <w:tc>
          <w:tcPr>
            <w:tcW w:w="2091" w:type="pct"/>
            <w:tcBorders>
              <w:tl2br w:val="nil"/>
              <w:tr2bl w:val="nil"/>
            </w:tcBorders>
            <w:noWrap w:val="0"/>
            <w:vAlign w:val="center"/>
          </w:tcPr>
          <w:p w14:paraId="5C1C37C5">
            <w:pPr>
              <w:pStyle w:val="41"/>
              <w:rPr>
                <w:rFonts w:hint="default" w:ascii="Times New Roman" w:hAnsi="Times New Roman" w:cs="Times New Roman"/>
                <w:color w:val="auto"/>
                <w:u w:val="none"/>
              </w:rPr>
            </w:pPr>
            <w:r>
              <w:rPr>
                <w:rFonts w:hint="default" w:ascii="Times New Roman" w:hAnsi="Times New Roman" w:cs="Times New Roman"/>
                <w:color w:val="auto"/>
                <w:u w:val="none"/>
              </w:rPr>
              <w:t>①三类工业用地仅限涉及三类工业的高新企业项目预留地；②引入的企业全部采用天然气为能源，禁止采用燃煤、燃油为能源的项目进入，禁止工艺废气中有大量SO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X</w:t>
            </w:r>
            <w:r>
              <w:rPr>
                <w:rFonts w:hint="default" w:ascii="Times New Roman" w:hAnsi="Times New Roman" w:cs="Times New Roman"/>
                <w:color w:val="auto"/>
                <w:u w:val="none"/>
              </w:rPr>
              <w:t>产生的产业。③污水处理厂及管网建成运行前，限制水型污染企业准入。</w:t>
            </w:r>
          </w:p>
        </w:tc>
        <w:tc>
          <w:tcPr>
            <w:tcW w:w="1811" w:type="pct"/>
            <w:tcBorders>
              <w:tl2br w:val="nil"/>
              <w:tr2bl w:val="nil"/>
            </w:tcBorders>
            <w:noWrap w:val="0"/>
            <w:vAlign w:val="center"/>
          </w:tcPr>
          <w:p w14:paraId="4CCB4AD6">
            <w:pPr>
              <w:pStyle w:val="41"/>
              <w:rPr>
                <w:rFonts w:hint="default" w:ascii="Times New Roman" w:hAnsi="Times New Roman" w:cs="Times New Roman"/>
                <w:color w:val="auto"/>
                <w:u w:val="none"/>
              </w:rPr>
            </w:pPr>
            <w:r>
              <w:rPr>
                <w:rFonts w:hint="default" w:ascii="Times New Roman" w:hAnsi="Times New Roman" w:cs="Times New Roman"/>
                <w:color w:val="auto"/>
                <w:u w:val="none"/>
              </w:rPr>
              <w:t>①项目用地类型属于二类工业用地；②项目使用的能源主要为电能等清洁能源，不使用燃煤、燃油等重污染燃料；③本项目废水经处理后排入湖南城陵矶临新港区污水处理厂</w:t>
            </w:r>
          </w:p>
        </w:tc>
        <w:tc>
          <w:tcPr>
            <w:tcW w:w="732" w:type="pct"/>
            <w:tcBorders>
              <w:tl2br w:val="nil"/>
              <w:tr2bl w:val="nil"/>
            </w:tcBorders>
            <w:noWrap w:val="0"/>
            <w:vAlign w:val="center"/>
          </w:tcPr>
          <w:p w14:paraId="1716E4CF">
            <w:pPr>
              <w:pStyle w:val="41"/>
              <w:rPr>
                <w:rFonts w:hint="default" w:ascii="Times New Roman" w:hAnsi="Times New Roman" w:cs="Times New Roman"/>
                <w:color w:val="auto"/>
                <w:u w:val="none"/>
              </w:rPr>
            </w:pPr>
            <w:r>
              <w:rPr>
                <w:rFonts w:hint="default" w:ascii="Times New Roman" w:hAnsi="Times New Roman" w:cs="Times New Roman"/>
                <w:color w:val="auto"/>
                <w:u w:val="none"/>
              </w:rPr>
              <w:t>满足要求</w:t>
            </w:r>
          </w:p>
        </w:tc>
      </w:tr>
    </w:tbl>
    <w:p w14:paraId="71549DC8">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4</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与环评批复相符性分析</w:t>
      </w:r>
    </w:p>
    <w:p w14:paraId="70A0AAE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严格执行入区企业准入制度，入区项目选址必须符合总体发展规划、用地规划、环保规划及主导产业定位要求，着重发展高新技术类项目，不得引进国家明令淘汰和禁止发展的能耗物耗高、环境污染严重、不符合产业政策的建设项目；管委会和地方环保行政主管部门必须按照报告书核定的“企业准入条件一览表”做好项目的招商把关，禁止引入铅、锌、铬等重污染冶炼行业、纺织印染、炼油、农药工业、来料加工的海外废金属、塑料、纸张加工等工业进入产业区；限制发展三类工业，区域内三类工业用地仅允许用于涉及三类工业的高新企业引进和发展鼓励类高新技术项目的预留用地。在入园项目前期和建设期，必须严格执行建设项目环境影响评价和“三同时”管理制度，推行清洁生产工艺，确保企业排污浓度、总量满足达标排放和总量控制要求；加强对产业区内现有企业的环境监管，确保符合环评批复和“三同时”管理要求；对区域内已建的部分与核心区产业定位不符的企业应制定淘汰退出计划，逐步退出核心区。本项目用地为二类工业用地，符合园区总体发展规划、用地规划、环保规划及主导产业定位要求。</w:t>
      </w:r>
    </w:p>
    <w:p w14:paraId="65BD4B8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废水：规划区排水实施雨污分流，加快象骨港污水处理厂及配套管网工程建设进度，截污、排污管网必须与道路建设及区域开发同步进行，确保规划区内污水全面纳入污水处理厂处理。在污水处理厂及配套管网建成前，区域内应全面限制引进水型污染企业，并对已投产企业废水排放严格按《污水综合排放标准》(GB8978-1996)一级标准控制；污水处理厂建成后，企业生产生活废水经预处理达到《污水综合排放标准》(GB8978</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rPr>
        <w:t>1996)三级标准后由管网排入集中污水处理厂深度处理，达到《城镇污水处理厂污染物排放标准》(GB18918</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rPr>
        <w:t>2002)级B标准后外排长江。</w:t>
      </w:r>
    </w:p>
    <w:p w14:paraId="521A4764">
      <w:pPr>
        <w:ind w:firstLine="480"/>
        <w:rPr>
          <w:rFonts w:hint="default" w:ascii="Times New Roman" w:hAnsi="Times New Roman" w:cs="Times New Roman"/>
          <w:color w:val="FF0000"/>
          <w:u w:val="none"/>
        </w:rPr>
      </w:pPr>
      <w:r>
        <w:rPr>
          <w:rFonts w:hint="default" w:ascii="Times New Roman" w:hAnsi="Times New Roman" w:cs="Times New Roman"/>
          <w:color w:val="auto"/>
          <w:u w:val="none"/>
        </w:rPr>
        <w:t>本项目按照雨污分流、污污分流的要求建设厂区排水管网，生产废水分类收集处理，含镍废液、含铬废水零排放；含镍废水、含铬废水：分别经各自混凝沉淀处理系统处理后，处理后经砂滤+超滤+RO处理，后汇入含镍废液、含铬</w:t>
      </w:r>
      <w:r>
        <w:rPr>
          <w:rFonts w:hint="eastAsia" w:ascii="Times New Roman" w:hAnsi="Times New Roman" w:cs="Times New Roman"/>
          <w:color w:val="auto"/>
          <w:u w:val="none"/>
          <w:lang w:val="en-US" w:eastAsia="zh-CN"/>
        </w:rPr>
        <w:t>废水</w:t>
      </w:r>
      <w:r>
        <w:rPr>
          <w:rFonts w:hint="default" w:ascii="Times New Roman" w:hAnsi="Times New Roman" w:cs="Times New Roman"/>
          <w:color w:val="auto"/>
          <w:u w:val="none"/>
        </w:rPr>
        <w:t>处理系统，含镍废水、含铬废水零排放；含磷废水：采用蒸发浓缩工艺，冷凝水至化抛后道水洗槽，含油废水：隔油后，进入综合废水处理系统（化学沉淀预处理后接入生化系统达标排放）；碱废液：中和后，进入综合废水处理系统（化学沉淀预处理后接入生化系统达标排放）；综合废水：化学沉淀预处理后接入生化系统达标排放；含油废液、碱废液经预处理</w:t>
      </w:r>
      <w:r>
        <w:rPr>
          <w:rFonts w:hint="eastAsia" w:ascii="Times New Roman" w:hAnsi="Times New Roman" w:cs="Times New Roman"/>
          <w:color w:val="auto"/>
          <w:u w:val="none"/>
          <w:lang w:val="en-US" w:eastAsia="zh-CN"/>
        </w:rPr>
        <w:t>进入</w:t>
      </w:r>
      <w:r>
        <w:rPr>
          <w:rFonts w:hint="default" w:ascii="Times New Roman" w:hAnsi="Times New Roman" w:cs="Times New Roman"/>
          <w:color w:val="auto"/>
          <w:u w:val="none"/>
        </w:rPr>
        <w:t>综合废水一并排入综合废水处理系统处理达标后排入市政污水管网，经城陵矶临港产业新区污水处理厂处理达《城镇污水处理厂污染物排放标准》（GB18918-2002）及修改单中一级A标准，经象骨港汇入长江。生活污水经化粪池预处理后达到《污水综合排放标准》(GB8978一1996)三级标准</w:t>
      </w:r>
      <w:r>
        <w:rPr>
          <w:rFonts w:hint="default" w:ascii="Times New Roman" w:hAnsi="Times New Roman" w:cs="Times New Roman"/>
          <w:color w:val="auto"/>
          <w:u w:val="none"/>
          <w:lang w:val="en-US" w:eastAsia="zh-CN"/>
        </w:rPr>
        <w:t>及</w:t>
      </w:r>
      <w:r>
        <w:rPr>
          <w:rFonts w:hint="default" w:ascii="Times New Roman" w:hAnsi="Times New Roman" w:cs="Times New Roman"/>
          <w:color w:val="auto"/>
          <w:u w:val="none"/>
        </w:rPr>
        <w:t>临港污水处理厂的纳管协议标准后由管网排入城陵矶临港产业新区污水处理厂深度处理，达到《城镇污水处理厂污染物排放标准》(GB18918--2002)-级A标准经象骨港汇入长江。</w:t>
      </w:r>
    </w:p>
    <w:p w14:paraId="2CAA79D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废气：按报告书要求做好产业区大气污染控制措施。核心区依托华能电厂进行集中供热，区域内禁止使用</w:t>
      </w:r>
      <w:r>
        <w:rPr>
          <w:rFonts w:hint="default" w:ascii="Times New Roman" w:hAnsi="Times New Roman" w:cs="Times New Roman"/>
          <w:color w:val="auto"/>
          <w:u w:val="none"/>
          <w:lang w:val="en-US" w:eastAsia="zh-CN"/>
        </w:rPr>
        <w:t>原</w:t>
      </w:r>
      <w:r>
        <w:rPr>
          <w:rFonts w:hint="default" w:ascii="Times New Roman" w:hAnsi="Times New Roman" w:cs="Times New Roman"/>
          <w:color w:val="auto"/>
          <w:u w:val="none"/>
        </w:rPr>
        <w:t>煤、重油为能源的项目进入，禁止引进SO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X</w:t>
      </w:r>
      <w:r>
        <w:rPr>
          <w:rFonts w:hint="default" w:ascii="Times New Roman" w:hAnsi="Times New Roman" w:cs="Times New Roman"/>
          <w:color w:val="auto"/>
          <w:u w:val="none"/>
        </w:rPr>
        <w:t>排放量大的行业和项目。加强企业管理，对各企业有工艺废气产出的生产节点，应配置废气收集与处理净化装置，督促正常运行，确保达标排放；加强生产工艺研究与技术改进，采取有效措施，减少工艺废气的无组织排放，入园企业各生产装置排放的废气须经处理达到相应的排放标准；合理优化工业布局，在工业企业之间设置合理的间隔距离，避免相互干扰影响。</w:t>
      </w:r>
    </w:p>
    <w:p w14:paraId="7D92255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本项目主要的大气污染源为的废气主要</w:t>
      </w:r>
      <w:r>
        <w:rPr>
          <w:rFonts w:hint="eastAsia" w:ascii="Times New Roman" w:hAnsi="Times New Roman" w:cs="Times New Roman"/>
          <w:color w:val="auto"/>
          <w:u w:val="none"/>
          <w:lang w:val="en-US" w:eastAsia="zh-CN"/>
        </w:rPr>
        <w:t>为</w:t>
      </w:r>
      <w:r>
        <w:rPr>
          <w:rFonts w:hint="default" w:ascii="Times New Roman" w:hAnsi="Times New Roman" w:cs="Times New Roman"/>
          <w:color w:val="auto"/>
          <w:u w:val="none"/>
        </w:rPr>
        <w:t>酸性废气等。</w:t>
      </w:r>
    </w:p>
    <w:p w14:paraId="741C57A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阳极氧化线采用两级碱性喷淋塔处理后排放，碱性喷淋塔共计</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套，设置1根25.5m排气筒（DA0</w:t>
      </w:r>
      <w:r>
        <w:rPr>
          <w:rFonts w:hint="eastAsia" w:ascii="Times New Roman" w:hAnsi="Times New Roman" w:cs="Times New Roman"/>
          <w:color w:val="auto"/>
          <w:u w:val="none"/>
          <w:lang w:val="en-US" w:eastAsia="zh-CN"/>
        </w:rPr>
        <w:t>01</w:t>
      </w:r>
      <w:r>
        <w:rPr>
          <w:rFonts w:hint="default" w:ascii="Times New Roman" w:hAnsi="Times New Roman" w:cs="Times New Roman"/>
          <w:color w:val="auto"/>
          <w:u w:val="none"/>
        </w:rPr>
        <w:t>）排放</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铬酸雾</w:t>
      </w:r>
      <w:r>
        <w:rPr>
          <w:rFonts w:hint="default" w:ascii="Times New Roman" w:hAnsi="Times New Roman" w:cs="Times New Roman"/>
          <w:color w:val="auto"/>
          <w:u w:val="none"/>
        </w:rPr>
        <w:t>采用两级碱性喷淋塔处理后排放</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设置1根25.5m排气筒（DA0</w:t>
      </w:r>
      <w:r>
        <w:rPr>
          <w:rFonts w:hint="eastAsia" w:ascii="Times New Roman" w:hAnsi="Times New Roman" w:cs="Times New Roman"/>
          <w:color w:val="auto"/>
          <w:u w:val="none"/>
          <w:lang w:val="en-US" w:eastAsia="zh-CN"/>
        </w:rPr>
        <w:t>02</w:t>
      </w:r>
      <w:r>
        <w:rPr>
          <w:rFonts w:hint="default" w:ascii="Times New Roman" w:hAnsi="Times New Roman" w:cs="Times New Roman"/>
          <w:color w:val="auto"/>
          <w:u w:val="none"/>
        </w:rPr>
        <w:t>）排放。</w:t>
      </w:r>
    </w:p>
    <w:p w14:paraId="4219E9B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固废：做好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对工业企业产生固体废物特别是危险固废应按国家有关规定综合利用或妥善处置，严防二次污染。</w:t>
      </w:r>
    </w:p>
    <w:p w14:paraId="66B2BE9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一般工业固体废物：</w:t>
      </w:r>
      <w:r>
        <w:rPr>
          <w:rFonts w:hint="default" w:ascii="Times New Roman" w:hAnsi="Times New Roman" w:cs="Times New Roman"/>
          <w:color w:val="auto"/>
          <w:u w:val="none"/>
          <w:lang w:val="zh-CN"/>
        </w:rPr>
        <w:t>项目营运期产生的一般工业固体废物主要为</w:t>
      </w:r>
      <w:r>
        <w:rPr>
          <w:rFonts w:hint="default" w:ascii="Times New Roman" w:hAnsi="Times New Roman" w:cs="Times New Roman"/>
          <w:color w:val="auto"/>
          <w:u w:val="none"/>
        </w:rPr>
        <w:t>纯水系统产生废活性炭、废RO反渗透膜、废包装袋</w:t>
      </w:r>
      <w:r>
        <w:rPr>
          <w:rFonts w:hint="default" w:ascii="Times New Roman" w:hAnsi="Times New Roman" w:cs="Times New Roman"/>
          <w:color w:val="auto"/>
          <w:u w:val="none"/>
          <w:lang w:val="zh-CN"/>
        </w:rPr>
        <w:t>收集后外售。</w:t>
      </w:r>
    </w:p>
    <w:p w14:paraId="17987E2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危险废物：</w:t>
      </w:r>
      <w:r>
        <w:rPr>
          <w:rFonts w:hint="default" w:ascii="Times New Roman" w:hAnsi="Times New Roman" w:cs="Times New Roman"/>
          <w:color w:val="auto"/>
          <w:u w:val="none"/>
          <w:lang w:val="zh-CN"/>
        </w:rPr>
        <w:t>项目营运期产生的危险废物主要有</w:t>
      </w:r>
      <w:r>
        <w:rPr>
          <w:rFonts w:hint="default" w:ascii="Times New Roman" w:hAnsi="Times New Roman" w:cs="Times New Roman"/>
          <w:color w:val="auto"/>
          <w:u w:val="none"/>
        </w:rPr>
        <w:t>危险废物包括危险化学品废包装</w:t>
      </w:r>
      <w:r>
        <w:rPr>
          <w:rFonts w:hint="eastAsia" w:ascii="Times New Roman" w:hAnsi="Times New Roman" w:cs="Times New Roman"/>
          <w:color w:val="auto"/>
          <w:u w:val="none"/>
          <w:lang w:val="en-US" w:eastAsia="zh-CN"/>
        </w:rPr>
        <w:t>等，</w:t>
      </w:r>
      <w:r>
        <w:rPr>
          <w:rFonts w:hint="default" w:ascii="Times New Roman" w:hAnsi="Times New Roman" w:cs="Times New Roman"/>
          <w:color w:val="auto"/>
          <w:u w:val="none"/>
        </w:rPr>
        <w:t>在厂区设置危险废物暂存间，按《危险废物贮存污染控制标准》GB18597-</w:t>
      </w:r>
      <w:r>
        <w:rPr>
          <w:rFonts w:hint="eastAsia" w:ascii="Times New Roman" w:hAnsi="Times New Roman" w:cs="Times New Roman"/>
          <w:color w:val="auto"/>
          <w:u w:val="none"/>
          <w:lang w:val="en-US" w:eastAsia="zh-CN"/>
        </w:rPr>
        <w:t>2023</w:t>
      </w:r>
      <w:r>
        <w:rPr>
          <w:rFonts w:hint="default" w:ascii="Times New Roman" w:hAnsi="Times New Roman" w:cs="Times New Roman"/>
          <w:color w:val="auto"/>
          <w:u w:val="none"/>
        </w:rPr>
        <w:t>要求进行建设，设置防风、防雨、防晒、防渗漏、防腐蚀等功能，并委托有资质的单位处置。</w:t>
      </w:r>
    </w:p>
    <w:p w14:paraId="5130637C">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5</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与湖南省生态环境厅关于岳阳临港高新技术产业开发区环境影响跟踪评价工作意见的函的符合性分析</w:t>
      </w:r>
    </w:p>
    <w:p w14:paraId="0F44CB6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表1.4-2岳阳临港高新技术产业开发区环境影响跟踪评价工作意见的符合性分析</w:t>
      </w:r>
    </w:p>
    <w:tbl>
      <w:tblPr>
        <w:tblStyle w:val="5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7"/>
        <w:gridCol w:w="4041"/>
        <w:gridCol w:w="4057"/>
        <w:gridCol w:w="859"/>
      </w:tblGrid>
      <w:tr w14:paraId="0435EF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5D65706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类型</w:t>
            </w:r>
          </w:p>
        </w:tc>
        <w:tc>
          <w:tcPr>
            <w:tcW w:w="2090" w:type="pct"/>
            <w:tcBorders>
              <w:tl2br w:val="nil"/>
              <w:tr2bl w:val="nil"/>
            </w:tcBorders>
            <w:noWrap w:val="0"/>
            <w:vAlign w:val="center"/>
          </w:tcPr>
          <w:p w14:paraId="3322179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园区跟踪环评的管控要求</w:t>
            </w:r>
          </w:p>
        </w:tc>
        <w:tc>
          <w:tcPr>
            <w:tcW w:w="2098" w:type="pct"/>
            <w:tcBorders>
              <w:tl2br w:val="nil"/>
              <w:tr2bl w:val="nil"/>
            </w:tcBorders>
            <w:noWrap w:val="0"/>
            <w:vAlign w:val="center"/>
          </w:tcPr>
          <w:p w14:paraId="3D769CD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符合性分析</w:t>
            </w:r>
          </w:p>
        </w:tc>
        <w:tc>
          <w:tcPr>
            <w:tcW w:w="444" w:type="pct"/>
            <w:tcBorders>
              <w:tl2br w:val="nil"/>
              <w:tr2bl w:val="nil"/>
            </w:tcBorders>
            <w:noWrap w:val="0"/>
            <w:vAlign w:val="center"/>
          </w:tcPr>
          <w:p w14:paraId="59EB5A2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分析结论</w:t>
            </w:r>
          </w:p>
        </w:tc>
      </w:tr>
      <w:tr w14:paraId="70B7B2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02B4C5E6">
            <w:pPr>
              <w:pStyle w:val="41"/>
              <w:rPr>
                <w:rFonts w:hint="default" w:ascii="Times New Roman" w:hAnsi="Times New Roman" w:cs="Times New Roman"/>
                <w:color w:val="auto"/>
                <w:u w:val="none"/>
              </w:rPr>
            </w:pPr>
          </w:p>
        </w:tc>
        <w:tc>
          <w:tcPr>
            <w:tcW w:w="2090" w:type="pct"/>
            <w:tcBorders>
              <w:tl2br w:val="nil"/>
              <w:tr2bl w:val="nil"/>
            </w:tcBorders>
            <w:noWrap w:val="0"/>
            <w:vAlign w:val="center"/>
          </w:tcPr>
          <w:p w14:paraId="5B36DDE8">
            <w:pPr>
              <w:pStyle w:val="41"/>
              <w:rPr>
                <w:rFonts w:hint="default" w:ascii="Times New Roman" w:hAnsi="Times New Roman" w:cs="Times New Roman"/>
                <w:color w:val="auto"/>
                <w:u w:val="none"/>
              </w:rPr>
            </w:pPr>
            <w:r>
              <w:rPr>
                <w:rFonts w:hint="default" w:ascii="Times New Roman" w:hAnsi="Times New Roman" w:cs="Times New Roman"/>
                <w:color w:val="auto"/>
                <w:u w:val="none"/>
              </w:rPr>
              <w:t>依照《中国开发区审核公告目录》（2018年版），其核准面积为1815.1公顷，主导产业为物流、装备制造、电子信息。本次跟踪评价范围以核准面积（1815.1公顷）为基础，综合考虑实际开发及原规划环评范围。</w:t>
            </w:r>
          </w:p>
        </w:tc>
        <w:tc>
          <w:tcPr>
            <w:tcW w:w="2098" w:type="pct"/>
            <w:tcBorders>
              <w:tl2br w:val="nil"/>
              <w:tr2bl w:val="nil"/>
            </w:tcBorders>
            <w:noWrap w:val="0"/>
            <w:vAlign w:val="center"/>
          </w:tcPr>
          <w:p w14:paraId="29A9CB67">
            <w:pPr>
              <w:pStyle w:val="41"/>
              <w:rPr>
                <w:rFonts w:hint="default" w:ascii="Times New Roman" w:hAnsi="Times New Roman" w:cs="Times New Roman"/>
                <w:color w:val="auto"/>
                <w:u w:val="none"/>
              </w:rPr>
            </w:pPr>
            <w:r>
              <w:rPr>
                <w:rFonts w:hint="default" w:ascii="Times New Roman" w:hAnsi="Times New Roman" w:cs="Times New Roman"/>
                <w:color w:val="auto"/>
                <w:u w:val="none"/>
              </w:rPr>
              <w:t>本项目位于核准面积范围内，且本项目属于金属制品业，符合园区跟踪环评的要求</w:t>
            </w:r>
          </w:p>
        </w:tc>
        <w:tc>
          <w:tcPr>
            <w:tcW w:w="444" w:type="pct"/>
            <w:tcBorders>
              <w:tl2br w:val="nil"/>
              <w:tr2bl w:val="nil"/>
            </w:tcBorders>
            <w:noWrap w:val="0"/>
            <w:vAlign w:val="center"/>
          </w:tcPr>
          <w:p w14:paraId="504A4F07">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592A90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253B439F">
            <w:pPr>
              <w:pStyle w:val="41"/>
              <w:rPr>
                <w:rFonts w:hint="default" w:ascii="Times New Roman" w:hAnsi="Times New Roman" w:cs="Times New Roman"/>
                <w:color w:val="auto"/>
                <w:u w:val="none"/>
              </w:rPr>
            </w:pPr>
            <w:r>
              <w:rPr>
                <w:rFonts w:hint="default" w:ascii="Times New Roman" w:hAnsi="Times New Roman" w:cs="Times New Roman"/>
                <w:color w:val="auto"/>
                <w:u w:val="none"/>
              </w:rPr>
              <w:t>按程序做好园区规划调整</w:t>
            </w:r>
          </w:p>
        </w:tc>
        <w:tc>
          <w:tcPr>
            <w:tcW w:w="2090" w:type="pct"/>
            <w:tcBorders>
              <w:tl2br w:val="nil"/>
              <w:tr2bl w:val="nil"/>
            </w:tcBorders>
            <w:noWrap w:val="0"/>
            <w:vAlign w:val="center"/>
          </w:tcPr>
          <w:p w14:paraId="6782C358">
            <w:pPr>
              <w:pStyle w:val="41"/>
              <w:rPr>
                <w:rFonts w:hint="default" w:ascii="Times New Roman" w:hAnsi="Times New Roman" w:cs="Times New Roman"/>
                <w:color w:val="auto"/>
                <w:u w:val="none"/>
              </w:rPr>
            </w:pPr>
            <w:r>
              <w:rPr>
                <w:rFonts w:hint="default" w:ascii="Times New Roman" w:hAnsi="Times New Roman" w:cs="Times New Roman"/>
                <w:color w:val="auto"/>
                <w:u w:val="none"/>
              </w:rPr>
              <w:t>对位于临江1km范围内的企业，应在规定期限内完成关闭退出、搬迁改造工作。临近凌泊湖小区、亚泰花园等居住区的工业企业应强化污染防治设施的治理效果，并按《报告书》要求，设置一定距离的绿化隔离带，最大程度地避免对邻近居住区的不良环境影响；后续引进企业，应合理引导企业布局，确保各行业企业在其相应的规划产业片区内发展，严禁跨红线布局。</w:t>
            </w:r>
          </w:p>
        </w:tc>
        <w:tc>
          <w:tcPr>
            <w:tcW w:w="2098" w:type="pct"/>
            <w:tcBorders>
              <w:tl2br w:val="nil"/>
              <w:tr2bl w:val="nil"/>
            </w:tcBorders>
            <w:noWrap w:val="0"/>
            <w:vAlign w:val="center"/>
          </w:tcPr>
          <w:p w14:paraId="6715C7D4">
            <w:pPr>
              <w:pStyle w:val="41"/>
              <w:rPr>
                <w:rFonts w:hint="default" w:ascii="Times New Roman" w:hAnsi="Times New Roman" w:cs="Times New Roman"/>
                <w:color w:val="auto"/>
                <w:u w:val="none"/>
              </w:rPr>
            </w:pPr>
            <w:r>
              <w:rPr>
                <w:rFonts w:hint="default" w:ascii="Times New Roman" w:hAnsi="Times New Roman" w:cs="Times New Roman"/>
                <w:color w:val="auto"/>
                <w:u w:val="none"/>
              </w:rPr>
              <w:t>根据《岳阳临港高新技术产业开发区环境影响跟踪环评报告》，位于临江1km范围内的化工企业需进行关闭退出和搬迁改造，同时根据《岳阳临港高新技术开发产业园区生态环境管理2020年度自评估报告》和湖南省生态环境厅《关于发布湖南省沿江1公里范围内化工生产企业搬迁改造名单的公告》（2020年6月23日），沿江岸线1公里范围内的化工生产企业需进行关闭退出。本项目距离长江1.2km，不属于化工类企业，本项目在相应的规划产业片区内发展，未跨越红线布局</w:t>
            </w:r>
          </w:p>
        </w:tc>
        <w:tc>
          <w:tcPr>
            <w:tcW w:w="444" w:type="pct"/>
            <w:tcBorders>
              <w:tl2br w:val="nil"/>
              <w:tr2bl w:val="nil"/>
            </w:tcBorders>
            <w:noWrap w:val="0"/>
            <w:vAlign w:val="center"/>
          </w:tcPr>
          <w:p w14:paraId="14D6C7A8">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0CDCF5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69423E8C">
            <w:pPr>
              <w:pStyle w:val="41"/>
              <w:rPr>
                <w:rFonts w:hint="default" w:ascii="Times New Roman" w:hAnsi="Times New Roman" w:cs="Times New Roman"/>
                <w:color w:val="auto"/>
                <w:u w:val="none"/>
              </w:rPr>
            </w:pPr>
            <w:r>
              <w:rPr>
                <w:rFonts w:hint="default" w:ascii="Times New Roman" w:hAnsi="Times New Roman" w:cs="Times New Roman"/>
                <w:color w:val="auto"/>
                <w:u w:val="none"/>
              </w:rPr>
              <w:t>进一步严格产业环境准入</w:t>
            </w:r>
          </w:p>
        </w:tc>
        <w:tc>
          <w:tcPr>
            <w:tcW w:w="2090" w:type="pct"/>
            <w:tcBorders>
              <w:tl2br w:val="nil"/>
              <w:tr2bl w:val="nil"/>
            </w:tcBorders>
            <w:noWrap w:val="0"/>
            <w:vAlign w:val="center"/>
          </w:tcPr>
          <w:p w14:paraId="7CE2DB4D">
            <w:pPr>
              <w:pStyle w:val="41"/>
              <w:rPr>
                <w:rFonts w:hint="default" w:ascii="Times New Roman" w:hAnsi="Times New Roman" w:cs="Times New Roman"/>
                <w:color w:val="auto"/>
                <w:u w:val="none"/>
              </w:rPr>
            </w:pPr>
            <w:r>
              <w:rPr>
                <w:rFonts w:hint="default" w:ascii="Times New Roman" w:hAnsi="Times New Roman" w:cs="Times New Roman"/>
                <w:color w:val="auto"/>
                <w:u w:val="none"/>
              </w:rPr>
              <w:t>岳阳临港新区后续发展与规划调整须符合岳阳临港新区“三线一单”环境准入要求、长江经济带发展负面清单指南(试行)及《报告书》提出的环境准入条件和负面清单要求。对不符合园区用地规划、产业定位的现有企业，按《报告书》建议要求企业强化污染防治措施，且不得在原址新增污染物排放量，同时，做好项目周边用地的控规工作。园区范围新建、改建和扩建“两高”项目应按照《关于加强重点行业建设项目区域削减措施监督管理的通知》要求，依据区域环境质量改善目标，制定配套区域污染物削减方案，采取有效的污染物区域削减措施，腾出足够的环境容量。入园企业应优先考虑使用清洁能源、能耗低、技术工艺先进、清洁生产和环境管理水平高、污染防治技术成熟的企业，须严格执行环境保护“三同时”制度，确保外排污染物满足排污许可证管控要求。</w:t>
            </w:r>
          </w:p>
        </w:tc>
        <w:tc>
          <w:tcPr>
            <w:tcW w:w="2098" w:type="pct"/>
            <w:tcBorders>
              <w:tl2br w:val="nil"/>
              <w:tr2bl w:val="nil"/>
            </w:tcBorders>
            <w:noWrap w:val="0"/>
            <w:vAlign w:val="center"/>
          </w:tcPr>
          <w:p w14:paraId="398CB2D4">
            <w:pPr>
              <w:pStyle w:val="41"/>
              <w:rPr>
                <w:rFonts w:hint="default" w:ascii="Times New Roman" w:hAnsi="Times New Roman" w:cs="Times New Roman"/>
                <w:color w:val="auto"/>
                <w:u w:val="none"/>
              </w:rPr>
            </w:pPr>
            <w:r>
              <w:rPr>
                <w:rFonts w:hint="default" w:ascii="Times New Roman" w:hAnsi="Times New Roman" w:cs="Times New Roman"/>
                <w:color w:val="auto"/>
                <w:u w:val="none"/>
              </w:rPr>
              <w:t>根据1.4.3以及1.4.7可知，本项目符合岳阳临港新区“三线一单”环境准入要求、长江经济带发展负面清单指南(试行)的要求。根据《湖南省“两高”项目管理目录》，本项目不属于两高项目，且本项目的建设符合园区产业定位，本项目采用先进的技术工期，使用的能源为电源，根据预测分析可知，本项目外排污染物满足排污许可证管控的要求，且项目投入运营时，严格执行“三同时”制度</w:t>
            </w:r>
          </w:p>
        </w:tc>
        <w:tc>
          <w:tcPr>
            <w:tcW w:w="444" w:type="pct"/>
            <w:tcBorders>
              <w:tl2br w:val="nil"/>
              <w:tr2bl w:val="nil"/>
            </w:tcBorders>
            <w:noWrap w:val="0"/>
            <w:vAlign w:val="center"/>
          </w:tcPr>
          <w:p w14:paraId="2F3E710B">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6676D9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3C7EC090">
            <w:pPr>
              <w:pStyle w:val="41"/>
              <w:rPr>
                <w:rFonts w:hint="default" w:ascii="Times New Roman" w:hAnsi="Times New Roman" w:cs="Times New Roman"/>
                <w:color w:val="FF0000"/>
                <w:u w:val="none"/>
              </w:rPr>
            </w:pPr>
            <w:r>
              <w:rPr>
                <w:rFonts w:hint="default" w:ascii="Times New Roman" w:hAnsi="Times New Roman" w:cs="Times New Roman"/>
                <w:color w:val="auto"/>
                <w:u w:val="none"/>
              </w:rPr>
              <w:t>进一步落实园区污染管控措施</w:t>
            </w:r>
          </w:p>
        </w:tc>
        <w:tc>
          <w:tcPr>
            <w:tcW w:w="2090" w:type="pct"/>
            <w:tcBorders>
              <w:tl2br w:val="nil"/>
              <w:tr2bl w:val="nil"/>
            </w:tcBorders>
            <w:noWrap w:val="0"/>
            <w:vAlign w:val="center"/>
          </w:tcPr>
          <w:p w14:paraId="6CE020CE">
            <w:pPr>
              <w:pStyle w:val="41"/>
              <w:rPr>
                <w:rFonts w:hint="default" w:ascii="Times New Roman" w:hAnsi="Times New Roman" w:cs="Times New Roman"/>
                <w:color w:val="auto"/>
                <w:u w:val="none"/>
              </w:rPr>
            </w:pPr>
            <w:r>
              <w:rPr>
                <w:rFonts w:hint="default" w:ascii="Times New Roman" w:hAnsi="Times New Roman" w:cs="Times New Roman"/>
                <w:color w:val="auto"/>
                <w:u w:val="none"/>
              </w:rPr>
              <w:t>岳阳临港新区应按开发进度完善区域雨污分流和污污分流系统、污水收集管网及集中污水处理设施建设，确保园区废水应收尽收，全部送至湖南城陵矶临港产业新区污水处理厂深度处理。加强污水处理设施日常运营维护，确保可长期稳定运行。鉴于白杨湖现阶段存在总磷超标现象，地方应按要求加快开展白杨湖综合环境整治与生态修复工作，配套污水管网在未完成对接区域，不得新增水污染排放的建设项目。优化能源结构，推广清洁能源。加强园区大气污染防治，加大对区内重点排污企业废气治理措施运行情况及废气无组织排放的监管，确保大气污染物达标排放，对治理设施不能有效运行的企业，采取停产措施。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重点抓好企业环保手续的完善，全面落实高新区内现有企业污染物特别排放限值控制要求，采取有效措施减少污染物排放总量，确保实现区域环境质量改善目标，促进园区发展与生态环境保护相协调。</w:t>
            </w:r>
          </w:p>
        </w:tc>
        <w:tc>
          <w:tcPr>
            <w:tcW w:w="2098" w:type="pct"/>
            <w:tcBorders>
              <w:tl2br w:val="nil"/>
              <w:tr2bl w:val="nil"/>
            </w:tcBorders>
            <w:noWrap w:val="0"/>
            <w:vAlign w:val="center"/>
          </w:tcPr>
          <w:p w14:paraId="2BD3F9A4">
            <w:pPr>
              <w:pStyle w:val="41"/>
              <w:rPr>
                <w:rFonts w:hint="default" w:ascii="Times New Roman" w:hAnsi="Times New Roman" w:cs="Times New Roman"/>
                <w:color w:val="auto"/>
                <w:u w:val="none"/>
              </w:rPr>
            </w:pPr>
            <w:r>
              <w:rPr>
                <w:rFonts w:hint="default" w:ascii="Times New Roman" w:hAnsi="Times New Roman" w:cs="Times New Roman"/>
                <w:color w:val="auto"/>
                <w:u w:val="none"/>
              </w:rPr>
              <w:t>本项目实施雨污分流，生产废水分类收集处理，含镍废水、含镍废液、含铬废水、含磷废水经单独收集处理后用泵打至中水回用处理系统；含油废液、碱废液经预处理与综合废水一并排入综合废水处理系统处理达标后排入市政污水管网；生活污水经化粪池处理后排入湖南城陵矶临港产业新区污水处理厂。本项目碱性喷淋塔</w:t>
            </w:r>
            <w:r>
              <w:rPr>
                <w:rFonts w:hint="eastAsia" w:cs="Times New Roman"/>
                <w:color w:val="auto"/>
                <w:u w:val="none"/>
                <w:lang w:val="en-US" w:eastAsia="zh-CN"/>
              </w:rPr>
              <w:t>2</w:t>
            </w:r>
            <w:r>
              <w:rPr>
                <w:rFonts w:hint="default" w:ascii="Times New Roman" w:hAnsi="Times New Roman" w:cs="Times New Roman"/>
                <w:color w:val="auto"/>
                <w:u w:val="none"/>
              </w:rPr>
              <w:t>套，阳极氧化线中会产生酸性废气，采用两级碱性喷淋塔处理后排放，设置</w:t>
            </w:r>
            <w:r>
              <w:rPr>
                <w:rFonts w:hint="eastAsia" w:cs="Times New Roman"/>
                <w:color w:val="auto"/>
                <w:u w:val="none"/>
                <w:lang w:val="en-US" w:eastAsia="zh-CN"/>
              </w:rPr>
              <w:t>2</w:t>
            </w:r>
            <w:r>
              <w:rPr>
                <w:rFonts w:hint="default" w:ascii="Times New Roman" w:hAnsi="Times New Roman" w:cs="Times New Roman"/>
                <w:color w:val="auto"/>
                <w:u w:val="none"/>
              </w:rPr>
              <w:t>根25.5m排气筒排放。通过上述措施，可确保大气物范围达标排放；</w:t>
            </w:r>
            <w:r>
              <w:rPr>
                <w:rFonts w:hint="eastAsia" w:cs="Times New Roman"/>
                <w:color w:val="auto"/>
                <w:u w:val="none"/>
                <w:lang w:val="en-US" w:eastAsia="zh-CN"/>
              </w:rPr>
              <w:t>本项目</w:t>
            </w:r>
            <w:r>
              <w:rPr>
                <w:rFonts w:hint="default" w:ascii="Times New Roman" w:hAnsi="Times New Roman" w:cs="Times New Roman"/>
                <w:color w:val="auto"/>
                <w:u w:val="none"/>
              </w:rPr>
              <w:t>产生的危险废物经厂区危废暂存间暂存后，交有资质单位处理，同时做好相关台帐等要求</w:t>
            </w:r>
          </w:p>
        </w:tc>
        <w:tc>
          <w:tcPr>
            <w:tcW w:w="444" w:type="pct"/>
            <w:tcBorders>
              <w:tl2br w:val="nil"/>
              <w:tr2bl w:val="nil"/>
            </w:tcBorders>
            <w:noWrap w:val="0"/>
            <w:vAlign w:val="center"/>
          </w:tcPr>
          <w:p w14:paraId="4C9194E4">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5D0B7C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6B96DA7A">
            <w:pPr>
              <w:pStyle w:val="41"/>
              <w:rPr>
                <w:rFonts w:hint="default" w:ascii="Times New Roman" w:hAnsi="Times New Roman" w:cs="Times New Roman"/>
                <w:color w:val="auto"/>
                <w:u w:val="none"/>
              </w:rPr>
            </w:pPr>
            <w:r>
              <w:rPr>
                <w:rFonts w:hint="default" w:ascii="Times New Roman" w:hAnsi="Times New Roman" w:cs="Times New Roman"/>
                <w:color w:val="auto"/>
                <w:u w:val="none"/>
              </w:rPr>
              <w:t>健全园区环境风险防控体系</w:t>
            </w:r>
          </w:p>
        </w:tc>
        <w:tc>
          <w:tcPr>
            <w:tcW w:w="2090" w:type="pct"/>
            <w:tcBorders>
              <w:tl2br w:val="nil"/>
              <w:tr2bl w:val="nil"/>
            </w:tcBorders>
            <w:noWrap w:val="0"/>
            <w:vAlign w:val="center"/>
          </w:tcPr>
          <w:p w14:paraId="6677A5A2">
            <w:pPr>
              <w:pStyle w:val="41"/>
              <w:rPr>
                <w:rFonts w:hint="default" w:ascii="Times New Roman" w:hAnsi="Times New Roman" w:cs="Times New Roman"/>
                <w:color w:val="auto"/>
                <w:u w:val="none"/>
              </w:rPr>
            </w:pPr>
            <w:r>
              <w:rPr>
                <w:rFonts w:hint="default" w:ascii="Times New Roman" w:hAnsi="Times New Roman" w:cs="Times New Roman"/>
                <w:color w:val="auto"/>
                <w:u w:val="none"/>
              </w:rPr>
              <w:t>加强岳阳临港新区重要环境风险源管控，加强园区危险化学品储运的环境风险管理，严格落实应急响应联动机制，确保区域环境安全。</w:t>
            </w:r>
          </w:p>
        </w:tc>
        <w:tc>
          <w:tcPr>
            <w:tcW w:w="2098" w:type="pct"/>
            <w:tcBorders>
              <w:tl2br w:val="nil"/>
              <w:tr2bl w:val="nil"/>
            </w:tcBorders>
            <w:noWrap w:val="0"/>
            <w:vAlign w:val="center"/>
          </w:tcPr>
          <w:p w14:paraId="36166917">
            <w:pPr>
              <w:pStyle w:val="41"/>
              <w:rPr>
                <w:rFonts w:hint="default" w:ascii="Times New Roman" w:hAnsi="Times New Roman" w:cs="Times New Roman"/>
                <w:color w:val="auto"/>
                <w:u w:val="none"/>
              </w:rPr>
            </w:pPr>
            <w:r>
              <w:rPr>
                <w:rFonts w:hint="default" w:ascii="Times New Roman" w:hAnsi="Times New Roman" w:cs="Times New Roman"/>
                <w:color w:val="auto"/>
                <w:u w:val="none"/>
              </w:rPr>
              <w:t>本项目投入运营后，将开展企业突发环境事件应急预案，并且与园区应急预案联动</w:t>
            </w:r>
          </w:p>
        </w:tc>
        <w:tc>
          <w:tcPr>
            <w:tcW w:w="444" w:type="pct"/>
            <w:tcBorders>
              <w:tl2br w:val="nil"/>
              <w:tr2bl w:val="nil"/>
            </w:tcBorders>
            <w:noWrap w:val="0"/>
            <w:vAlign w:val="center"/>
          </w:tcPr>
          <w:p w14:paraId="114B34DE">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5DC493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5B5841E0">
            <w:pPr>
              <w:pStyle w:val="41"/>
              <w:rPr>
                <w:rFonts w:hint="default" w:ascii="Times New Roman" w:hAnsi="Times New Roman" w:cs="Times New Roman"/>
                <w:color w:val="auto"/>
                <w:u w:val="none"/>
              </w:rPr>
            </w:pPr>
            <w:r>
              <w:rPr>
                <w:rFonts w:hint="default" w:ascii="Times New Roman" w:hAnsi="Times New Roman" w:cs="Times New Roman"/>
                <w:color w:val="auto"/>
                <w:u w:val="none"/>
              </w:rPr>
              <w:t>加强对环境敏感.点的保护</w:t>
            </w:r>
          </w:p>
        </w:tc>
        <w:tc>
          <w:tcPr>
            <w:tcW w:w="2090" w:type="pct"/>
            <w:tcBorders>
              <w:tl2br w:val="nil"/>
              <w:tr2bl w:val="nil"/>
            </w:tcBorders>
            <w:noWrap w:val="0"/>
            <w:vAlign w:val="center"/>
          </w:tcPr>
          <w:p w14:paraId="29B3D428">
            <w:pPr>
              <w:pStyle w:val="41"/>
              <w:rPr>
                <w:rFonts w:hint="default" w:ascii="Times New Roman" w:hAnsi="Times New Roman" w:cs="Times New Roman"/>
                <w:color w:val="auto"/>
                <w:u w:val="none"/>
              </w:rPr>
            </w:pPr>
            <w:r>
              <w:rPr>
                <w:rFonts w:hint="default" w:ascii="Times New Roman" w:hAnsi="Times New Roman" w:cs="Times New Roman"/>
                <w:color w:val="auto"/>
                <w:u w:val="none"/>
              </w:rPr>
              <w:t>严格做好控规，杜绝在规划的工业用地上新增环境敏感目标、建设居民区。做好商业用地、居住用地周边的规划控制，在下一轮规划调整中应从提升指导性、可操作性的角度出发推动产业集中布局、降低环境影响，严格控制气型污染企业入驻，加强对现有企业的污染防治措施。按要求做好功能区及具体项目用地周边规划控制，岳阳临港新区应根据开发规划统筹制定拆迁安置方案，落实移民生产生活安置措施，防止移民再次安置和次生环境问题。</w:t>
            </w:r>
          </w:p>
        </w:tc>
        <w:tc>
          <w:tcPr>
            <w:tcW w:w="2098" w:type="pct"/>
            <w:tcBorders>
              <w:tl2br w:val="nil"/>
              <w:tr2bl w:val="nil"/>
            </w:tcBorders>
            <w:noWrap w:val="0"/>
            <w:vAlign w:val="center"/>
          </w:tcPr>
          <w:p w14:paraId="0414FBD9">
            <w:pPr>
              <w:pStyle w:val="41"/>
              <w:rPr>
                <w:rFonts w:hint="default" w:ascii="Times New Roman" w:hAnsi="Times New Roman" w:cs="Times New Roman"/>
                <w:color w:val="auto"/>
                <w:u w:val="none"/>
              </w:rPr>
            </w:pPr>
            <w:r>
              <w:rPr>
                <w:rFonts w:hint="default" w:ascii="Times New Roman" w:hAnsi="Times New Roman" w:cs="Times New Roman"/>
                <w:color w:val="auto"/>
                <w:u w:val="none"/>
              </w:rPr>
              <w:t>本项目所在地为二类工业用地，且根据附件2可知，岳阳高新技术产业园区管理委员会同意该项目入驻园区，且本项目废气、废水经处理后外排，满足相关排放标准和排污许可的要求</w:t>
            </w:r>
          </w:p>
        </w:tc>
        <w:tc>
          <w:tcPr>
            <w:tcW w:w="444" w:type="pct"/>
            <w:tcBorders>
              <w:tl2br w:val="nil"/>
              <w:tr2bl w:val="nil"/>
            </w:tcBorders>
            <w:noWrap w:val="0"/>
            <w:vAlign w:val="center"/>
          </w:tcPr>
          <w:p w14:paraId="3FE5D5D4">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296B19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66" w:type="pct"/>
            <w:tcBorders>
              <w:tl2br w:val="nil"/>
              <w:tr2bl w:val="nil"/>
            </w:tcBorders>
            <w:noWrap w:val="0"/>
            <w:vAlign w:val="center"/>
          </w:tcPr>
          <w:p w14:paraId="1E6AD70E">
            <w:pPr>
              <w:pStyle w:val="41"/>
              <w:rPr>
                <w:rFonts w:hint="default" w:ascii="Times New Roman" w:hAnsi="Times New Roman" w:cs="Times New Roman"/>
                <w:color w:val="auto"/>
                <w:u w:val="none"/>
              </w:rPr>
            </w:pPr>
            <w:r>
              <w:rPr>
                <w:rFonts w:hint="default" w:ascii="Times New Roman" w:hAnsi="Times New Roman" w:cs="Times New Roman"/>
                <w:color w:val="auto"/>
                <w:u w:val="none"/>
              </w:rPr>
              <w:t>做好园区后续开发过程中生态环境保护和水土保持</w:t>
            </w:r>
          </w:p>
        </w:tc>
        <w:tc>
          <w:tcPr>
            <w:tcW w:w="2090" w:type="pct"/>
            <w:tcBorders>
              <w:tl2br w:val="nil"/>
              <w:tr2bl w:val="nil"/>
            </w:tcBorders>
            <w:noWrap w:val="0"/>
            <w:vAlign w:val="center"/>
          </w:tcPr>
          <w:p w14:paraId="25B2CC37">
            <w:pPr>
              <w:pStyle w:val="41"/>
              <w:rPr>
                <w:rFonts w:hint="default" w:ascii="Times New Roman" w:hAnsi="Times New Roman" w:cs="Times New Roman"/>
                <w:color w:val="auto"/>
                <w:u w:val="none"/>
              </w:rPr>
            </w:pPr>
            <w:r>
              <w:rPr>
                <w:rFonts w:hint="default" w:ascii="Times New Roman" w:hAnsi="Times New Roman" w:cs="Times New Roman"/>
                <w:color w:val="auto"/>
                <w:u w:val="none"/>
              </w:rPr>
              <w:t>尽可能保留自然水体，施工期对土石方开挖、堆存及回填要实施围挡、护坡等措施，裸露地及时恢复植被，防止后续开发建设中的扬尘污染和水土流失。</w:t>
            </w:r>
          </w:p>
        </w:tc>
        <w:tc>
          <w:tcPr>
            <w:tcW w:w="2098" w:type="pct"/>
            <w:tcBorders>
              <w:tl2br w:val="nil"/>
              <w:tr2bl w:val="nil"/>
            </w:tcBorders>
            <w:noWrap w:val="0"/>
            <w:vAlign w:val="center"/>
          </w:tcPr>
          <w:p w14:paraId="4E869249">
            <w:pPr>
              <w:pStyle w:val="41"/>
              <w:rPr>
                <w:rFonts w:hint="default" w:ascii="Times New Roman" w:hAnsi="Times New Roman" w:cs="Times New Roman"/>
                <w:color w:val="auto"/>
                <w:u w:val="none"/>
              </w:rPr>
            </w:pPr>
            <w:r>
              <w:rPr>
                <w:rFonts w:hint="default" w:ascii="Times New Roman" w:hAnsi="Times New Roman" w:cs="Times New Roman"/>
                <w:color w:val="auto"/>
                <w:u w:val="none"/>
              </w:rPr>
              <w:t>本项目租赁已建标准厂房，不涉及土建施工</w:t>
            </w:r>
          </w:p>
        </w:tc>
        <w:tc>
          <w:tcPr>
            <w:tcW w:w="444" w:type="pct"/>
            <w:tcBorders>
              <w:tl2br w:val="nil"/>
              <w:tr2bl w:val="nil"/>
            </w:tcBorders>
            <w:noWrap w:val="0"/>
            <w:vAlign w:val="center"/>
          </w:tcPr>
          <w:p w14:paraId="017C60D3">
            <w:pPr>
              <w:pStyle w:val="41"/>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bl>
    <w:p w14:paraId="32B4CC9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综上所述，本项目的建设符合岳阳临港高新技术产业开发区环境影响跟踪评价工作意见的要求。</w:t>
      </w:r>
    </w:p>
    <w:p w14:paraId="4D94275B">
      <w:pPr>
        <w:pStyle w:val="5"/>
        <w:rPr>
          <w:rFonts w:hint="default" w:ascii="Times New Roman" w:hAnsi="Times New Roman" w:cs="Times New Roman"/>
          <w:color w:val="auto"/>
          <w:u w:val="none"/>
        </w:rPr>
      </w:pPr>
      <w:r>
        <w:rPr>
          <w:rFonts w:hint="default" w:ascii="Times New Roman" w:hAnsi="Times New Roman" w:cs="Times New Roman"/>
          <w:color w:val="auto"/>
          <w:u w:val="none"/>
        </w:rPr>
        <w:t>“三线一单”分析</w:t>
      </w:r>
    </w:p>
    <w:p w14:paraId="3D71708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国家发展改革委、商务部会同有关部门汇总、审查形成的《市场准入负面清单（2019版）》，本项目不属于（三）制造业中禁止事项。同时项目不属于《湖南省国家重点生态功能区产业准入负面清单》湘发改规划（2018）373号中禁止准入产业。</w:t>
      </w:r>
    </w:p>
    <w:p w14:paraId="1B7A21D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根据《湖南省“ 三线一单”生态环境总体管控要求暨省级以上产业园区生态环境准入清单》，岳阳临港高新技术产业开发区环境准入负面清单见下表。</w:t>
      </w:r>
    </w:p>
    <w:p w14:paraId="04F7E62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表1.4-3  与岳阳临港高新技术产业开发区环境准入清单符合性分析</w:t>
      </w:r>
    </w:p>
    <w:tbl>
      <w:tblPr>
        <w:tblStyle w:val="31"/>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5377"/>
        <w:gridCol w:w="2406"/>
        <w:gridCol w:w="975"/>
      </w:tblGrid>
      <w:tr w14:paraId="52902D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14:paraId="69A8AF17">
            <w:pPr>
              <w:pStyle w:val="56"/>
              <w:widowControl w:val="0"/>
              <w:rPr>
                <w:rFonts w:hint="default" w:ascii="Times New Roman" w:hAnsi="Times New Roman" w:cs="Times New Roman"/>
                <w:b/>
                <w:bCs/>
                <w:color w:val="auto"/>
                <w:u w:val="none"/>
              </w:rPr>
            </w:pPr>
            <w:r>
              <w:rPr>
                <w:rFonts w:hint="default" w:ascii="Times New Roman" w:hAnsi="Times New Roman" w:cs="Times New Roman"/>
                <w:b/>
                <w:bCs/>
                <w:color w:val="auto"/>
                <w:u w:val="none"/>
              </w:rPr>
              <w:t>管控类型</w:t>
            </w:r>
          </w:p>
        </w:tc>
        <w:tc>
          <w:tcPr>
            <w:tcW w:w="2729" w:type="pct"/>
            <w:noWrap w:val="0"/>
            <w:vAlign w:val="center"/>
          </w:tcPr>
          <w:p w14:paraId="5D584266">
            <w:pPr>
              <w:pStyle w:val="56"/>
              <w:widowControl w:val="0"/>
              <w:rPr>
                <w:rFonts w:hint="default" w:ascii="Times New Roman" w:hAnsi="Times New Roman" w:cs="Times New Roman"/>
                <w:b/>
                <w:bCs/>
                <w:color w:val="auto"/>
                <w:u w:val="none"/>
              </w:rPr>
            </w:pPr>
            <w:r>
              <w:rPr>
                <w:rFonts w:hint="default" w:ascii="Times New Roman" w:hAnsi="Times New Roman" w:cs="Times New Roman"/>
                <w:b/>
                <w:bCs/>
                <w:color w:val="auto"/>
                <w:u w:val="none"/>
              </w:rPr>
              <w:t>管控要求</w:t>
            </w:r>
          </w:p>
        </w:tc>
        <w:tc>
          <w:tcPr>
            <w:tcW w:w="1221" w:type="pct"/>
            <w:noWrap w:val="0"/>
            <w:vAlign w:val="center"/>
          </w:tcPr>
          <w:p w14:paraId="1404B5B0">
            <w:pPr>
              <w:pStyle w:val="56"/>
              <w:widowControl w:val="0"/>
              <w:rPr>
                <w:rFonts w:hint="default" w:ascii="Times New Roman" w:hAnsi="Times New Roman" w:cs="Times New Roman"/>
                <w:b/>
                <w:bCs/>
                <w:color w:val="auto"/>
                <w:u w:val="none"/>
              </w:rPr>
            </w:pPr>
            <w:r>
              <w:rPr>
                <w:rFonts w:hint="default" w:ascii="Times New Roman" w:hAnsi="Times New Roman" w:cs="Times New Roman"/>
                <w:b/>
                <w:bCs/>
                <w:color w:val="auto"/>
                <w:u w:val="none"/>
              </w:rPr>
              <w:t>本项目情况</w:t>
            </w:r>
          </w:p>
        </w:tc>
        <w:tc>
          <w:tcPr>
            <w:tcW w:w="495" w:type="pct"/>
            <w:noWrap w:val="0"/>
            <w:vAlign w:val="center"/>
          </w:tcPr>
          <w:p w14:paraId="524208A3">
            <w:pPr>
              <w:pStyle w:val="56"/>
              <w:widowControl w:val="0"/>
              <w:rPr>
                <w:rFonts w:hint="default" w:ascii="Times New Roman" w:hAnsi="Times New Roman" w:cs="Times New Roman"/>
                <w:b/>
                <w:bCs/>
                <w:color w:val="auto"/>
                <w:u w:val="none"/>
              </w:rPr>
            </w:pPr>
            <w:r>
              <w:rPr>
                <w:rFonts w:hint="default" w:ascii="Times New Roman" w:hAnsi="Times New Roman" w:cs="Times New Roman"/>
                <w:b/>
                <w:bCs/>
                <w:color w:val="auto"/>
                <w:u w:val="none"/>
              </w:rPr>
              <w:t>是否符合</w:t>
            </w:r>
          </w:p>
        </w:tc>
      </w:tr>
      <w:tr w14:paraId="287FE2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14:paraId="6EFBAAB6">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空间布局约束</w:t>
            </w:r>
          </w:p>
        </w:tc>
        <w:tc>
          <w:tcPr>
            <w:tcW w:w="2729" w:type="pct"/>
            <w:noWrap w:val="0"/>
            <w:vAlign w:val="center"/>
          </w:tcPr>
          <w:p w14:paraId="597F1362">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(1.1)对位于临江1km范围内的企业，应在规定期限内完成关闭退出、搬迁改造工作。临近居住区的工业企业应强化污染防治设施的治理效果</w:t>
            </w:r>
          </w:p>
          <w:p w14:paraId="64DA21DF">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(1.2)区域内三类工业用地仅允许用于高新技术产业引进和发展鼓励类高新技术项目的预留用地。</w:t>
            </w:r>
          </w:p>
        </w:tc>
        <w:tc>
          <w:tcPr>
            <w:tcW w:w="1221" w:type="pct"/>
            <w:noWrap w:val="0"/>
            <w:vAlign w:val="center"/>
          </w:tcPr>
          <w:p w14:paraId="40242F81">
            <w:pPr>
              <w:pStyle w:val="41"/>
              <w:widowControl w:val="0"/>
              <w:jc w:val="both"/>
              <w:rPr>
                <w:rFonts w:hint="eastAsia" w:cs="Times New Roman"/>
                <w:color w:val="auto"/>
                <w:u w:val="none"/>
                <w:lang w:eastAsia="zh-CN"/>
              </w:rPr>
            </w:pPr>
            <w:r>
              <w:rPr>
                <w:rFonts w:hint="default" w:ascii="Times New Roman" w:hAnsi="Times New Roman" w:cs="Times New Roman"/>
                <w:color w:val="auto"/>
                <w:u w:val="none"/>
              </w:rPr>
              <w:t>本项目距离长江1.2km，不属于化工类企业，本项目在相应的规划产业片区内发展，未跨越红线布</w:t>
            </w:r>
            <w:r>
              <w:rPr>
                <w:rFonts w:hint="eastAsia" w:cs="Times New Roman"/>
                <w:color w:val="auto"/>
                <w:u w:val="none"/>
                <w:lang w:eastAsia="zh-CN"/>
              </w:rPr>
              <w:t>；</w:t>
            </w:r>
          </w:p>
          <w:p w14:paraId="70AAEA74">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根据总体规划图可知本项目位于二类工业用地；本项目属于</w:t>
            </w:r>
            <w:r>
              <w:rPr>
                <w:rFonts w:hint="eastAsia" w:cs="Times New Roman"/>
                <w:color w:val="auto"/>
                <w:u w:val="none"/>
                <w:lang w:eastAsia="zh-CN"/>
              </w:rPr>
              <w:t>金属制品业</w:t>
            </w:r>
            <w:r>
              <w:rPr>
                <w:rFonts w:hint="default" w:ascii="Times New Roman" w:hAnsi="Times New Roman" w:cs="Times New Roman"/>
                <w:color w:val="auto"/>
                <w:u w:val="none"/>
              </w:rPr>
              <w:t>，不属于禁止引入的行业项目</w:t>
            </w:r>
          </w:p>
        </w:tc>
        <w:tc>
          <w:tcPr>
            <w:tcW w:w="495" w:type="pct"/>
            <w:noWrap w:val="0"/>
            <w:vAlign w:val="center"/>
          </w:tcPr>
          <w:p w14:paraId="4D00CBFD">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3AF99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14:paraId="3C90B8D1">
            <w:pPr>
              <w:pStyle w:val="41"/>
              <w:widowControl w:val="0"/>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 xml:space="preserve"> </w:t>
            </w:r>
          </w:p>
        </w:tc>
        <w:tc>
          <w:tcPr>
            <w:tcW w:w="2729" w:type="pct"/>
            <w:noWrap w:val="0"/>
            <w:vAlign w:val="center"/>
          </w:tcPr>
          <w:p w14:paraId="6A34BD93">
            <w:pPr>
              <w:pStyle w:val="41"/>
              <w:widowControl w:val="0"/>
              <w:jc w:val="both"/>
              <w:rPr>
                <w:rFonts w:hint="default"/>
                <w:lang w:val="en-US"/>
              </w:rPr>
            </w:pPr>
          </w:p>
        </w:tc>
        <w:tc>
          <w:tcPr>
            <w:tcW w:w="1221" w:type="pct"/>
            <w:noWrap w:val="0"/>
            <w:vAlign w:val="center"/>
          </w:tcPr>
          <w:p w14:paraId="7B6A7444">
            <w:pPr>
              <w:ind w:left="0" w:leftChars="0" w:firstLine="0" w:firstLineChars="0"/>
              <w:jc w:val="left"/>
              <w:rPr>
                <w:rFonts w:hint="default"/>
                <w:lang w:val="en-US"/>
              </w:rPr>
            </w:pPr>
          </w:p>
        </w:tc>
        <w:tc>
          <w:tcPr>
            <w:tcW w:w="495" w:type="pct"/>
            <w:noWrap w:val="0"/>
            <w:vAlign w:val="center"/>
          </w:tcPr>
          <w:p w14:paraId="6D30693C">
            <w:pPr>
              <w:pStyle w:val="41"/>
              <w:widowControl w:val="0"/>
              <w:rPr>
                <w:rFonts w:hint="default" w:ascii="Times New Roman" w:hAnsi="Times New Roman" w:cs="Times New Roman"/>
                <w:color w:val="auto"/>
                <w:u w:val="none"/>
                <w:lang w:val="en-US"/>
              </w:rPr>
            </w:pPr>
          </w:p>
        </w:tc>
      </w:tr>
      <w:tr w14:paraId="3F6CF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14:paraId="564EEB59">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环境风险防控</w:t>
            </w:r>
          </w:p>
        </w:tc>
        <w:tc>
          <w:tcPr>
            <w:tcW w:w="2729" w:type="pct"/>
            <w:noWrap w:val="0"/>
            <w:vAlign w:val="center"/>
          </w:tcPr>
          <w:p w14:paraId="37BD405B">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(3.1)高新区各区块应建立健全环境风险防控体系，落实《湖南城陵矶新港区核心区突发环境事件应急预案》的相关要求，严防环境风险事故发生，提高应急处置能力。</w:t>
            </w:r>
          </w:p>
          <w:p w14:paraId="0C09076B">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(3.2)高新区应建立健全重污染天气预警和应急机制，针对不同的减排对象进行分类控制，最大限度降低重污染天气造成的危害，保障环境安全和公众身体健康。</w:t>
            </w:r>
          </w:p>
          <w:p w14:paraId="5A3AD1A5">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(3.3)高新区内可能发生突发环境事件的污染物排放企业，生产、储存、运输、使用危险化学品的企业，产生、收集、贮存危险废物的企业应当编制和实施环境应急预案</w:t>
            </w:r>
            <w:r>
              <w:rPr>
                <w:rFonts w:hint="eastAsia" w:cs="Times New Roman"/>
                <w:color w:val="auto"/>
                <w:u w:val="none"/>
                <w:lang w:eastAsia="zh-CN"/>
              </w:rPr>
              <w:t>；</w:t>
            </w:r>
            <w:r>
              <w:rPr>
                <w:rFonts w:hint="default" w:ascii="Times New Roman" w:hAnsi="Times New Roman" w:cs="Times New Roman"/>
                <w:color w:val="auto"/>
                <w:u w:val="none"/>
              </w:rPr>
              <w:t>鼓励其他企业制定单独的环境应急预案，或在突发事件应急预案中制定环境应急预案专章，并备案。</w:t>
            </w:r>
          </w:p>
          <w:p w14:paraId="70D12FE7">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(3.4)建设用地土壤风险防控:严格土壤污染重点监管单位和沿江化工企业搬迁腾退用地土壤污染风险管控。以用途变更为“-住两公”的地块为重点，依法开展土壤污染状况调查和风险评估。对纳入建设用地土壤污染风险管控和修复名录内的地块，移出名录前，不得核发建设工程规划许可证。对列入优先监管清单的地块，开展土壤污染调査和风险评估，按要求采取风险防控措施。</w:t>
            </w:r>
          </w:p>
        </w:tc>
        <w:tc>
          <w:tcPr>
            <w:tcW w:w="1221" w:type="pct"/>
            <w:noWrap w:val="0"/>
            <w:vAlign w:val="center"/>
          </w:tcPr>
          <w:p w14:paraId="66606B5F">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企业后期将编制突发环境事件应急预案</w:t>
            </w:r>
          </w:p>
        </w:tc>
        <w:tc>
          <w:tcPr>
            <w:tcW w:w="495" w:type="pct"/>
            <w:noWrap w:val="0"/>
            <w:vAlign w:val="center"/>
          </w:tcPr>
          <w:p w14:paraId="2904BB0F">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r w14:paraId="4A075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54" w:type="pct"/>
            <w:noWrap w:val="0"/>
            <w:vAlign w:val="center"/>
          </w:tcPr>
          <w:p w14:paraId="0D072649">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资源开发效率要求</w:t>
            </w:r>
          </w:p>
        </w:tc>
        <w:tc>
          <w:tcPr>
            <w:tcW w:w="2729" w:type="pct"/>
            <w:noWrap w:val="0"/>
            <w:vAlign w:val="center"/>
          </w:tcPr>
          <w:p w14:paraId="648EE9C9">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(4.1)能源</w:t>
            </w:r>
          </w:p>
          <w:p w14:paraId="43C219BD">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(4.1.1)高新区依托华能电厂进行集中供热，禁止使用原煤、重油为能源的项目进入。</w:t>
            </w:r>
          </w:p>
          <w:p w14:paraId="75128201">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(4.1.2)高新区区城内能源消费主要为电力、天然气、蒸汽，无煤炭消费，2025年区域年综合能耗消费量预测当量值为 97800吨标煤。2025年区域单位 GDP 能耗预测值为 0.22吨标煤/万元，消耗增量当量值控制在464100吨标煤</w:t>
            </w:r>
          </w:p>
          <w:p w14:paraId="4CDD0007">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(4.1.3)禁燃区范围内不得新建、改建、扩建燃煤锅炉及高污染燃料燃用设施。</w:t>
            </w:r>
          </w:p>
          <w:p w14:paraId="03491D58">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(4.2)水资源</w:t>
            </w:r>
          </w:p>
          <w:p w14:paraId="68C9CCFB">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(4.2.1)强化生产用水管理，大力推广高效冷却、循环用水等节水工艺和技术，支持企业开展节水技术改造。</w:t>
            </w:r>
          </w:p>
          <w:p w14:paraId="34377FCD">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(4.2.2)积极推行水循环梯级利用，推动现有企业和高新区开展绿色高质量省级和循环化改造,促进企业间串联用水、分质用水。一水多用和循环利用。</w:t>
            </w:r>
          </w:p>
          <w:p w14:paraId="3489C524">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(4.2.3)2025年，高新区指标应符合相应行政区域的管控要求，云溪区用水总量2.30亿立方米，万元地区生产总值用水量比2020年下降6.68%，万元工业增加值用水量比2020年下降2.12%。</w:t>
            </w:r>
          </w:p>
          <w:p w14:paraId="19FD9E0C">
            <w:pPr>
              <w:pStyle w:val="41"/>
              <w:widowControl w:val="0"/>
              <w:jc w:val="both"/>
              <w:rPr>
                <w:rFonts w:hint="default" w:ascii="Times New Roman" w:hAnsi="Times New Roman" w:cs="Times New Roman"/>
                <w:color w:val="auto"/>
                <w:u w:val="none"/>
              </w:rPr>
            </w:pPr>
            <w:r>
              <w:rPr>
                <w:rFonts w:hint="default" w:ascii="Times New Roman" w:hAnsi="Times New Roman" w:cs="Times New Roman"/>
                <w:color w:val="auto"/>
                <w:u w:val="none"/>
              </w:rPr>
              <w:t>(4.3)土地资源: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 万元/亩。</w:t>
            </w:r>
          </w:p>
        </w:tc>
        <w:tc>
          <w:tcPr>
            <w:tcW w:w="1221" w:type="pct"/>
            <w:noWrap w:val="0"/>
            <w:vAlign w:val="center"/>
          </w:tcPr>
          <w:p w14:paraId="7C15C72B">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本项目不使用原煤、重油等能源</w:t>
            </w:r>
          </w:p>
        </w:tc>
        <w:tc>
          <w:tcPr>
            <w:tcW w:w="495" w:type="pct"/>
            <w:noWrap w:val="0"/>
            <w:vAlign w:val="center"/>
          </w:tcPr>
          <w:p w14:paraId="784EE8CF">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符合</w:t>
            </w:r>
          </w:p>
        </w:tc>
      </w:tr>
    </w:tbl>
    <w:p w14:paraId="2E33A42A">
      <w:pPr>
        <w:pStyle w:val="5"/>
        <w:rPr>
          <w:rFonts w:hint="default" w:ascii="Times New Roman" w:hAnsi="Times New Roman" w:cs="Times New Roman"/>
          <w:color w:val="auto"/>
          <w:u w:val="none"/>
        </w:rPr>
      </w:pPr>
      <w:r>
        <w:rPr>
          <w:rFonts w:hint="default" w:ascii="Times New Roman" w:hAnsi="Times New Roman" w:cs="Times New Roman"/>
          <w:color w:val="auto"/>
          <w:u w:val="none"/>
        </w:rPr>
        <w:t>与《中华人民共和国长江保护法》相符性分析</w:t>
      </w:r>
    </w:p>
    <w:p w14:paraId="71E1ADF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第二十六条“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14:paraId="6266F2B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禁止在长江干支流岸线一公里范围内新建、扩建化工园区和化工项目。</w:t>
      </w:r>
    </w:p>
    <w:p w14:paraId="394DCAF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禁止在长江干流岸线三公里范围内和重要支流岸线1公里范围内新建、改建、扩建尾矿库；但是以提升安全、生态环境保护水平为目的的改建除外。”</w:t>
      </w:r>
    </w:p>
    <w:p w14:paraId="286C399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本项目边界距离长江岸线直线距离约1.2km。因此，本项目与《中华人民共和国长江保护法》的要求是相符的。</w:t>
      </w:r>
    </w:p>
    <w:p w14:paraId="2E81EC7B">
      <w:pPr>
        <w:pStyle w:val="5"/>
        <w:rPr>
          <w:rFonts w:hint="default" w:ascii="Times New Roman" w:hAnsi="Times New Roman" w:cs="Times New Roman"/>
          <w:color w:val="auto"/>
          <w:u w:val="none"/>
        </w:rPr>
      </w:pPr>
      <w:r>
        <w:rPr>
          <w:rFonts w:hint="default" w:ascii="Times New Roman" w:hAnsi="Times New Roman" w:cs="Times New Roman"/>
          <w:color w:val="auto"/>
          <w:u w:val="none"/>
        </w:rPr>
        <w:t>与长江经济带相关环境保护规划相符性分析</w:t>
      </w:r>
    </w:p>
    <w:p w14:paraId="7DC079F0">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与《长江经济带生态环境保护规划》的相符性分析</w:t>
      </w:r>
    </w:p>
    <w:p w14:paraId="09FA872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长江经济带生态环境保护规划》（环规财[2017]88号）中―严守生态保护红线内容，要将生态保护红线作为空间规划编制的重要基础，相关规划要符合生态保护红线空间管控要求；根据优化沿江企业和码头布局内容：立足当地资源环境承载能力，优化产业布局和规模，严格禁止污染型产业、企业向中上游地区转移，切实防止环境风险聚集。禁止在长江干流自然保护区、风景名胜区、四大家鱼产卵场等管控重点区域新建工业类和污染类项目，现有高风险企业实施限期治理。除武汉、岳阳、九江、安庆、舟山5个千万吨级石化产业基地外，其他城市原则上不再新布局石化项目。</w:t>
      </w:r>
    </w:p>
    <w:p w14:paraId="5369F4F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本项目边界距离长江岸线直线距离约1.2km。因此，本项目与《中华人民共和国长江保护法》的要求是相符的。</w:t>
      </w:r>
    </w:p>
    <w:p w14:paraId="618E5A1F">
      <w:pPr>
        <w:pStyle w:val="6"/>
        <w:ind w:left="-480" w:firstLineChars="0"/>
        <w:rPr>
          <w:rFonts w:hint="default" w:ascii="Times New Roman" w:hAnsi="Times New Roman" w:cs="Times New Roman"/>
          <w:color w:val="auto"/>
          <w:u w:val="none"/>
        </w:rPr>
      </w:pPr>
      <w:r>
        <w:rPr>
          <w:rFonts w:hint="default" w:ascii="Times New Roman" w:hAnsi="Times New Roman" w:cs="Times New Roman"/>
          <w:color w:val="auto"/>
          <w:u w:val="none"/>
        </w:rPr>
        <w:t>与《长江经济带发展负面清单指南（试行）》的符合性分析</w:t>
      </w:r>
    </w:p>
    <w:p w14:paraId="65A0FAC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根据《长江经济带发展负面清单指南（试行）》，对照分析与本项目有关的政策要求相符性分析：</w:t>
      </w:r>
    </w:p>
    <w:p w14:paraId="726AAF6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表1.4-</w:t>
      </w:r>
      <w:r>
        <w:rPr>
          <w:rFonts w:hint="eastAsia" w:cs="Times New Roman"/>
          <w:b/>
          <w:bCs/>
          <w:color w:val="auto"/>
          <w:u w:val="none"/>
          <w:lang w:val="en-US" w:eastAsia="zh-CN"/>
        </w:rPr>
        <w:t xml:space="preserve">4 </w:t>
      </w:r>
      <w:r>
        <w:rPr>
          <w:rFonts w:hint="default" w:ascii="Times New Roman" w:hAnsi="Times New Roman" w:cs="Times New Roman"/>
          <w:b/>
          <w:bCs/>
          <w:color w:val="auto"/>
          <w:u w:val="none"/>
          <w:lang w:val="en-US" w:eastAsia="zh-CN"/>
        </w:rPr>
        <w:t xml:space="preserve"> 与《长江经济带发展负面清单指南（试行 2022年版）》相符性分析</w:t>
      </w:r>
    </w:p>
    <w:tbl>
      <w:tblPr>
        <w:tblStyle w:val="59"/>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837"/>
        <w:gridCol w:w="2702"/>
        <w:gridCol w:w="1160"/>
      </w:tblGrid>
      <w:tr w14:paraId="79B5AB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7EE3DEDA">
            <w:pPr>
              <w:pStyle w:val="41"/>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与本项目有关的政策要求</w:t>
            </w:r>
          </w:p>
        </w:tc>
        <w:tc>
          <w:tcPr>
            <w:tcW w:w="2535" w:type="dxa"/>
            <w:tcBorders>
              <w:tl2br w:val="nil"/>
              <w:tr2bl w:val="nil"/>
            </w:tcBorders>
            <w:vAlign w:val="center"/>
          </w:tcPr>
          <w:p w14:paraId="156D1165">
            <w:pPr>
              <w:pStyle w:val="41"/>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项目情况</w:t>
            </w:r>
          </w:p>
        </w:tc>
        <w:tc>
          <w:tcPr>
            <w:tcW w:w="1089" w:type="dxa"/>
            <w:tcBorders>
              <w:tl2br w:val="nil"/>
              <w:tr2bl w:val="nil"/>
            </w:tcBorders>
            <w:vAlign w:val="center"/>
          </w:tcPr>
          <w:p w14:paraId="03B78CA8">
            <w:pPr>
              <w:pStyle w:val="41"/>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相符性</w:t>
            </w:r>
          </w:p>
        </w:tc>
      </w:tr>
      <w:tr w14:paraId="1C653D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2421C9AE">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禁止建设不符合全国和省级港口布局规划以及港口总体规划的码头项目，禁止建设不符合《长江干线过江通道布局规划》的过长江通道项目。</w:t>
            </w:r>
          </w:p>
        </w:tc>
        <w:tc>
          <w:tcPr>
            <w:tcW w:w="2535" w:type="dxa"/>
            <w:tcBorders>
              <w:tl2br w:val="nil"/>
              <w:tr2bl w:val="nil"/>
            </w:tcBorders>
            <w:vAlign w:val="center"/>
          </w:tcPr>
          <w:p w14:paraId="14E0A6D5">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不涉及</w:t>
            </w:r>
          </w:p>
        </w:tc>
        <w:tc>
          <w:tcPr>
            <w:tcW w:w="1089" w:type="dxa"/>
            <w:tcBorders>
              <w:tl2br w:val="nil"/>
              <w:tr2bl w:val="nil"/>
            </w:tcBorders>
            <w:vAlign w:val="center"/>
          </w:tcPr>
          <w:p w14:paraId="66EB4091">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6541DF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15E7A0B3">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禁止在自然保护区核心区、缓冲区的岸线和河段范围内投资建设旅游和生产经营项目。禁止在风景名胜区核心景区的岸线和河段范围内投资建设与风景名胜资源保护无关的项目。</w:t>
            </w:r>
          </w:p>
        </w:tc>
        <w:tc>
          <w:tcPr>
            <w:tcW w:w="2535" w:type="dxa"/>
            <w:tcBorders>
              <w:tl2br w:val="nil"/>
              <w:tr2bl w:val="nil"/>
            </w:tcBorders>
            <w:vAlign w:val="center"/>
          </w:tcPr>
          <w:p w14:paraId="193C43E4">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不涉及自然保护区、风景名胜区</w:t>
            </w:r>
          </w:p>
        </w:tc>
        <w:tc>
          <w:tcPr>
            <w:tcW w:w="1089" w:type="dxa"/>
            <w:tcBorders>
              <w:tl2br w:val="nil"/>
              <w:tr2bl w:val="nil"/>
            </w:tcBorders>
            <w:vAlign w:val="center"/>
          </w:tcPr>
          <w:p w14:paraId="06FC10D6">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5CD016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2235F22F">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535" w:type="dxa"/>
            <w:tcBorders>
              <w:tl2br w:val="nil"/>
              <w:tr2bl w:val="nil"/>
            </w:tcBorders>
            <w:vAlign w:val="center"/>
          </w:tcPr>
          <w:p w14:paraId="31A9FEC0">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不涉及饮用水源保护区</w:t>
            </w:r>
          </w:p>
        </w:tc>
        <w:tc>
          <w:tcPr>
            <w:tcW w:w="1089" w:type="dxa"/>
            <w:tcBorders>
              <w:tl2br w:val="nil"/>
              <w:tr2bl w:val="nil"/>
            </w:tcBorders>
            <w:vAlign w:val="center"/>
          </w:tcPr>
          <w:p w14:paraId="4DE414C1">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389C57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3E10BB3D">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535" w:type="dxa"/>
            <w:tcBorders>
              <w:tl2br w:val="nil"/>
              <w:tr2bl w:val="nil"/>
            </w:tcBorders>
            <w:vAlign w:val="center"/>
          </w:tcPr>
          <w:p w14:paraId="4A7B2165">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项目废水经城陵矶临港产业新区污水处理厂处理后排入象骨港，最终汇入长江，不涉及国家湿地公园。</w:t>
            </w:r>
          </w:p>
        </w:tc>
        <w:tc>
          <w:tcPr>
            <w:tcW w:w="1089" w:type="dxa"/>
            <w:tcBorders>
              <w:tl2br w:val="nil"/>
              <w:tr2bl w:val="nil"/>
            </w:tcBorders>
            <w:vAlign w:val="center"/>
          </w:tcPr>
          <w:p w14:paraId="5FA67886">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3F85C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01AC6714">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535" w:type="dxa"/>
            <w:tcBorders>
              <w:tl2br w:val="nil"/>
              <w:tr2bl w:val="nil"/>
            </w:tcBorders>
            <w:vAlign w:val="center"/>
          </w:tcPr>
          <w:p w14:paraId="6B256F38">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本项目边界距离长江岸线约1.2km，不涉及《长江岸线保护和开发利用总体规划》划定的岸线保护区。不涉及《全囯重要江河湖泊水功能区划》划定的河段保护区，并符合岳阳市划定的蓝线、绿线要求。</w:t>
            </w:r>
          </w:p>
        </w:tc>
        <w:tc>
          <w:tcPr>
            <w:tcW w:w="1089" w:type="dxa"/>
            <w:tcBorders>
              <w:tl2br w:val="nil"/>
              <w:tr2bl w:val="nil"/>
            </w:tcBorders>
            <w:vAlign w:val="center"/>
          </w:tcPr>
          <w:p w14:paraId="0F24481E">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607102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44D5FEE0">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禁止未经许可在长江干支流及湖泊新设、改设或扩大排污口。</w:t>
            </w:r>
          </w:p>
        </w:tc>
        <w:tc>
          <w:tcPr>
            <w:tcW w:w="2535" w:type="dxa"/>
            <w:tcBorders>
              <w:tl2br w:val="nil"/>
              <w:tr2bl w:val="nil"/>
            </w:tcBorders>
            <w:vAlign w:val="center"/>
          </w:tcPr>
          <w:p w14:paraId="5C37343C">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本项目未设置排污口，废水进入市政污水管网</w:t>
            </w:r>
          </w:p>
        </w:tc>
        <w:tc>
          <w:tcPr>
            <w:tcW w:w="1089" w:type="dxa"/>
            <w:tcBorders>
              <w:tl2br w:val="nil"/>
              <w:tr2bl w:val="nil"/>
            </w:tcBorders>
            <w:vAlign w:val="center"/>
          </w:tcPr>
          <w:p w14:paraId="338E0A51">
            <w:pPr>
              <w:pStyle w:val="41"/>
              <w:snapToGrid w:val="0"/>
              <w:rPr>
                <w:rFonts w:hint="default" w:ascii="Times New Roman" w:hAnsi="Times New Roman" w:cs="Times New Roman"/>
                <w:color w:val="auto"/>
                <w:u w:val="none"/>
              </w:rPr>
            </w:pPr>
          </w:p>
        </w:tc>
      </w:tr>
      <w:tr w14:paraId="73AFE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76" w:type="dxa"/>
            <w:tcBorders>
              <w:tl2br w:val="nil"/>
              <w:tr2bl w:val="nil"/>
            </w:tcBorders>
            <w:vAlign w:val="center"/>
          </w:tcPr>
          <w:p w14:paraId="0679A0F9">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禁止在“一江一口两湖七河”和332个水生生物保护区开展生产性捕捞。</w:t>
            </w:r>
          </w:p>
        </w:tc>
        <w:tc>
          <w:tcPr>
            <w:tcW w:w="2535" w:type="dxa"/>
            <w:tcBorders>
              <w:tl2br w:val="nil"/>
              <w:tr2bl w:val="nil"/>
            </w:tcBorders>
            <w:vAlign w:val="center"/>
          </w:tcPr>
          <w:p w14:paraId="53462A76">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不涉及</w:t>
            </w:r>
          </w:p>
        </w:tc>
        <w:tc>
          <w:tcPr>
            <w:tcW w:w="1089" w:type="dxa"/>
            <w:tcBorders>
              <w:tl2br w:val="nil"/>
              <w:tr2bl w:val="nil"/>
            </w:tcBorders>
            <w:vAlign w:val="center"/>
          </w:tcPr>
          <w:p w14:paraId="088280E0">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3AB94A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494D5C17">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535" w:type="dxa"/>
            <w:tcBorders>
              <w:tl2br w:val="nil"/>
              <w:tr2bl w:val="nil"/>
            </w:tcBorders>
            <w:vAlign w:val="center"/>
          </w:tcPr>
          <w:p w14:paraId="2F333102">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本项目边界距离长江岸线直线距离约1.2km，本项目为</w:t>
            </w:r>
            <w:r>
              <w:rPr>
                <w:rFonts w:hint="eastAsia" w:cs="Times New Roman"/>
                <w:color w:val="auto"/>
                <w:u w:val="none"/>
                <w:lang w:eastAsia="zh-CN"/>
              </w:rPr>
              <w:t>金属制品业</w:t>
            </w:r>
            <w:r>
              <w:rPr>
                <w:rFonts w:hint="default" w:ascii="Times New Roman" w:hAnsi="Times New Roman" w:cs="Times New Roman"/>
                <w:color w:val="auto"/>
                <w:u w:val="none"/>
              </w:rPr>
              <w:t>，不属于尾矿库、化工类建设项目</w:t>
            </w:r>
          </w:p>
        </w:tc>
        <w:tc>
          <w:tcPr>
            <w:tcW w:w="1089" w:type="dxa"/>
            <w:tcBorders>
              <w:tl2br w:val="nil"/>
              <w:tr2bl w:val="nil"/>
            </w:tcBorders>
            <w:vAlign w:val="center"/>
          </w:tcPr>
          <w:p w14:paraId="2BB36D0A">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1DA4E2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44341908">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禁止在合规园区外新建、扩建钢铁、石化、化工、焦化、建材、有色、制浆造纸等高污染项目。</w:t>
            </w:r>
          </w:p>
        </w:tc>
        <w:tc>
          <w:tcPr>
            <w:tcW w:w="2535" w:type="dxa"/>
            <w:tcBorders>
              <w:tl2br w:val="nil"/>
              <w:tr2bl w:val="nil"/>
            </w:tcBorders>
            <w:vAlign w:val="center"/>
          </w:tcPr>
          <w:p w14:paraId="6D84EDF7">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本项目为</w:t>
            </w:r>
            <w:r>
              <w:rPr>
                <w:rFonts w:hint="eastAsia" w:cs="Times New Roman"/>
                <w:color w:val="auto"/>
                <w:u w:val="none"/>
                <w:lang w:eastAsia="zh-CN"/>
              </w:rPr>
              <w:t>金属制品业</w:t>
            </w:r>
            <w:r>
              <w:rPr>
                <w:rFonts w:hint="default" w:ascii="Times New Roman" w:hAnsi="Times New Roman" w:cs="Times New Roman"/>
                <w:color w:val="auto"/>
                <w:u w:val="none"/>
              </w:rPr>
              <w:t>，不属于钢铁、石化、化工、焦化、建材、有色、制浆造纸等高污染项目</w:t>
            </w:r>
          </w:p>
        </w:tc>
        <w:tc>
          <w:tcPr>
            <w:tcW w:w="1089" w:type="dxa"/>
            <w:tcBorders>
              <w:tl2br w:val="nil"/>
              <w:tr2bl w:val="nil"/>
            </w:tcBorders>
            <w:vAlign w:val="center"/>
          </w:tcPr>
          <w:p w14:paraId="20B730CE">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2FB4AB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23382861">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禁止新建、扩建不符合国家石化、现代煤化工等产业布局规划的项目。</w:t>
            </w:r>
          </w:p>
        </w:tc>
        <w:tc>
          <w:tcPr>
            <w:tcW w:w="2535" w:type="dxa"/>
            <w:tcBorders>
              <w:tl2br w:val="nil"/>
              <w:tr2bl w:val="nil"/>
            </w:tcBorders>
            <w:vAlign w:val="center"/>
          </w:tcPr>
          <w:p w14:paraId="517471A9">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不涉及</w:t>
            </w:r>
          </w:p>
        </w:tc>
        <w:tc>
          <w:tcPr>
            <w:tcW w:w="1089" w:type="dxa"/>
            <w:tcBorders>
              <w:tl2br w:val="nil"/>
              <w:tr2bl w:val="nil"/>
            </w:tcBorders>
            <w:vAlign w:val="center"/>
          </w:tcPr>
          <w:p w14:paraId="7B31B4D7">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24016C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0EE876CF">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禁止新建、扩建法律法规和相关政策明令禁止的落后产能项目。禁止新建、扩建不符合国家产能置换要求的严重过剩产能行业的项目。禁止新建、扩建不符合要求的高耗能高排放项目。</w:t>
            </w:r>
          </w:p>
        </w:tc>
        <w:tc>
          <w:tcPr>
            <w:tcW w:w="2535" w:type="dxa"/>
            <w:tcBorders>
              <w:tl2br w:val="nil"/>
              <w:tr2bl w:val="nil"/>
            </w:tcBorders>
            <w:vAlign w:val="center"/>
          </w:tcPr>
          <w:p w14:paraId="114F7DE2">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本项目不属于禁止的落后产能及严重过剩产能行业项目</w:t>
            </w:r>
          </w:p>
        </w:tc>
        <w:tc>
          <w:tcPr>
            <w:tcW w:w="1089" w:type="dxa"/>
            <w:tcBorders>
              <w:tl2br w:val="nil"/>
              <w:tr2bl w:val="nil"/>
            </w:tcBorders>
            <w:vAlign w:val="center"/>
          </w:tcPr>
          <w:p w14:paraId="1833D2DE">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r w14:paraId="5A0365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476" w:type="dxa"/>
            <w:tcBorders>
              <w:tl2br w:val="nil"/>
              <w:tr2bl w:val="nil"/>
            </w:tcBorders>
            <w:vAlign w:val="center"/>
          </w:tcPr>
          <w:p w14:paraId="5CDBE536">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法律法规及相关政策文件有更加严格规定的从其规定。</w:t>
            </w:r>
          </w:p>
        </w:tc>
        <w:tc>
          <w:tcPr>
            <w:tcW w:w="2535" w:type="dxa"/>
            <w:tcBorders>
              <w:tl2br w:val="nil"/>
              <w:tr2bl w:val="nil"/>
            </w:tcBorders>
            <w:vAlign w:val="center"/>
          </w:tcPr>
          <w:p w14:paraId="2E55587C">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89" w:type="dxa"/>
            <w:tcBorders>
              <w:tl2br w:val="nil"/>
              <w:tr2bl w:val="nil"/>
            </w:tcBorders>
            <w:vAlign w:val="center"/>
          </w:tcPr>
          <w:p w14:paraId="607F65A3">
            <w:pPr>
              <w:pStyle w:val="41"/>
              <w:snapToGrid w:val="0"/>
              <w:rPr>
                <w:rFonts w:hint="default" w:ascii="Times New Roman" w:hAnsi="Times New Roman" w:cs="Times New Roman"/>
                <w:color w:val="auto"/>
                <w:u w:val="none"/>
              </w:rPr>
            </w:pPr>
            <w:r>
              <w:rPr>
                <w:rFonts w:hint="default" w:ascii="Times New Roman" w:hAnsi="Times New Roman" w:cs="Times New Roman"/>
                <w:color w:val="auto"/>
                <w:u w:val="none"/>
              </w:rPr>
              <w:t>相符</w:t>
            </w:r>
          </w:p>
        </w:tc>
      </w:tr>
    </w:tbl>
    <w:p w14:paraId="5E1F6334">
      <w:pPr>
        <w:pStyle w:val="6"/>
        <w:ind w:left="-480" w:firstLineChars="0"/>
        <w:rPr>
          <w:rFonts w:hint="default" w:ascii="Times New Roman" w:hAnsi="Times New Roman" w:cs="Times New Roman"/>
          <w:color w:val="auto"/>
          <w:u w:val="none"/>
        </w:rPr>
      </w:pPr>
      <w:r>
        <w:rPr>
          <w:rFonts w:hint="default" w:ascii="Times New Roman" w:hAnsi="Times New Roman" w:eastAsia="宋体" w:cs="Times New Roman"/>
          <w:sz w:val="24"/>
          <w:szCs w:val="24"/>
        </w:rPr>
        <w:t>与《湖南省长江经济带发展负面清单实施细则（试行，2022年版）》符合性分析</w:t>
      </w:r>
    </w:p>
    <w:p w14:paraId="01A1B001">
      <w:pPr>
        <w:pStyle w:val="6"/>
        <w:numPr>
          <w:ilvl w:val="3"/>
          <w:numId w:val="0"/>
        </w:numPr>
        <w:ind w:firstLine="480" w:firstLineChars="200"/>
        <w:rPr>
          <w:rFonts w:hint="default" w:ascii="Times New Roman" w:hAnsi="Times New Roman" w:cs="Times New Roman"/>
          <w:color w:val="auto"/>
          <w:u w:val="none"/>
        </w:rPr>
      </w:pPr>
      <w:r>
        <w:rPr>
          <w:rFonts w:hint="default" w:ascii="Times New Roman" w:hAnsi="Times New Roman" w:eastAsia="宋体" w:cs="Times New Roman"/>
          <w:sz w:val="24"/>
          <w:szCs w:val="24"/>
        </w:rPr>
        <w:t>本项目建设内容与《湖南省长江经济带发展负面清单实施细则（试行，2022年版）》 相关要求对比分析分别见下表。</w:t>
      </w:r>
    </w:p>
    <w:p w14:paraId="07620C4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表1.4-</w:t>
      </w:r>
      <w:r>
        <w:rPr>
          <w:rFonts w:hint="eastAsia" w:cs="Times New Roman"/>
          <w:b/>
          <w:bCs/>
          <w:color w:val="auto"/>
          <w:u w:val="none"/>
          <w:lang w:val="en-US" w:eastAsia="zh-CN"/>
        </w:rPr>
        <w:t xml:space="preserve">5 </w:t>
      </w:r>
      <w:r>
        <w:rPr>
          <w:rFonts w:hint="default" w:ascii="Times New Roman" w:hAnsi="Times New Roman" w:cs="Times New Roman"/>
          <w:b/>
          <w:bCs/>
          <w:color w:val="auto"/>
          <w:u w:val="none"/>
          <w:lang w:val="en-US" w:eastAsia="zh-CN"/>
        </w:rPr>
        <w:t xml:space="preserve"> 与《湖南省长江经济带发展负面清单实施细则（试行）》相符性分析</w:t>
      </w:r>
    </w:p>
    <w:tbl>
      <w:tblPr>
        <w:tblStyle w:val="59"/>
        <w:tblW w:w="504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56"/>
        <w:gridCol w:w="2567"/>
        <w:gridCol w:w="834"/>
      </w:tblGrid>
      <w:tr w14:paraId="00FB40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327848CD">
            <w:pPr>
              <w:pStyle w:val="56"/>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与本项目有关的政策要求</w:t>
            </w:r>
          </w:p>
        </w:tc>
        <w:tc>
          <w:tcPr>
            <w:tcW w:w="2559" w:type="dxa"/>
            <w:tcBorders>
              <w:tl2br w:val="nil"/>
              <w:tr2bl w:val="nil"/>
            </w:tcBorders>
            <w:vAlign w:val="center"/>
          </w:tcPr>
          <w:p w14:paraId="4AE93302">
            <w:pPr>
              <w:pStyle w:val="56"/>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项目情况</w:t>
            </w:r>
          </w:p>
        </w:tc>
        <w:tc>
          <w:tcPr>
            <w:tcW w:w="832" w:type="dxa"/>
            <w:tcBorders>
              <w:tl2br w:val="nil"/>
              <w:tr2bl w:val="nil"/>
            </w:tcBorders>
            <w:vAlign w:val="center"/>
          </w:tcPr>
          <w:p w14:paraId="70AC5AEC">
            <w:pPr>
              <w:pStyle w:val="56"/>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相符性</w:t>
            </w:r>
          </w:p>
        </w:tc>
      </w:tr>
      <w:tr w14:paraId="5E4F34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33BC41E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条禁止建设不符合全国和省级港口布局规划以及港口总体规划的码头项目。对不符合港口总体规划的新建、改建和扩建的码头工程(含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2559" w:type="dxa"/>
            <w:tcBorders>
              <w:tl2br w:val="nil"/>
              <w:tr2bl w:val="nil"/>
            </w:tcBorders>
            <w:vAlign w:val="center"/>
          </w:tcPr>
          <w:p w14:paraId="2CE8124C">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本项目不属于码头项目，不属于长江通道项目</w:t>
            </w:r>
          </w:p>
        </w:tc>
        <w:tc>
          <w:tcPr>
            <w:tcW w:w="832" w:type="dxa"/>
            <w:tcBorders>
              <w:tl2br w:val="nil"/>
              <w:tr2bl w:val="nil"/>
            </w:tcBorders>
            <w:vAlign w:val="center"/>
          </w:tcPr>
          <w:p w14:paraId="3284B086">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59D29A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1E6D131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四条禁止在自然保护区核心区、缓冲区的岸线和河段范围内投资建设以下项目:(一)高尔夫球场开发、房地产开发、索道建设、会所建设等项目:(二)光伏发电、风力发电、火力发电建设项目:(三)社会资金进行商业性探矿勘查，以及不属于国家紧缺矿种资源的基础地质调查和矿产远景调查等公益性工作的设施建设:(四)野生动物驯养繁殖、展览基地建设项目:(五)污染环境、破坏自然资源或自然景观的建设设施:(六)对自然保护区主要保护对象产生重大影响、改变自然生态系统完整性、原真性、破坏自然景观的设施:(七)其他不符合自然保护区主体功能定位和国家禁止的设施。</w:t>
            </w:r>
          </w:p>
        </w:tc>
        <w:tc>
          <w:tcPr>
            <w:tcW w:w="2559" w:type="dxa"/>
            <w:tcBorders>
              <w:tl2br w:val="nil"/>
              <w:tr2bl w:val="nil"/>
            </w:tcBorders>
            <w:vAlign w:val="center"/>
          </w:tcPr>
          <w:p w14:paraId="05229EBE">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本项目不在自然保护区核心区、缓冲区的岸线和河段范围。</w:t>
            </w:r>
          </w:p>
        </w:tc>
        <w:tc>
          <w:tcPr>
            <w:tcW w:w="832" w:type="dxa"/>
            <w:tcBorders>
              <w:tl2br w:val="nil"/>
              <w:tr2bl w:val="nil"/>
            </w:tcBorders>
            <w:vAlign w:val="center"/>
          </w:tcPr>
          <w:p w14:paraId="7268066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652C9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5F7921A1">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六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2559" w:type="dxa"/>
            <w:tcBorders>
              <w:tl2br w:val="nil"/>
              <w:tr2bl w:val="nil"/>
            </w:tcBorders>
            <w:vAlign w:val="center"/>
          </w:tcPr>
          <w:p w14:paraId="0DBEBF0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本项目不在风景名胜区内。</w:t>
            </w:r>
          </w:p>
        </w:tc>
        <w:tc>
          <w:tcPr>
            <w:tcW w:w="832" w:type="dxa"/>
            <w:tcBorders>
              <w:tl2br w:val="nil"/>
              <w:tr2bl w:val="nil"/>
            </w:tcBorders>
            <w:vAlign w:val="center"/>
          </w:tcPr>
          <w:p w14:paraId="75C3E1DF">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4F2236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27D14199">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第七条饮用水水源一级保护区内禁止新建、改建、扩建与供水 设施和保护水源无关的建设项目；禁止向水域排放污水，已设 置的排污口必须拆除；不得设置与供水需要无关的码头，禁止 停靠船舶；禁止堆置和存放工业废渣、城市垃圾、粪便和其他 废弃物；禁止设置油库；禁止使用含磷洗涤剂、化肥、农药； 禁止建设养殖场、禁止网箱养殖、旅游等可能污染饮用水水体 的投资建设项目。</w:t>
            </w:r>
          </w:p>
        </w:tc>
        <w:tc>
          <w:tcPr>
            <w:tcW w:w="2559" w:type="dxa"/>
            <w:vMerge w:val="restart"/>
            <w:tcBorders>
              <w:tl2br w:val="nil"/>
              <w:tr2bl w:val="nil"/>
            </w:tcBorders>
            <w:vAlign w:val="center"/>
          </w:tcPr>
          <w:p w14:paraId="0AF297E3">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本项目不在饮用水水源保护区。</w:t>
            </w:r>
          </w:p>
        </w:tc>
        <w:tc>
          <w:tcPr>
            <w:tcW w:w="832" w:type="dxa"/>
            <w:tcBorders>
              <w:tl2br w:val="nil"/>
              <w:tr2bl w:val="nil"/>
            </w:tcBorders>
            <w:vAlign w:val="center"/>
          </w:tcPr>
          <w:p w14:paraId="3000B530">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298A08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24FBF96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第八条饮用水水源二级保护区内禁止新建、改建、扩建向水体 排放污染物的投资建设项目。原有排污口依法拆除或关闭。禁 止设立装卸垃圾、粪便、油类和有毒物品的码头。</w:t>
            </w:r>
          </w:p>
        </w:tc>
        <w:tc>
          <w:tcPr>
            <w:tcW w:w="2559" w:type="dxa"/>
            <w:vMerge w:val="continue"/>
            <w:tcBorders>
              <w:tl2br w:val="nil"/>
              <w:tr2bl w:val="nil"/>
            </w:tcBorders>
            <w:vAlign w:val="center"/>
          </w:tcPr>
          <w:p w14:paraId="7D5D50AF">
            <w:pPr>
              <w:pStyle w:val="41"/>
              <w:rPr>
                <w:rFonts w:hint="default" w:ascii="Times New Roman" w:hAnsi="Times New Roman" w:cs="Times New Roman"/>
                <w:color w:val="auto"/>
                <w:sz w:val="21"/>
                <w:szCs w:val="21"/>
                <w:u w:val="none"/>
              </w:rPr>
            </w:pPr>
          </w:p>
        </w:tc>
        <w:tc>
          <w:tcPr>
            <w:tcW w:w="832" w:type="dxa"/>
            <w:tcBorders>
              <w:tl2br w:val="nil"/>
              <w:tr2bl w:val="nil"/>
            </w:tcBorders>
            <w:vAlign w:val="center"/>
          </w:tcPr>
          <w:p w14:paraId="6B838A63">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775A44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312BDA8F">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第九条禁止在水产种质资源保护区内新建排污口、从事围湖造 田造地等投资建设项目。</w:t>
            </w:r>
          </w:p>
        </w:tc>
        <w:tc>
          <w:tcPr>
            <w:tcW w:w="2559" w:type="dxa"/>
            <w:tcBorders>
              <w:tl2br w:val="nil"/>
              <w:tr2bl w:val="nil"/>
            </w:tcBorders>
            <w:vAlign w:val="center"/>
          </w:tcPr>
          <w:p w14:paraId="1AB47DFB">
            <w:pPr>
              <w:pStyle w:val="41"/>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本项目</w:t>
            </w:r>
            <w:r>
              <w:rPr>
                <w:rFonts w:hint="eastAsia" w:cs="Times New Roman"/>
                <w:color w:val="auto"/>
                <w:sz w:val="21"/>
                <w:szCs w:val="21"/>
                <w:u w:val="none"/>
                <w:lang w:val="en-US" w:eastAsia="zh-CN"/>
              </w:rPr>
              <w:t>污水排入</w:t>
            </w:r>
            <w:r>
              <w:rPr>
                <w:rFonts w:hint="default" w:ascii="Times New Roman" w:hAnsi="Times New Roman" w:cs="Times New Roman"/>
                <w:color w:val="auto"/>
                <w:u w:val="none"/>
              </w:rPr>
              <w:t>城陵矶临港产业新区污水处理厂</w:t>
            </w:r>
          </w:p>
        </w:tc>
        <w:tc>
          <w:tcPr>
            <w:tcW w:w="832" w:type="dxa"/>
            <w:tcBorders>
              <w:tl2br w:val="nil"/>
              <w:tr2bl w:val="nil"/>
            </w:tcBorders>
            <w:vAlign w:val="center"/>
          </w:tcPr>
          <w:p w14:paraId="5EFC0AD5">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53AEE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23F842E8">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第十条除《中华人民共和国防洪法》规定的紧急防汛期采取的 紧急措施外，禁止在国家湿地公园的岸线和河段范围内、挖沙、 采矿等不符合主体功能定位的行为和活动。</w:t>
            </w:r>
          </w:p>
        </w:tc>
        <w:tc>
          <w:tcPr>
            <w:tcW w:w="2559" w:type="dxa"/>
            <w:tcBorders>
              <w:tl2br w:val="nil"/>
              <w:tr2bl w:val="nil"/>
            </w:tcBorders>
            <w:vAlign w:val="center"/>
          </w:tcPr>
          <w:p w14:paraId="54FB369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本项目不在国家湿 地公园的岸线和河 段范围内。</w:t>
            </w:r>
          </w:p>
        </w:tc>
        <w:tc>
          <w:tcPr>
            <w:tcW w:w="832" w:type="dxa"/>
            <w:tcBorders>
              <w:tl2br w:val="nil"/>
              <w:tr2bl w:val="nil"/>
            </w:tcBorders>
            <w:vAlign w:val="center"/>
          </w:tcPr>
          <w:p w14:paraId="2010DA0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5DCD4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15253223">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第十一条禁止违法利用、占用长江流域河湖岸线。禁止在 《长江岸线保护和开发利用总体规划》划定的岸线保护区和保 留区内投资建设除事关公共安全及公众利益的防洪护岸、河道 治理、供水、生态环境保护、航道整治、国家重要基础设施以 外的项目。</w:t>
            </w:r>
          </w:p>
        </w:tc>
        <w:tc>
          <w:tcPr>
            <w:tcW w:w="2559" w:type="dxa"/>
            <w:tcBorders>
              <w:tl2br w:val="nil"/>
              <w:tr2bl w:val="nil"/>
            </w:tcBorders>
            <w:vAlign w:val="center"/>
          </w:tcPr>
          <w:p w14:paraId="3376DDD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本项目与长江直线距1.</w:t>
            </w:r>
            <w:r>
              <w:rPr>
                <w:rFonts w:hint="eastAsia" w:cs="Times New Roman"/>
                <w:color w:val="auto"/>
                <w:sz w:val="21"/>
                <w:szCs w:val="21"/>
                <w:u w:val="none"/>
                <w:lang w:val="en-US" w:eastAsia="zh-CN"/>
              </w:rPr>
              <w:t>2</w:t>
            </w:r>
            <w:r>
              <w:rPr>
                <w:rFonts w:hint="default" w:ascii="Times New Roman" w:hAnsi="Times New Roman" w:cs="Times New Roman"/>
                <w:color w:val="auto"/>
                <w:sz w:val="21"/>
                <w:szCs w:val="21"/>
                <w:u w:val="none"/>
              </w:rPr>
              <w:t>km，未利用、占用长江流域 河湖岸线。</w:t>
            </w:r>
          </w:p>
        </w:tc>
        <w:tc>
          <w:tcPr>
            <w:tcW w:w="832" w:type="dxa"/>
            <w:tcBorders>
              <w:tl2br w:val="nil"/>
              <w:tr2bl w:val="nil"/>
            </w:tcBorders>
            <w:vAlign w:val="center"/>
          </w:tcPr>
          <w:p w14:paraId="7A5F298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456043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540F459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第十二条禁止在《全国重要江河湖泊水功能区划》划定的河段及湖泊保护区、保留区内投资建设不利于水资源及自然生态保 护的项目。</w:t>
            </w:r>
          </w:p>
        </w:tc>
        <w:tc>
          <w:tcPr>
            <w:tcW w:w="2559" w:type="dxa"/>
            <w:tcBorders>
              <w:tl2br w:val="nil"/>
              <w:tr2bl w:val="nil"/>
            </w:tcBorders>
            <w:vAlign w:val="center"/>
          </w:tcPr>
          <w:p w14:paraId="2204010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本项目不在《全国 重要江河湖泊水功能区划》划定的河 段及湖泊保护区、 保留区内。</w:t>
            </w:r>
          </w:p>
        </w:tc>
        <w:tc>
          <w:tcPr>
            <w:tcW w:w="832" w:type="dxa"/>
            <w:tcBorders>
              <w:tl2br w:val="nil"/>
              <w:tr2bl w:val="nil"/>
            </w:tcBorders>
            <w:vAlign w:val="center"/>
          </w:tcPr>
          <w:p w14:paraId="2BDC6BE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3A14D4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00B5229C">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第十三条禁止未经许可在长江干支流及湖泊新设、改设或扩大排污口</w:t>
            </w:r>
          </w:p>
        </w:tc>
        <w:tc>
          <w:tcPr>
            <w:tcW w:w="2559" w:type="dxa"/>
            <w:tcBorders>
              <w:tl2br w:val="nil"/>
              <w:tr2bl w:val="nil"/>
            </w:tcBorders>
            <w:vAlign w:val="center"/>
          </w:tcPr>
          <w:p w14:paraId="2FC00605">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本项目未在长江干 支流及湖泊新设、改设或扩大排污口</w:t>
            </w:r>
          </w:p>
        </w:tc>
        <w:tc>
          <w:tcPr>
            <w:tcW w:w="832" w:type="dxa"/>
            <w:tcBorders>
              <w:tl2br w:val="nil"/>
              <w:tr2bl w:val="nil"/>
            </w:tcBorders>
            <w:vAlign w:val="center"/>
          </w:tcPr>
          <w:p w14:paraId="7F2EA8DC">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0AA5F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1B3C9D3A">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四条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2559" w:type="dxa"/>
            <w:tcBorders>
              <w:tl2br w:val="nil"/>
              <w:tr2bl w:val="nil"/>
            </w:tcBorders>
            <w:vAlign w:val="center"/>
          </w:tcPr>
          <w:p w14:paraId="1BC0AA5A">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本项目未开展生产性捕捞。</w:t>
            </w:r>
          </w:p>
        </w:tc>
        <w:tc>
          <w:tcPr>
            <w:tcW w:w="832" w:type="dxa"/>
            <w:tcBorders>
              <w:tl2br w:val="nil"/>
              <w:tr2bl w:val="nil"/>
            </w:tcBorders>
            <w:vAlign w:val="center"/>
          </w:tcPr>
          <w:p w14:paraId="248C9148">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6BA6B8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0753E375">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第十五条禁止在长江湖南段和洞庭湖、湘江、资江、沅江、澧 水干流岸线一公里范围内新建、扩建化工园区和化工项目。禁止在长江湖南段岸线三公里范围内和湘江、资江、沅江澧水岸线一公里范围内新建、改建、扩建尾矿库、冶炼渣库和磷石膏 库，以提升安全、生态环境保护水平为目的的改建除外。</w:t>
            </w:r>
          </w:p>
        </w:tc>
        <w:tc>
          <w:tcPr>
            <w:tcW w:w="2559" w:type="dxa"/>
            <w:tcBorders>
              <w:tl2br w:val="nil"/>
              <w:tr2bl w:val="nil"/>
            </w:tcBorders>
            <w:vAlign w:val="center"/>
          </w:tcPr>
          <w:p w14:paraId="649B493C">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本项目与长江直线距离1.</w:t>
            </w:r>
            <w:r>
              <w:rPr>
                <w:rFonts w:hint="eastAsia" w:cs="Times New Roman"/>
                <w:color w:val="auto"/>
                <w:sz w:val="21"/>
                <w:szCs w:val="21"/>
                <w:u w:val="none"/>
                <w:lang w:val="en-US" w:eastAsia="zh-CN"/>
              </w:rPr>
              <w:t>2</w:t>
            </w:r>
            <w:r>
              <w:rPr>
                <w:rFonts w:hint="default" w:ascii="Times New Roman" w:hAnsi="Times New Roman" w:cs="Times New Roman"/>
                <w:color w:val="auto"/>
                <w:sz w:val="21"/>
                <w:szCs w:val="21"/>
                <w:u w:val="none"/>
              </w:rPr>
              <w:t>km，与湘江、资江、沅江遭水岸线距离远超1km。</w:t>
            </w:r>
          </w:p>
        </w:tc>
        <w:tc>
          <w:tcPr>
            <w:tcW w:w="832" w:type="dxa"/>
            <w:tcBorders>
              <w:tl2br w:val="nil"/>
              <w:tr2bl w:val="nil"/>
            </w:tcBorders>
            <w:vAlign w:val="center"/>
          </w:tcPr>
          <w:p w14:paraId="7D8804C7">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5E1A63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6337" w:type="dxa"/>
            <w:tcBorders>
              <w:tl2br w:val="nil"/>
              <w:tr2bl w:val="nil"/>
            </w:tcBorders>
            <w:vAlign w:val="center"/>
          </w:tcPr>
          <w:p w14:paraId="42A56FE7">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第十六条禁止在合规园区外新建、扩建钢铁、石化、化工、焦 化、建材、有色、制浆造纸等高污染项目。高污染项目严格按照生态环境部《环境保护综合名录（2021年版）》有关要求执 行。</w:t>
            </w:r>
          </w:p>
        </w:tc>
        <w:tc>
          <w:tcPr>
            <w:tcW w:w="2559" w:type="dxa"/>
            <w:tcBorders>
              <w:tl2br w:val="nil"/>
              <w:tr2bl w:val="nil"/>
            </w:tcBorders>
            <w:vAlign w:val="center"/>
          </w:tcPr>
          <w:p w14:paraId="2742C669">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本项目位于合规的园区</w:t>
            </w:r>
          </w:p>
        </w:tc>
        <w:tc>
          <w:tcPr>
            <w:tcW w:w="832" w:type="dxa"/>
            <w:tcBorders>
              <w:tl2br w:val="nil"/>
              <w:tr2bl w:val="nil"/>
            </w:tcBorders>
            <w:vAlign w:val="center"/>
          </w:tcPr>
          <w:p w14:paraId="44000FB3">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2E0D22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28F05DF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第十七条禁止新建、扩建不符合国家石化、现代煤化工等产业布局规划的项目。未通过认定的化工园区，不得新建改扩建化工项目（安全、环保、节能和智能化改造项目除外）。</w:t>
            </w:r>
          </w:p>
        </w:tc>
        <w:tc>
          <w:tcPr>
            <w:tcW w:w="2559" w:type="dxa"/>
            <w:tcBorders>
              <w:tl2br w:val="nil"/>
              <w:tr2bl w:val="nil"/>
            </w:tcBorders>
            <w:vAlign w:val="center"/>
          </w:tcPr>
          <w:p w14:paraId="28995D43">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本项目园区符合产业布局规划</w:t>
            </w:r>
          </w:p>
        </w:tc>
        <w:tc>
          <w:tcPr>
            <w:tcW w:w="832" w:type="dxa"/>
            <w:tcBorders>
              <w:tl2br w:val="nil"/>
              <w:tr2bl w:val="nil"/>
            </w:tcBorders>
            <w:vAlign w:val="center"/>
          </w:tcPr>
          <w:p w14:paraId="6409F15D">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r w14:paraId="2FF50C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337" w:type="dxa"/>
            <w:tcBorders>
              <w:tl2br w:val="nil"/>
              <w:tr2bl w:val="nil"/>
            </w:tcBorders>
            <w:vAlign w:val="center"/>
          </w:tcPr>
          <w:p w14:paraId="1BF42DDE">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第十八条禁止新建、扩建法律法规和相关政策明令禁止的落后 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 不符合要求的高耗能高排放项目</w:t>
            </w:r>
          </w:p>
        </w:tc>
        <w:tc>
          <w:tcPr>
            <w:tcW w:w="2559" w:type="dxa"/>
            <w:tcBorders>
              <w:tl2br w:val="nil"/>
              <w:tr2bl w:val="nil"/>
            </w:tcBorders>
            <w:vAlign w:val="center"/>
          </w:tcPr>
          <w:p w14:paraId="651BA73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本项目不属于落后产能项目，不属于严重过剩产能行 业。</w:t>
            </w:r>
          </w:p>
        </w:tc>
        <w:tc>
          <w:tcPr>
            <w:tcW w:w="832" w:type="dxa"/>
            <w:tcBorders>
              <w:tl2br w:val="nil"/>
              <w:tr2bl w:val="nil"/>
            </w:tcBorders>
            <w:vAlign w:val="center"/>
          </w:tcPr>
          <w:p w14:paraId="1BDDC65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相符</w:t>
            </w:r>
          </w:p>
        </w:tc>
      </w:tr>
    </w:tbl>
    <w:p w14:paraId="5820F1AE">
      <w:pPr>
        <w:bidi w:val="0"/>
        <w:rPr>
          <w:rFonts w:hint="default" w:ascii="Times New Roman" w:hAnsi="Times New Roman" w:cs="Times New Roman"/>
          <w:color w:val="auto"/>
          <w:u w:val="none"/>
          <w:lang w:val="en-US" w:eastAsia="zh-CN"/>
        </w:rPr>
      </w:pPr>
      <w:bookmarkStart w:id="18" w:name="1.4.7平面布局合理性分析"/>
      <w:bookmarkEnd w:id="18"/>
      <w:r>
        <w:rPr>
          <w:rFonts w:hint="default" w:ascii="Times New Roman" w:hAnsi="Times New Roman" w:cs="Times New Roman"/>
          <w:color w:val="auto"/>
          <w:u w:val="none"/>
          <w:lang w:val="en-US" w:eastAsia="zh-CN"/>
        </w:rPr>
        <w:t>根据上表可知，本项目的建设符合《湖南省长江经济带发展负面清单实施细则（试行， 2022年版）》相关要求。</w:t>
      </w:r>
    </w:p>
    <w:p w14:paraId="6375C2DE">
      <w:pPr>
        <w:pStyle w:val="5"/>
        <w:rPr>
          <w:rFonts w:hint="default" w:ascii="Times New Roman" w:hAnsi="Times New Roman" w:cs="Times New Roman"/>
          <w:color w:val="auto"/>
          <w:u w:val="none"/>
        </w:rPr>
      </w:pPr>
      <w:r>
        <w:rPr>
          <w:rFonts w:hint="default" w:ascii="Times New Roman" w:hAnsi="Times New Roman" w:cs="Times New Roman"/>
          <w:color w:val="auto"/>
          <w:u w:val="none"/>
        </w:rPr>
        <w:t>湖南省“两高”项目管理目录相符性分析</w:t>
      </w:r>
    </w:p>
    <w:p w14:paraId="17BBE59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表1.4-</w:t>
      </w:r>
      <w:r>
        <w:rPr>
          <w:rFonts w:hint="eastAsia" w:cs="Times New Roman"/>
          <w:b/>
          <w:bCs/>
          <w:color w:val="auto"/>
          <w:u w:val="none"/>
          <w:lang w:val="en-US" w:eastAsia="zh-CN"/>
        </w:rPr>
        <w:t>6</w:t>
      </w:r>
      <w:r>
        <w:rPr>
          <w:rFonts w:hint="default" w:ascii="Times New Roman" w:hAnsi="Times New Roman" w:cs="Times New Roman"/>
          <w:b/>
          <w:bCs/>
          <w:color w:val="auto"/>
          <w:u w:val="none"/>
          <w:lang w:val="en-US" w:eastAsia="zh-CN"/>
        </w:rPr>
        <w:t xml:space="preserve">  湖南省“两高”项目管理目录</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4"/>
        <w:gridCol w:w="511"/>
        <w:gridCol w:w="3022"/>
        <w:gridCol w:w="3962"/>
        <w:gridCol w:w="1875"/>
      </w:tblGrid>
      <w:tr w14:paraId="75CF2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2147C84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259" w:type="pct"/>
            <w:tcBorders>
              <w:tl2br w:val="nil"/>
              <w:tr2bl w:val="nil"/>
            </w:tcBorders>
            <w:vAlign w:val="center"/>
          </w:tcPr>
          <w:p w14:paraId="5DB0FA3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行业</w:t>
            </w:r>
          </w:p>
        </w:tc>
        <w:tc>
          <w:tcPr>
            <w:tcW w:w="1533" w:type="pct"/>
            <w:tcBorders>
              <w:tl2br w:val="nil"/>
              <w:tr2bl w:val="nil"/>
            </w:tcBorders>
            <w:vAlign w:val="center"/>
          </w:tcPr>
          <w:p w14:paraId="4AB09AC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主要内容</w:t>
            </w:r>
          </w:p>
        </w:tc>
        <w:tc>
          <w:tcPr>
            <w:tcW w:w="2010" w:type="pct"/>
            <w:tcBorders>
              <w:tl2br w:val="nil"/>
              <w:tr2bl w:val="nil"/>
            </w:tcBorders>
            <w:vAlign w:val="center"/>
          </w:tcPr>
          <w:p w14:paraId="11C4325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涉及主要产品及工序</w:t>
            </w:r>
          </w:p>
        </w:tc>
        <w:tc>
          <w:tcPr>
            <w:tcW w:w="950" w:type="pct"/>
            <w:tcBorders>
              <w:tl2br w:val="nil"/>
              <w:tr2bl w:val="nil"/>
            </w:tcBorders>
            <w:vAlign w:val="center"/>
          </w:tcPr>
          <w:p w14:paraId="50F00EB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备注</w:t>
            </w:r>
          </w:p>
        </w:tc>
      </w:tr>
      <w:tr w14:paraId="18D80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5842D54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259" w:type="pct"/>
            <w:tcBorders>
              <w:tl2br w:val="nil"/>
              <w:tr2bl w:val="nil"/>
            </w:tcBorders>
            <w:vAlign w:val="center"/>
          </w:tcPr>
          <w:p w14:paraId="77C853A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石化</w:t>
            </w:r>
          </w:p>
        </w:tc>
        <w:tc>
          <w:tcPr>
            <w:tcW w:w="1533" w:type="pct"/>
            <w:tcBorders>
              <w:tl2br w:val="nil"/>
              <w:tr2bl w:val="nil"/>
            </w:tcBorders>
            <w:vAlign w:val="center"/>
          </w:tcPr>
          <w:p w14:paraId="170F232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原油加工及石油制品制造（2511）</w:t>
            </w:r>
          </w:p>
        </w:tc>
        <w:tc>
          <w:tcPr>
            <w:tcW w:w="2010" w:type="pct"/>
            <w:tcBorders>
              <w:tl2br w:val="nil"/>
              <w:tr2bl w:val="nil"/>
            </w:tcBorders>
            <w:vAlign w:val="center"/>
          </w:tcPr>
          <w:p w14:paraId="65C7EA3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炼油、乙烯</w:t>
            </w:r>
          </w:p>
        </w:tc>
        <w:tc>
          <w:tcPr>
            <w:tcW w:w="950" w:type="pct"/>
            <w:tcBorders>
              <w:tl2br w:val="nil"/>
              <w:tr2bl w:val="nil"/>
            </w:tcBorders>
            <w:vAlign w:val="center"/>
          </w:tcPr>
          <w:p w14:paraId="487E37F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2B765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1F8DD58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259" w:type="pct"/>
            <w:tcBorders>
              <w:tl2br w:val="nil"/>
              <w:tr2bl w:val="nil"/>
            </w:tcBorders>
            <w:vAlign w:val="center"/>
          </w:tcPr>
          <w:p w14:paraId="1E33067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化工</w:t>
            </w:r>
          </w:p>
        </w:tc>
        <w:tc>
          <w:tcPr>
            <w:tcW w:w="1533" w:type="pct"/>
            <w:tcBorders>
              <w:tl2br w:val="nil"/>
              <w:tr2bl w:val="nil"/>
            </w:tcBorders>
            <w:vAlign w:val="center"/>
          </w:tcPr>
          <w:p w14:paraId="5479F91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无机酸制造（2611）、无机碱制造（2612）、无机盐制造（2613）</w:t>
            </w:r>
          </w:p>
        </w:tc>
        <w:tc>
          <w:tcPr>
            <w:tcW w:w="2010" w:type="pct"/>
            <w:tcBorders>
              <w:tl2br w:val="nil"/>
              <w:tr2bl w:val="nil"/>
            </w:tcBorders>
            <w:vAlign w:val="center"/>
          </w:tcPr>
          <w:p w14:paraId="78615CD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烧碱、纯碱、工业硫酸、黄磷、合成氨、尿素、磷铵、电石、聚氯乙烯、聚丙烯、精对苯二甲酸、对二甲苯、苯乙烯、乙酸乙烯酯、二苯基甲烷二异氰酸酯、1,4-丁二醇</w:t>
            </w:r>
          </w:p>
        </w:tc>
        <w:tc>
          <w:tcPr>
            <w:tcW w:w="950" w:type="pct"/>
            <w:tcBorders>
              <w:tl2br w:val="nil"/>
              <w:tr2bl w:val="nil"/>
            </w:tcBorders>
            <w:vAlign w:val="center"/>
          </w:tcPr>
          <w:p w14:paraId="19510D5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5825D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564A194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259" w:type="pct"/>
            <w:tcBorders>
              <w:tl2br w:val="nil"/>
              <w:tr2bl w:val="nil"/>
            </w:tcBorders>
            <w:vAlign w:val="center"/>
          </w:tcPr>
          <w:p w14:paraId="09852CE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煤化工</w:t>
            </w:r>
          </w:p>
        </w:tc>
        <w:tc>
          <w:tcPr>
            <w:tcW w:w="1533" w:type="pct"/>
            <w:tcBorders>
              <w:tl2br w:val="nil"/>
              <w:tr2bl w:val="nil"/>
            </w:tcBorders>
            <w:vAlign w:val="center"/>
          </w:tcPr>
          <w:p w14:paraId="142CA25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煤制合成气生产（2522）、煤制液体燃料生产（2523）</w:t>
            </w:r>
          </w:p>
        </w:tc>
        <w:tc>
          <w:tcPr>
            <w:tcW w:w="2010" w:type="pct"/>
            <w:tcBorders>
              <w:tl2br w:val="nil"/>
              <w:tr2bl w:val="nil"/>
            </w:tcBorders>
            <w:vAlign w:val="center"/>
          </w:tcPr>
          <w:p w14:paraId="022AB56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一氧化碳、氢气、甲烷及其他煤制合成气；甲醇、二甲醚、乙二醇、汽油、柴油和航空燃料及其他煤制液体燃料</w:t>
            </w:r>
          </w:p>
        </w:tc>
        <w:tc>
          <w:tcPr>
            <w:tcW w:w="950" w:type="pct"/>
            <w:tcBorders>
              <w:tl2br w:val="nil"/>
              <w:tr2bl w:val="nil"/>
            </w:tcBorders>
            <w:vAlign w:val="center"/>
          </w:tcPr>
          <w:p w14:paraId="7ACE1CE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68089A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142193B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259" w:type="pct"/>
            <w:tcBorders>
              <w:tl2br w:val="nil"/>
              <w:tr2bl w:val="nil"/>
            </w:tcBorders>
            <w:vAlign w:val="center"/>
          </w:tcPr>
          <w:p w14:paraId="7B1FF80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焦化</w:t>
            </w:r>
          </w:p>
        </w:tc>
        <w:tc>
          <w:tcPr>
            <w:tcW w:w="1533" w:type="pct"/>
            <w:tcBorders>
              <w:tl2br w:val="nil"/>
              <w:tr2bl w:val="nil"/>
            </w:tcBorders>
            <w:vAlign w:val="center"/>
          </w:tcPr>
          <w:p w14:paraId="2C84536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炼焦（2521）</w:t>
            </w:r>
          </w:p>
        </w:tc>
        <w:tc>
          <w:tcPr>
            <w:tcW w:w="2010" w:type="pct"/>
            <w:tcBorders>
              <w:tl2br w:val="nil"/>
              <w:tr2bl w:val="nil"/>
            </w:tcBorders>
            <w:vAlign w:val="center"/>
          </w:tcPr>
          <w:p w14:paraId="7872FD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焦炭、石油焦（焦炭类）、沥青焦、其他原料生产焦炭、机焦、型焦、土焦、半焦炭、针状焦、其他工艺生产焦炭、矿物油焦</w:t>
            </w:r>
          </w:p>
        </w:tc>
        <w:tc>
          <w:tcPr>
            <w:tcW w:w="950" w:type="pct"/>
            <w:tcBorders>
              <w:tl2br w:val="nil"/>
              <w:tr2bl w:val="nil"/>
            </w:tcBorders>
            <w:vAlign w:val="center"/>
          </w:tcPr>
          <w:p w14:paraId="000411A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715998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22934F8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259" w:type="pct"/>
            <w:tcBorders>
              <w:tl2br w:val="nil"/>
              <w:tr2bl w:val="nil"/>
            </w:tcBorders>
            <w:vAlign w:val="center"/>
          </w:tcPr>
          <w:p w14:paraId="292FA5A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钢铁</w:t>
            </w:r>
          </w:p>
        </w:tc>
        <w:tc>
          <w:tcPr>
            <w:tcW w:w="1533" w:type="pct"/>
            <w:tcBorders>
              <w:tl2br w:val="nil"/>
              <w:tr2bl w:val="nil"/>
            </w:tcBorders>
            <w:vAlign w:val="center"/>
          </w:tcPr>
          <w:p w14:paraId="54F5624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炼铁（3110）、炼钢（3120）、铁合金（3140）</w:t>
            </w:r>
          </w:p>
        </w:tc>
        <w:tc>
          <w:tcPr>
            <w:tcW w:w="2010" w:type="pct"/>
            <w:tcBorders>
              <w:tl2br w:val="nil"/>
              <w:tr2bl w:val="nil"/>
            </w:tcBorders>
            <w:vAlign w:val="center"/>
          </w:tcPr>
          <w:p w14:paraId="40B4ABE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炼钢用高炉生铁、直接还原铁、熔融还原铁、非合金钢粗钢、低合金钢粗钢、合金钢粗钢、铁合金、电解金属锰</w:t>
            </w:r>
          </w:p>
        </w:tc>
        <w:tc>
          <w:tcPr>
            <w:tcW w:w="950" w:type="pct"/>
            <w:tcBorders>
              <w:tl2br w:val="nil"/>
              <w:tr2bl w:val="nil"/>
            </w:tcBorders>
            <w:vAlign w:val="center"/>
          </w:tcPr>
          <w:p w14:paraId="0871A18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不包括以含重金属固体废弃物为原料（≥85%）进行锰资源综合回收项目。</w:t>
            </w:r>
          </w:p>
        </w:tc>
      </w:tr>
      <w:tr w14:paraId="4E3BC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vMerge w:val="restart"/>
            <w:tcBorders>
              <w:tl2br w:val="nil"/>
              <w:tr2bl w:val="nil"/>
            </w:tcBorders>
            <w:vAlign w:val="center"/>
          </w:tcPr>
          <w:p w14:paraId="1AB4FD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259" w:type="pct"/>
            <w:vMerge w:val="restart"/>
            <w:tcBorders>
              <w:tl2br w:val="nil"/>
              <w:tr2bl w:val="nil"/>
            </w:tcBorders>
            <w:vAlign w:val="center"/>
          </w:tcPr>
          <w:p w14:paraId="39C99B7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建材</w:t>
            </w:r>
          </w:p>
        </w:tc>
        <w:tc>
          <w:tcPr>
            <w:tcW w:w="1533" w:type="pct"/>
            <w:vMerge w:val="restart"/>
            <w:tcBorders>
              <w:tl2br w:val="nil"/>
              <w:tr2bl w:val="nil"/>
            </w:tcBorders>
            <w:vAlign w:val="center"/>
          </w:tcPr>
          <w:p w14:paraId="67C6A25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水泥制造（3011）、石灰和石膏制造（3012）、粘土砖瓦及建筑砌块制造（3031）、平板玻璃制造（3041）、建筑陶瓷制品制造（3071）</w:t>
            </w:r>
          </w:p>
        </w:tc>
        <w:tc>
          <w:tcPr>
            <w:tcW w:w="2010" w:type="pct"/>
            <w:tcBorders>
              <w:tl2br w:val="nil"/>
              <w:tr2bl w:val="nil"/>
            </w:tcBorders>
            <w:vAlign w:val="center"/>
          </w:tcPr>
          <w:p w14:paraId="102E9B7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石灰、建筑陶瓷、耐火材料、烧结砖瓦</w:t>
            </w:r>
          </w:p>
        </w:tc>
        <w:tc>
          <w:tcPr>
            <w:tcW w:w="950" w:type="pct"/>
            <w:tcBorders>
              <w:tl2br w:val="nil"/>
              <w:tr2bl w:val="nil"/>
            </w:tcBorders>
            <w:vAlign w:val="center"/>
          </w:tcPr>
          <w:p w14:paraId="3FB3640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不包括资源综合利用项目。</w:t>
            </w:r>
          </w:p>
        </w:tc>
      </w:tr>
      <w:tr w14:paraId="4A7025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vMerge w:val="continue"/>
            <w:tcBorders>
              <w:tl2br w:val="nil"/>
              <w:tr2bl w:val="nil"/>
            </w:tcBorders>
            <w:vAlign w:val="center"/>
          </w:tcPr>
          <w:p w14:paraId="7A799FE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59" w:type="pct"/>
            <w:vMerge w:val="continue"/>
            <w:tcBorders>
              <w:tl2br w:val="nil"/>
              <w:tr2bl w:val="nil"/>
            </w:tcBorders>
            <w:vAlign w:val="center"/>
          </w:tcPr>
          <w:p w14:paraId="1B80BDC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1533" w:type="pct"/>
            <w:vMerge w:val="continue"/>
            <w:tcBorders>
              <w:tl2br w:val="nil"/>
              <w:tr2bl w:val="nil"/>
            </w:tcBorders>
            <w:vAlign w:val="center"/>
          </w:tcPr>
          <w:p w14:paraId="395D48D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010" w:type="pct"/>
            <w:tcBorders>
              <w:tl2br w:val="nil"/>
              <w:tr2bl w:val="nil"/>
            </w:tcBorders>
            <w:vAlign w:val="center"/>
          </w:tcPr>
          <w:p w14:paraId="505595E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水泥熟料、平板玻璃</w:t>
            </w:r>
          </w:p>
        </w:tc>
        <w:tc>
          <w:tcPr>
            <w:tcW w:w="950" w:type="pct"/>
            <w:tcBorders>
              <w:tl2br w:val="nil"/>
              <w:tr2bl w:val="nil"/>
            </w:tcBorders>
            <w:vAlign w:val="center"/>
          </w:tcPr>
          <w:p w14:paraId="5324DC6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5FE0A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3E71A4B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259" w:type="pct"/>
            <w:tcBorders>
              <w:tl2br w:val="nil"/>
              <w:tr2bl w:val="nil"/>
            </w:tcBorders>
            <w:vAlign w:val="center"/>
          </w:tcPr>
          <w:p w14:paraId="2088FCC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有色</w:t>
            </w:r>
          </w:p>
        </w:tc>
        <w:tc>
          <w:tcPr>
            <w:tcW w:w="1533" w:type="pct"/>
            <w:tcBorders>
              <w:tl2br w:val="nil"/>
              <w:tr2bl w:val="nil"/>
            </w:tcBorders>
            <w:vAlign w:val="center"/>
          </w:tcPr>
          <w:p w14:paraId="4CA044A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铜冶炼（3211）、铅锌冶炼（3212）、锑冶炼（3215）、铝冶炼（3216）、硅冶炼（3218）</w:t>
            </w:r>
          </w:p>
        </w:tc>
        <w:tc>
          <w:tcPr>
            <w:tcW w:w="2010" w:type="pct"/>
            <w:tcBorders>
              <w:tl2br w:val="nil"/>
              <w:tr2bl w:val="nil"/>
            </w:tcBorders>
            <w:vAlign w:val="center"/>
          </w:tcPr>
          <w:p w14:paraId="71041C2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铜、铅锌、锑、铝、硅冶炼</w:t>
            </w:r>
          </w:p>
        </w:tc>
        <w:tc>
          <w:tcPr>
            <w:tcW w:w="950" w:type="pct"/>
            <w:tcBorders>
              <w:tl2br w:val="nil"/>
              <w:tr2bl w:val="nil"/>
            </w:tcBorders>
            <w:vAlign w:val="center"/>
          </w:tcPr>
          <w:p w14:paraId="170B9A5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不包括再生有色资源冶炼项目。</w:t>
            </w:r>
          </w:p>
        </w:tc>
      </w:tr>
      <w:tr w14:paraId="662B8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3514719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259" w:type="pct"/>
            <w:tcBorders>
              <w:tl2br w:val="nil"/>
              <w:tr2bl w:val="nil"/>
            </w:tcBorders>
            <w:vAlign w:val="center"/>
          </w:tcPr>
          <w:p w14:paraId="4E3B16D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煤电</w:t>
            </w:r>
          </w:p>
        </w:tc>
        <w:tc>
          <w:tcPr>
            <w:tcW w:w="1533" w:type="pct"/>
            <w:tcBorders>
              <w:tl2br w:val="nil"/>
              <w:tr2bl w:val="nil"/>
            </w:tcBorders>
            <w:vAlign w:val="center"/>
          </w:tcPr>
          <w:p w14:paraId="2FB6DEF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火力发电（4411）、热电联产（4412）</w:t>
            </w:r>
          </w:p>
        </w:tc>
        <w:tc>
          <w:tcPr>
            <w:tcW w:w="2010" w:type="pct"/>
            <w:tcBorders>
              <w:tl2br w:val="nil"/>
              <w:tr2bl w:val="nil"/>
            </w:tcBorders>
            <w:vAlign w:val="center"/>
          </w:tcPr>
          <w:p w14:paraId="10ACAE9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燃煤发电、燃煤热电联产</w:t>
            </w:r>
          </w:p>
        </w:tc>
        <w:tc>
          <w:tcPr>
            <w:tcW w:w="950" w:type="pct"/>
            <w:tcBorders>
              <w:tl2br w:val="nil"/>
              <w:tr2bl w:val="nil"/>
            </w:tcBorders>
            <w:vAlign w:val="center"/>
          </w:tcPr>
          <w:p w14:paraId="75816D1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54FDE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6" w:type="pct"/>
            <w:tcBorders>
              <w:tl2br w:val="nil"/>
              <w:tr2bl w:val="nil"/>
            </w:tcBorders>
            <w:vAlign w:val="center"/>
          </w:tcPr>
          <w:p w14:paraId="2F453A5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4753" w:type="pct"/>
            <w:gridSpan w:val="4"/>
            <w:tcBorders>
              <w:tl2br w:val="nil"/>
              <w:tr2bl w:val="nil"/>
            </w:tcBorders>
            <w:vAlign w:val="center"/>
          </w:tcPr>
          <w:p w14:paraId="7C7D993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涉煤及煤制品、石油焦、渣油、重油等高污染燃料使用工业炉窑、锅炉的项目</w:t>
            </w:r>
          </w:p>
        </w:tc>
      </w:tr>
    </w:tbl>
    <w:p w14:paraId="5A30D81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本项目主要工序为阳极氧化，属于为金属表面处理及热处理加工，所用能源为电能，因此本项目非《湖南省“两高”项目管理目录》中的两高项目。</w:t>
      </w:r>
    </w:p>
    <w:p w14:paraId="4D4FE7A5">
      <w:pPr>
        <w:pStyle w:val="5"/>
        <w:rPr>
          <w:rFonts w:hint="default" w:ascii="Times New Roman" w:hAnsi="Times New Roman" w:cs="Times New Roman"/>
          <w:color w:val="auto"/>
          <w:u w:val="none"/>
        </w:rPr>
      </w:pPr>
      <w:r>
        <w:rPr>
          <w:rFonts w:hint="default" w:ascii="Times New Roman" w:hAnsi="Times New Roman" w:cs="Times New Roman"/>
          <w:color w:val="auto"/>
          <w:u w:val="none"/>
        </w:rPr>
        <w:t>选址合理性分析</w:t>
      </w:r>
    </w:p>
    <w:p w14:paraId="38D87826">
      <w:pPr>
        <w:ind w:firstLine="452"/>
        <w:rPr>
          <w:rFonts w:hint="default" w:ascii="Times New Roman" w:hAnsi="Times New Roman" w:cs="Times New Roman"/>
          <w:color w:val="auto"/>
          <w:u w:val="none"/>
        </w:rPr>
      </w:pPr>
      <w:r>
        <w:rPr>
          <w:rFonts w:hint="default" w:ascii="Times New Roman" w:hAnsi="Times New Roman" w:cs="Times New Roman"/>
          <w:color w:val="auto"/>
          <w:u w:val="none"/>
        </w:rPr>
        <w:t>本项目为金属表面处理及热处理，符合</w:t>
      </w:r>
      <w:r>
        <w:rPr>
          <w:rFonts w:hint="default" w:ascii="Times New Roman" w:hAnsi="Times New Roman" w:cs="Times New Roman"/>
          <w:color w:val="auto"/>
          <w:spacing w:val="-7"/>
          <w:u w:val="none"/>
        </w:rPr>
        <w:t>园区产业定位和功能布局；用地为二类工</w:t>
      </w:r>
      <w:r>
        <w:rPr>
          <w:rFonts w:hint="default" w:ascii="Times New Roman" w:hAnsi="Times New Roman" w:cs="Times New Roman"/>
          <w:color w:val="auto"/>
          <w:spacing w:val="-9"/>
          <w:u w:val="none"/>
        </w:rPr>
        <w:t>业用地，</w:t>
      </w:r>
      <w:r>
        <w:rPr>
          <w:rFonts w:hint="default" w:ascii="Times New Roman" w:hAnsi="Times New Roman" w:cs="Times New Roman"/>
          <w:color w:val="auto"/>
          <w:u w:val="none"/>
        </w:rPr>
        <w:t>且本项目厂区周边为二类工业用地和基础设施用地，且项目拟建地附近无自然保护区、风景名胜区、生活饮用水水源保护区及其它需要特别保护的区域，无环境制约因素，因此本项目选址符合规划的工业用地的相关要求</w:t>
      </w:r>
      <w:r>
        <w:rPr>
          <w:rFonts w:hint="default" w:ascii="Times New Roman" w:hAnsi="Times New Roman" w:cs="Times New Roman"/>
          <w:color w:val="auto"/>
          <w:spacing w:val="-9"/>
          <w:u w:val="none"/>
        </w:rPr>
        <w:t>；项目不属于国家明令淘汰和</w:t>
      </w:r>
      <w:r>
        <w:rPr>
          <w:rFonts w:hint="default" w:ascii="Times New Roman" w:hAnsi="Times New Roman" w:cs="Times New Roman"/>
          <w:color w:val="auto"/>
          <w:spacing w:val="-7"/>
          <w:u w:val="none"/>
        </w:rPr>
        <w:t>禁止发展的环境污染严重，不符合政策的建设项目。综上所述，本项目符合</w:t>
      </w:r>
      <w:r>
        <w:rPr>
          <w:rFonts w:hint="default" w:ascii="Times New Roman" w:hAnsi="Times New Roman" w:cs="Times New Roman"/>
          <w:color w:val="auto"/>
          <w:u w:val="none"/>
        </w:rPr>
        <w:t>湖南城陵矶临港产业新区产业核心区环评批复和岳阳临港高新技术产业开发区环境影响跟踪评价的工作意见的要求。</w:t>
      </w:r>
    </w:p>
    <w:p w14:paraId="75A8229B">
      <w:pPr>
        <w:ind w:firstLine="424"/>
        <w:rPr>
          <w:rFonts w:hint="default" w:ascii="Times New Roman" w:hAnsi="Times New Roman" w:cs="Times New Roman"/>
          <w:color w:val="auto"/>
          <w:u w:val="none"/>
        </w:rPr>
      </w:pPr>
      <w:r>
        <w:rPr>
          <w:rFonts w:hint="default" w:ascii="Times New Roman" w:hAnsi="Times New Roman" w:cs="Times New Roman"/>
          <w:color w:val="auto"/>
          <w:spacing w:val="-14"/>
          <w:u w:val="none"/>
        </w:rPr>
        <w:t>根据《湖南省人民政府关于印发湖南省生态保护红线的通知》湘政发〔</w:t>
      </w:r>
      <w:r>
        <w:rPr>
          <w:rFonts w:hint="default" w:ascii="Times New Roman" w:hAnsi="Times New Roman" w:eastAsia="Times New Roman" w:cs="Times New Roman"/>
          <w:color w:val="auto"/>
          <w:u w:val="none"/>
        </w:rPr>
        <w:t>2018</w:t>
      </w:r>
      <w:r>
        <w:rPr>
          <w:rFonts w:hint="default" w:ascii="Times New Roman" w:hAnsi="Times New Roman" w:cs="Times New Roman"/>
          <w:color w:val="auto"/>
          <w:spacing w:val="-16"/>
          <w:u w:val="none"/>
        </w:rPr>
        <w:t>〕</w:t>
      </w:r>
      <w:r>
        <w:rPr>
          <w:rFonts w:hint="default" w:ascii="Times New Roman" w:hAnsi="Times New Roman" w:eastAsia="Times New Roman" w:cs="Times New Roman"/>
          <w:color w:val="auto"/>
          <w:u w:val="none"/>
        </w:rPr>
        <w:t>20</w:t>
      </w:r>
      <w:r>
        <w:rPr>
          <w:rFonts w:hint="default" w:ascii="Times New Roman" w:hAnsi="Times New Roman" w:cs="Times New Roman"/>
          <w:color w:val="auto"/>
          <w:u w:val="none"/>
        </w:rPr>
        <w:t>号，全省生态保护红线空间格局为“一湖三山四水”：“一湖”为洞庭湖</w:t>
      </w:r>
      <w:r>
        <w:rPr>
          <w:rFonts w:hint="default" w:ascii="Times New Roman" w:hAnsi="Times New Roman" w:eastAsia="Times New Roman" w:cs="Times New Roman"/>
          <w:color w:val="auto"/>
          <w:u w:val="none"/>
        </w:rPr>
        <w:t>(</w:t>
      </w:r>
      <w:r>
        <w:rPr>
          <w:rFonts w:hint="default" w:ascii="Times New Roman" w:hAnsi="Times New Roman" w:cs="Times New Roman"/>
          <w:color w:val="auto"/>
          <w:u w:val="none"/>
        </w:rPr>
        <w:t>主要包括东洞庭湖、南洞庭湖、横岭湖、西洞庭湖等自然保护区和长江岸线</w:t>
      </w:r>
      <w:r>
        <w:rPr>
          <w:rFonts w:hint="default" w:ascii="Times New Roman" w:hAnsi="Times New Roman" w:eastAsia="Times New Roman" w:cs="Times New Roman"/>
          <w:color w:val="auto"/>
          <w:u w:val="none"/>
        </w:rPr>
        <w:t>)</w:t>
      </w:r>
      <w:r>
        <w:rPr>
          <w:rFonts w:hint="default" w:ascii="Times New Roman" w:hAnsi="Times New Roman" w:cs="Times New Roman"/>
          <w:color w:val="auto"/>
          <w:u w:val="none"/>
        </w:rPr>
        <w:t>，主要生态功能为生物多样性维护、洪水调蓄。“</w:t>
      </w:r>
      <w:r>
        <w:rPr>
          <w:rFonts w:hint="default" w:ascii="Times New Roman" w:hAnsi="Times New Roman" w:cs="Times New Roman"/>
          <w:color w:val="auto"/>
          <w:spacing w:val="2"/>
          <w:u w:val="none"/>
        </w:rPr>
        <w:t>三山</w:t>
      </w:r>
      <w:r>
        <w:rPr>
          <w:rFonts w:hint="default" w:ascii="Times New Roman" w:hAnsi="Times New Roman" w:cs="Times New Roman"/>
          <w:color w:val="auto"/>
          <w:spacing w:val="3"/>
          <w:u w:val="none"/>
        </w:rPr>
        <w:t>”</w:t>
      </w:r>
      <w:r>
        <w:rPr>
          <w:rFonts w:hint="default" w:ascii="Times New Roman" w:hAnsi="Times New Roman" w:cs="Times New Roman"/>
          <w:color w:val="auto"/>
          <w:u w:val="none"/>
        </w:rPr>
        <w:t>包括武陵</w:t>
      </w:r>
      <w:r>
        <w:rPr>
          <w:rFonts w:hint="default" w:ascii="Times New Roman" w:hAnsi="Times New Roman" w:eastAsia="Times New Roman" w:cs="Times New Roman"/>
          <w:color w:val="auto"/>
          <w:u w:val="none"/>
        </w:rPr>
        <w:t>-</w:t>
      </w:r>
      <w:r>
        <w:rPr>
          <w:rFonts w:hint="default" w:ascii="Times New Roman" w:hAnsi="Times New Roman" w:cs="Times New Roman"/>
          <w:color w:val="auto"/>
          <w:u w:val="none"/>
        </w:rPr>
        <w:t>雪峰山脉生态屏障，主要生态功能</w:t>
      </w:r>
    </w:p>
    <w:p w14:paraId="2AF66FC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为生物多样性维护与水土保持；罗霄</w:t>
      </w:r>
      <w:r>
        <w:rPr>
          <w:rFonts w:hint="default" w:ascii="Times New Roman" w:hAnsi="Times New Roman" w:eastAsia="Times New Roman" w:cs="Times New Roman"/>
          <w:color w:val="auto"/>
          <w:u w:val="none"/>
        </w:rPr>
        <w:t>-</w:t>
      </w:r>
      <w:r>
        <w:rPr>
          <w:rFonts w:hint="default" w:ascii="Times New Roman" w:hAnsi="Times New Roman" w:cs="Times New Roman"/>
          <w:color w:val="auto"/>
          <w:u w:val="none"/>
        </w:rPr>
        <w:t>幕阜山脉生态屏障，主要生态功</w:t>
      </w:r>
      <w:r>
        <w:rPr>
          <w:rFonts w:hint="default" w:ascii="Times New Roman" w:hAnsi="Times New Roman" w:cs="Times New Roman"/>
          <w:color w:val="auto"/>
          <w:spacing w:val="-6"/>
          <w:u w:val="none"/>
        </w:rPr>
        <w:t>能为生物多样性维护、水源涵养和水土保持；南岭山脉生态屏障，主要生态功能</w:t>
      </w:r>
      <w:r>
        <w:rPr>
          <w:rFonts w:hint="default" w:ascii="Times New Roman" w:hAnsi="Times New Roman" w:cs="Times New Roman"/>
          <w:color w:val="auto"/>
          <w:spacing w:val="-12"/>
          <w:u w:val="none"/>
        </w:rPr>
        <w:t>为水源涵养和生物多样性维护，其中南岭山脉生态屏障是南方丘陵山地带的重要组成部分。“四水”为湘资沅澧</w:t>
      </w:r>
      <w:r>
        <w:rPr>
          <w:rFonts w:hint="default" w:ascii="Times New Roman" w:hAnsi="Times New Roman" w:eastAsia="Times New Roman" w:cs="Times New Roman"/>
          <w:color w:val="auto"/>
          <w:spacing w:val="-12"/>
          <w:u w:val="none"/>
        </w:rPr>
        <w:t>(</w:t>
      </w:r>
      <w:r>
        <w:rPr>
          <w:rFonts w:hint="default" w:ascii="Times New Roman" w:hAnsi="Times New Roman" w:cs="Times New Roman"/>
          <w:color w:val="auto"/>
          <w:spacing w:val="-12"/>
          <w:u w:val="none"/>
        </w:rPr>
        <w:t>湘江、资水、沅江、澧水</w:t>
      </w:r>
      <w:r>
        <w:rPr>
          <w:rFonts w:hint="default" w:ascii="Times New Roman" w:hAnsi="Times New Roman" w:eastAsia="Times New Roman" w:cs="Times New Roman"/>
          <w:color w:val="auto"/>
          <w:spacing w:val="-12"/>
          <w:u w:val="none"/>
        </w:rPr>
        <w:t>)</w:t>
      </w:r>
      <w:r>
        <w:rPr>
          <w:rFonts w:hint="default" w:ascii="Times New Roman" w:hAnsi="Times New Roman" w:cs="Times New Roman"/>
          <w:color w:val="auto"/>
          <w:spacing w:val="-12"/>
          <w:u w:val="none"/>
        </w:rPr>
        <w:t>的源头区及重要水域。</w:t>
      </w:r>
      <w:r>
        <w:rPr>
          <w:rFonts w:hint="default" w:ascii="Times New Roman" w:hAnsi="Times New Roman" w:cs="Times New Roman"/>
          <w:color w:val="auto"/>
          <w:u w:val="none"/>
        </w:rPr>
        <w:t>本项目位于湖南城陵矶临港产业新区产业核心区内，属于二类工业项目，所用地块用性质为二类工业用地，且不占用划定的生态红线区域，因此与湖南省生态保护红线区域保护规划相符，且根据附图6，本项目不在岳阳市生态红线范围内。项目区域供水、供电及排水设施均已建设完善。</w:t>
      </w:r>
    </w:p>
    <w:p w14:paraId="6875B2D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综上所述，本项目选址合理。</w:t>
      </w:r>
    </w:p>
    <w:p w14:paraId="474E6EC9">
      <w:pPr>
        <w:pStyle w:val="5"/>
        <w:rPr>
          <w:rFonts w:hint="default" w:ascii="Times New Roman" w:hAnsi="Times New Roman" w:cs="Times New Roman"/>
          <w:color w:val="auto"/>
          <w:u w:val="none"/>
        </w:rPr>
      </w:pPr>
      <w:r>
        <w:rPr>
          <w:rFonts w:hint="default" w:ascii="Times New Roman" w:hAnsi="Times New Roman" w:cs="Times New Roman"/>
          <w:color w:val="auto"/>
          <w:u w:val="none"/>
        </w:rPr>
        <w:t>平面布局合理性分析</w:t>
      </w:r>
    </w:p>
    <w:p w14:paraId="5CCC51E1">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湖南中达精密制造有限公司</w:t>
      </w:r>
      <w:r>
        <w:rPr>
          <w:rFonts w:hint="eastAsia" w:ascii="Times New Roman" w:hAnsi="Times New Roman" w:cs="Times New Roman"/>
          <w:color w:val="auto"/>
          <w:u w:val="none"/>
          <w:lang w:val="en-US" w:eastAsia="zh-CN"/>
        </w:rPr>
        <w:t>租赁</w:t>
      </w:r>
      <w:r>
        <w:rPr>
          <w:rFonts w:hint="default" w:ascii="Times New Roman" w:hAnsi="Times New Roman" w:cs="Times New Roman"/>
          <w:color w:val="auto"/>
          <w:u w:val="none"/>
        </w:rPr>
        <w:t>生产区建筑面积为</w:t>
      </w:r>
      <w:r>
        <w:rPr>
          <w:rFonts w:hint="eastAsia" w:ascii="Times New Roman" w:hAnsi="Times New Roman" w:cs="Times New Roman"/>
          <w:color w:val="auto"/>
          <w:u w:val="none"/>
          <w:lang w:val="en-US" w:eastAsia="zh-CN"/>
        </w:rPr>
        <w:t>2109</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位于长江大道与兴港路交汇处。项目车间平面布置以最佳的生产流程（物流、人流、信息流、能源流）和生产工艺工程进行设计，整体布置上强调物流的合理，减少物流的返回、交叉、往返等无效搬运；减少库存和再制品，缩短物料的停滞和等待；选用适当装卸搬运方式和机具。总体布置按照用地集约、紧凑，功能分区合理，工艺流线顺畅，运输线路短捷原则。车间平面布置见附图</w:t>
      </w:r>
      <w:r>
        <w:rPr>
          <w:rFonts w:hint="eastAsia" w:ascii="Times New Roman" w:hAnsi="Times New Roman" w:cs="Times New Roman"/>
          <w:color w:val="auto"/>
          <w:u w:val="none"/>
          <w:lang w:eastAsia="zh-CN"/>
        </w:rPr>
        <w:t>。</w:t>
      </w:r>
    </w:p>
    <w:p w14:paraId="3EDB8A4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综上所述本项目平面布置可行。</w:t>
      </w:r>
    </w:p>
    <w:p w14:paraId="57324E6E">
      <w:pPr>
        <w:pStyle w:val="4"/>
        <w:ind w:left="0" w:leftChars="0" w:firstLineChars="0"/>
        <w:rPr>
          <w:rFonts w:hint="default" w:ascii="Times New Roman" w:hAnsi="Times New Roman" w:cs="Times New Roman"/>
          <w:color w:val="auto"/>
          <w:u w:val="none"/>
        </w:rPr>
      </w:pPr>
      <w:bookmarkStart w:id="19" w:name="1.4.8环境制约因素分析"/>
      <w:bookmarkEnd w:id="19"/>
      <w:bookmarkStart w:id="20" w:name="_Toc17878"/>
      <w:bookmarkStart w:id="21" w:name="_Toc31427"/>
      <w:bookmarkStart w:id="22" w:name="_Toc20771"/>
      <w:r>
        <w:rPr>
          <w:rFonts w:hint="default" w:ascii="Times New Roman" w:hAnsi="Times New Roman" w:cs="Times New Roman"/>
          <w:color w:val="auto"/>
          <w:u w:val="none"/>
        </w:rPr>
        <w:t>关注的主要环境问题及环境影响</w:t>
      </w:r>
      <w:bookmarkEnd w:id="20"/>
    </w:p>
    <w:p w14:paraId="2DEA16A6">
      <w:pPr>
        <w:keepNext w:val="0"/>
        <w:keepLines w:val="0"/>
        <w:widowControl/>
        <w:suppressLineNumbers w:val="0"/>
        <w:jc w:val="left"/>
        <w:rPr>
          <w:rFonts w:hint="default" w:ascii="Times New Roman" w:hAnsi="Times New Roman" w:cs="Times New Roman"/>
          <w:color w:val="auto"/>
          <w:u w:val="none"/>
        </w:rPr>
      </w:pPr>
      <w:r>
        <w:rPr>
          <w:rFonts w:hint="default" w:ascii="Times New Roman" w:hAnsi="Times New Roman" w:eastAsia="宋体" w:cs="Times New Roman"/>
          <w:color w:val="auto"/>
          <w:kern w:val="0"/>
          <w:sz w:val="24"/>
          <w:szCs w:val="24"/>
          <w:u w:val="none"/>
          <w:lang w:val="en-US" w:eastAsia="zh-CN" w:bidi="ar"/>
        </w:rPr>
        <w:t>（1）水环境：项目产生的含铬废水、含镍废水、</w:t>
      </w:r>
      <w:r>
        <w:rPr>
          <w:rFonts w:hint="default" w:ascii="Times New Roman" w:hAnsi="Times New Roman" w:cs="Times New Roman"/>
          <w:color w:val="auto"/>
          <w:kern w:val="0"/>
          <w:sz w:val="24"/>
          <w:szCs w:val="24"/>
          <w:u w:val="none"/>
          <w:lang w:val="en-US" w:eastAsia="zh-CN" w:bidi="ar"/>
        </w:rPr>
        <w:t>含磷</w:t>
      </w:r>
      <w:r>
        <w:rPr>
          <w:rFonts w:hint="default" w:ascii="Times New Roman" w:hAnsi="Times New Roman" w:eastAsia="宋体" w:cs="Times New Roman"/>
          <w:color w:val="auto"/>
          <w:kern w:val="0"/>
          <w:sz w:val="24"/>
          <w:szCs w:val="24"/>
          <w:u w:val="none"/>
          <w:lang w:val="en-US" w:eastAsia="zh-CN" w:bidi="ar"/>
        </w:rPr>
        <w:t>废水、其他废水的分类收集处理及处理系统的可行性，含铬废水、含镍废水、</w:t>
      </w:r>
      <w:r>
        <w:rPr>
          <w:rFonts w:hint="default" w:ascii="Times New Roman" w:hAnsi="Times New Roman" w:cs="Times New Roman"/>
          <w:color w:val="auto"/>
          <w:kern w:val="0"/>
          <w:sz w:val="24"/>
          <w:szCs w:val="24"/>
          <w:u w:val="none"/>
          <w:lang w:val="en-US" w:eastAsia="zh-CN" w:bidi="ar"/>
        </w:rPr>
        <w:t>含磷</w:t>
      </w:r>
      <w:r>
        <w:rPr>
          <w:rFonts w:hint="default" w:ascii="Times New Roman" w:hAnsi="Times New Roman" w:eastAsia="宋体" w:cs="Times New Roman"/>
          <w:color w:val="auto"/>
          <w:kern w:val="0"/>
          <w:sz w:val="24"/>
          <w:szCs w:val="24"/>
          <w:u w:val="none"/>
          <w:lang w:val="en-US" w:eastAsia="zh-CN" w:bidi="ar"/>
        </w:rPr>
        <w:t>废水处理后回用的可行性，其他废水最终进入园区污水处理厂的可行性。</w:t>
      </w:r>
    </w:p>
    <w:p w14:paraId="62D3E011">
      <w:pPr>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（2）环境空气：项目产生的酸雾排放对区域环境空气质量的影响，项目废气处理措施的可行性。</w:t>
      </w:r>
    </w:p>
    <w:p w14:paraId="7E874801">
      <w:pPr>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（3）声环境：重点关注项目实施后高噪声设备对区域声环境的影响。</w:t>
      </w:r>
    </w:p>
    <w:p w14:paraId="0DA342E4">
      <w:pPr>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（4）固体废物：重点关注危险废物厂内暂存设施的防渗措施及最终去向。</w:t>
      </w:r>
    </w:p>
    <w:p w14:paraId="0F4B0E83">
      <w:pPr>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（5）土壤环境：重点关注事故状态下废液泄漏等对土壤环境的影响。</w:t>
      </w:r>
    </w:p>
    <w:p w14:paraId="2BFE33F9">
      <w:pPr>
        <w:bidi w:val="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（6）地下水环境：重点关注事故状态下废液、废水等泄漏对地下水环境的影响。</w:t>
      </w:r>
    </w:p>
    <w:p w14:paraId="2D6F0AA5">
      <w:pPr>
        <w:pStyle w:val="4"/>
        <w:ind w:left="0" w:leftChars="0" w:firstLineChars="0"/>
        <w:rPr>
          <w:rFonts w:hint="default" w:ascii="Times New Roman" w:hAnsi="Times New Roman" w:cs="Times New Roman"/>
          <w:color w:val="auto"/>
          <w:u w:val="none"/>
        </w:rPr>
      </w:pPr>
      <w:bookmarkStart w:id="23" w:name="_Toc3574"/>
      <w:r>
        <w:rPr>
          <w:rFonts w:hint="default" w:ascii="Times New Roman" w:hAnsi="Times New Roman" w:cs="Times New Roman"/>
          <w:color w:val="auto"/>
          <w:u w:val="none"/>
        </w:rPr>
        <w:t>环境影响评价的主要结论</w:t>
      </w:r>
      <w:bookmarkEnd w:id="23"/>
    </w:p>
    <w:bookmarkEnd w:id="21"/>
    <w:bookmarkEnd w:id="22"/>
    <w:p w14:paraId="5F819E3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本项目属金属表面处理及热处理加工，符合国家产业政策要求，符合湖南城陵矶临港产业新区产业核心区规划及产业定位，项目不在环境准入负面清单范围内。</w:t>
      </w:r>
    </w:p>
    <w:p w14:paraId="4C6158E2">
      <w:pPr>
        <w:keepNext w:val="0"/>
        <w:keepLines w:val="0"/>
        <w:widowControl/>
        <w:suppressLineNumbers w:val="0"/>
        <w:jc w:val="left"/>
        <w:rPr>
          <w:rFonts w:hint="default" w:ascii="Times New Roman" w:hAnsi="Times New Roman" w:cs="Times New Roman"/>
          <w:color w:val="auto"/>
          <w:u w:val="none"/>
        </w:rPr>
      </w:pPr>
      <w:r>
        <w:rPr>
          <w:rFonts w:hint="default" w:ascii="Times New Roman" w:hAnsi="Times New Roman" w:eastAsia="宋体" w:cs="Times New Roman"/>
          <w:color w:val="auto"/>
          <w:kern w:val="0"/>
          <w:sz w:val="24"/>
          <w:szCs w:val="24"/>
          <w:u w:val="none"/>
          <w:lang w:val="en-US" w:eastAsia="zh-CN" w:bidi="ar"/>
        </w:rPr>
        <w:t>本项目符合国家产业政策，选址符合区域规划，工艺和设备符合清洁生产要求，在落实本报告提出的各项污染物防治措施后，项目产生的废水、废气、噪声等污染物能做到达标排放，固体废物得到妥善处置，对外环境的影响较小。因此，在全面落实各项污染防治措施及环评要求的前提下，从环境保护角度分析，本工程建设可行。</w:t>
      </w:r>
    </w:p>
    <w:bookmarkEnd w:id="3"/>
    <w:p w14:paraId="6852EFBE">
      <w:pPr>
        <w:pStyle w:val="2"/>
        <w:ind w:left="0" w:leftChars="0" w:firstLineChars="0"/>
        <w:jc w:val="center"/>
        <w:rPr>
          <w:rFonts w:hint="default" w:ascii="Times New Roman" w:hAnsi="Times New Roman" w:cs="Times New Roman"/>
          <w:color w:val="auto"/>
          <w:u w:val="none"/>
        </w:rPr>
      </w:pPr>
      <w:bookmarkStart w:id="24" w:name="_Toc25977"/>
      <w:bookmarkStart w:id="25" w:name="_Toc15988"/>
      <w:bookmarkStart w:id="26" w:name="_Toc12323"/>
      <w:r>
        <w:rPr>
          <w:rFonts w:hint="default" w:ascii="Times New Roman" w:hAnsi="Times New Roman" w:cs="Times New Roman"/>
          <w:color w:val="auto"/>
          <w:u w:val="none"/>
        </w:rPr>
        <w:t>总则</w:t>
      </w:r>
      <w:bookmarkEnd w:id="24"/>
    </w:p>
    <w:p w14:paraId="3C97DBA9">
      <w:pPr>
        <w:pStyle w:val="4"/>
        <w:ind w:left="0" w:leftChars="0" w:firstLineChars="0"/>
        <w:rPr>
          <w:rFonts w:hint="default" w:ascii="Times New Roman" w:hAnsi="Times New Roman" w:cs="Times New Roman"/>
          <w:color w:val="auto"/>
          <w:u w:val="none"/>
        </w:rPr>
      </w:pPr>
      <w:bookmarkStart w:id="27" w:name="_Toc2183"/>
      <w:bookmarkStart w:id="28" w:name="_Toc32377"/>
      <w:bookmarkStart w:id="29" w:name="_Toc12318"/>
      <w:r>
        <w:rPr>
          <w:rFonts w:hint="default" w:ascii="Times New Roman" w:hAnsi="Times New Roman" w:cs="Times New Roman"/>
          <w:color w:val="auto"/>
          <w:u w:val="none"/>
        </w:rPr>
        <w:t>编制依据</w:t>
      </w:r>
      <w:bookmarkEnd w:id="27"/>
      <w:bookmarkEnd w:id="28"/>
      <w:bookmarkEnd w:id="29"/>
    </w:p>
    <w:p w14:paraId="57AF53C4">
      <w:pPr>
        <w:pStyle w:val="5"/>
        <w:rPr>
          <w:rFonts w:hint="default" w:ascii="Times New Roman" w:hAnsi="Times New Roman" w:cs="Times New Roman"/>
          <w:color w:val="auto"/>
          <w:u w:val="none"/>
        </w:rPr>
      </w:pPr>
      <w:r>
        <w:rPr>
          <w:rFonts w:hint="default" w:ascii="Times New Roman" w:hAnsi="Times New Roman" w:cs="Times New Roman"/>
          <w:color w:val="auto"/>
          <w:u w:val="none"/>
        </w:rPr>
        <w:t>法律、法规和部门规章</w:t>
      </w:r>
    </w:p>
    <w:p w14:paraId="147B301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（1）《中华人民共和国环境保护法》，2015年1月1日起施行；</w:t>
      </w:r>
    </w:p>
    <w:p w14:paraId="5AA90D8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（2）《中华人民共和国环境影响评价法》，2018年12月29日修订；</w:t>
      </w:r>
    </w:p>
    <w:p w14:paraId="45CF44FE">
      <w:pPr>
        <w:autoSpaceDE w:val="0"/>
        <w:autoSpaceDN w:val="0"/>
        <w:adjustRightInd w:val="0"/>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（2）《中华人民共和国噪声污染防治法》（20</w:t>
      </w:r>
      <w:r>
        <w:rPr>
          <w:rFonts w:hint="default" w:ascii="Times New Roman" w:hAnsi="Times New Roman" w:cs="Times New Roman"/>
          <w:color w:val="auto"/>
          <w:u w:val="none"/>
        </w:rPr>
        <w:t>21</w:t>
      </w:r>
      <w:r>
        <w:rPr>
          <w:rFonts w:hint="default" w:ascii="Times New Roman" w:hAnsi="Times New Roman" w:cs="Times New Roman"/>
          <w:color w:val="auto"/>
          <w:u w:val="none"/>
          <w:lang w:val="zh-CN"/>
        </w:rPr>
        <w:t>年12月</w:t>
      </w:r>
      <w:r>
        <w:rPr>
          <w:rFonts w:hint="default" w:ascii="Times New Roman" w:hAnsi="Times New Roman" w:cs="Times New Roman"/>
          <w:color w:val="auto"/>
          <w:u w:val="none"/>
        </w:rPr>
        <w:t>24</w:t>
      </w:r>
      <w:r>
        <w:rPr>
          <w:rFonts w:hint="default" w:ascii="Times New Roman" w:hAnsi="Times New Roman" w:cs="Times New Roman"/>
          <w:color w:val="auto"/>
          <w:u w:val="none"/>
          <w:lang w:val="zh-CN"/>
        </w:rPr>
        <w:t>日通过）；</w:t>
      </w:r>
    </w:p>
    <w:p w14:paraId="41E60B67">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（3）</w:t>
      </w:r>
      <w:r>
        <w:rPr>
          <w:rFonts w:hint="default" w:ascii="Times New Roman" w:hAnsi="Times New Roman" w:cs="Times New Roman"/>
          <w:color w:val="auto"/>
          <w:u w:val="none"/>
        </w:rPr>
        <w:t>《中华人民共和国大气污染防治法》（2018年10月26日施行）</w:t>
      </w:r>
      <w:r>
        <w:rPr>
          <w:rFonts w:hint="default" w:ascii="Times New Roman" w:hAnsi="Times New Roman" w:cs="Times New Roman"/>
          <w:color w:val="auto"/>
          <w:u w:val="none"/>
          <w:lang w:val="zh-CN"/>
        </w:rPr>
        <w:t>；</w:t>
      </w:r>
    </w:p>
    <w:p w14:paraId="5710C32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（4）《中华人民共和国水污染防治法》（2018年1月1日起施行）；</w:t>
      </w:r>
    </w:p>
    <w:p w14:paraId="48DEB5B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（5）《中华人民共和国固体废物污染环境防治法》（20</w:t>
      </w:r>
      <w:r>
        <w:rPr>
          <w:rFonts w:hint="default" w:ascii="Times New Roman" w:hAnsi="Times New Roman" w:cs="Times New Roman"/>
          <w:color w:val="auto"/>
          <w:u w:val="none"/>
        </w:rPr>
        <w:t>20</w:t>
      </w:r>
      <w:r>
        <w:rPr>
          <w:rFonts w:hint="default" w:ascii="Times New Roman" w:hAnsi="Times New Roman" w:cs="Times New Roman"/>
          <w:color w:val="auto"/>
          <w:u w:val="none"/>
          <w:lang w:val="zh-CN"/>
        </w:rPr>
        <w:t>年</w:t>
      </w:r>
      <w:r>
        <w:rPr>
          <w:rFonts w:hint="default" w:ascii="Times New Roman" w:hAnsi="Times New Roman" w:cs="Times New Roman"/>
          <w:color w:val="auto"/>
          <w:u w:val="none"/>
        </w:rPr>
        <w:t>9</w:t>
      </w:r>
      <w:r>
        <w:rPr>
          <w:rFonts w:hint="default" w:ascii="Times New Roman" w:hAnsi="Times New Roman" w:cs="Times New Roman"/>
          <w:color w:val="auto"/>
          <w:u w:val="none"/>
          <w:lang w:val="zh-CN"/>
        </w:rPr>
        <w:t>月</w:t>
      </w:r>
      <w:r>
        <w:rPr>
          <w:rFonts w:hint="default" w:ascii="Times New Roman" w:hAnsi="Times New Roman" w:cs="Times New Roman"/>
          <w:color w:val="auto"/>
          <w:u w:val="none"/>
        </w:rPr>
        <w:t>1</w:t>
      </w:r>
      <w:r>
        <w:rPr>
          <w:rFonts w:hint="default" w:ascii="Times New Roman" w:hAnsi="Times New Roman" w:cs="Times New Roman"/>
          <w:color w:val="auto"/>
          <w:u w:val="none"/>
          <w:lang w:val="zh-CN"/>
        </w:rPr>
        <w:t>日施行）；</w:t>
      </w:r>
    </w:p>
    <w:p w14:paraId="284960C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（6）《中华人民共和国土壤污染防治法》（2019年1月1日起施行）；</w:t>
      </w:r>
    </w:p>
    <w:p w14:paraId="36AA259D">
      <w:pPr>
        <w:autoSpaceDE w:val="0"/>
        <w:autoSpaceDN w:val="0"/>
        <w:adjustRightInd w:val="0"/>
        <w:ind w:firstLine="480"/>
        <w:rPr>
          <w:rFonts w:hint="default" w:ascii="Times New Roman" w:hAnsi="Times New Roman" w:cs="Times New Roman"/>
          <w:color w:val="auto"/>
          <w:u w:val="none"/>
          <w:lang w:val="zh-CN"/>
        </w:rPr>
      </w:pPr>
      <w:r>
        <w:rPr>
          <w:rFonts w:hint="default" w:ascii="Times New Roman" w:hAnsi="Times New Roman" w:cs="Times New Roman"/>
          <w:color w:val="auto"/>
          <w:kern w:val="0"/>
          <w:u w:val="none"/>
          <w:lang w:bidi="ar"/>
        </w:rPr>
        <w:t>（7）《污染源源强核算技术指南电镀工业》（HJ984-2018）；</w:t>
      </w:r>
    </w:p>
    <w:p w14:paraId="7FA7CBE5">
      <w:pPr>
        <w:autoSpaceDE w:val="0"/>
        <w:autoSpaceDN w:val="0"/>
        <w:adjustRightInd w:val="0"/>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（8）《建设项目环境保护管理条例》（2017年10月1日施行）；</w:t>
      </w:r>
    </w:p>
    <w:p w14:paraId="3355D669">
      <w:pPr>
        <w:autoSpaceDE w:val="0"/>
        <w:autoSpaceDN w:val="0"/>
        <w:adjustRightInd w:val="0"/>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（9）《建设项目环境影响评价分类管理名录（2021年版）》（20</w:t>
      </w:r>
      <w:r>
        <w:rPr>
          <w:rFonts w:hint="default" w:ascii="Times New Roman" w:hAnsi="Times New Roman" w:cs="Times New Roman"/>
          <w:color w:val="auto"/>
          <w:u w:val="none"/>
        </w:rPr>
        <w:t>2</w:t>
      </w:r>
      <w:r>
        <w:rPr>
          <w:rFonts w:hint="default" w:ascii="Times New Roman" w:hAnsi="Times New Roman" w:cs="Times New Roman"/>
          <w:color w:val="auto"/>
          <w:u w:val="none"/>
          <w:lang w:val="zh-CN"/>
        </w:rPr>
        <w:t>1年</w:t>
      </w:r>
      <w:r>
        <w:rPr>
          <w:rFonts w:hint="default" w:ascii="Times New Roman" w:hAnsi="Times New Roman" w:cs="Times New Roman"/>
          <w:color w:val="auto"/>
          <w:u w:val="none"/>
        </w:rPr>
        <w:t>1</w:t>
      </w:r>
      <w:r>
        <w:rPr>
          <w:rFonts w:hint="default" w:ascii="Times New Roman" w:hAnsi="Times New Roman" w:cs="Times New Roman"/>
          <w:color w:val="auto"/>
          <w:u w:val="none"/>
          <w:lang w:val="zh-CN"/>
        </w:rPr>
        <w:t>月</w:t>
      </w:r>
      <w:r>
        <w:rPr>
          <w:rFonts w:hint="default" w:ascii="Times New Roman" w:hAnsi="Times New Roman" w:cs="Times New Roman"/>
          <w:color w:val="auto"/>
          <w:u w:val="none"/>
        </w:rPr>
        <w:t>1</w:t>
      </w:r>
      <w:r>
        <w:rPr>
          <w:rFonts w:hint="default" w:ascii="Times New Roman" w:hAnsi="Times New Roman" w:cs="Times New Roman"/>
          <w:color w:val="auto"/>
          <w:u w:val="none"/>
          <w:lang w:val="zh-CN"/>
        </w:rPr>
        <w:t>日施行）；</w:t>
      </w:r>
    </w:p>
    <w:p w14:paraId="4E2F99E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（10）《环境影响评价公众参与办法》生态环境部（2019年1月1日起施行）；</w:t>
      </w:r>
    </w:p>
    <w:p w14:paraId="4EDBFB3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（11）</w:t>
      </w:r>
      <w:r>
        <w:rPr>
          <w:rFonts w:hint="default" w:ascii="Times New Roman" w:hAnsi="Times New Roman" w:cs="Times New Roman"/>
          <w:color w:val="auto"/>
          <w:u w:val="none"/>
        </w:rPr>
        <w:t>《产业结构调整指导目录（</w:t>
      </w:r>
      <w:r>
        <w:rPr>
          <w:rFonts w:hint="eastAsia" w:ascii="Times New Roman" w:hAnsi="Times New Roman" w:cs="Times New Roman"/>
          <w:color w:val="auto"/>
          <w:u w:val="none"/>
          <w:lang w:val="en-US" w:eastAsia="zh-CN"/>
        </w:rPr>
        <w:t>2024</w:t>
      </w:r>
      <w:r>
        <w:rPr>
          <w:rFonts w:hint="default" w:ascii="Times New Roman" w:hAnsi="Times New Roman" w:cs="Times New Roman"/>
          <w:color w:val="auto"/>
          <w:u w:val="none"/>
        </w:rPr>
        <w:t>年版）》</w:t>
      </w:r>
      <w:r>
        <w:rPr>
          <w:rFonts w:hint="default" w:ascii="Times New Roman" w:hAnsi="Times New Roman" w:cs="Times New Roman"/>
          <w:color w:val="auto"/>
          <w:u w:val="none"/>
          <w:lang w:val="zh-CN"/>
        </w:rPr>
        <w:t>；</w:t>
      </w:r>
    </w:p>
    <w:p w14:paraId="6DCC49F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（12）《中华人民共和国长江保护法》（</w:t>
      </w:r>
      <w:r>
        <w:rPr>
          <w:rFonts w:hint="default" w:ascii="Times New Roman" w:hAnsi="Times New Roman" w:cs="Times New Roman"/>
          <w:color w:val="auto"/>
          <w:u w:val="none"/>
        </w:rPr>
        <w:t>2021年3月1日实施</w:t>
      </w:r>
      <w:r>
        <w:rPr>
          <w:rFonts w:hint="default" w:ascii="Times New Roman" w:hAnsi="Times New Roman" w:cs="Times New Roman"/>
          <w:color w:val="auto"/>
          <w:u w:val="none"/>
          <w:lang w:val="zh-CN"/>
        </w:rPr>
        <w:t>）；</w:t>
      </w:r>
    </w:p>
    <w:p w14:paraId="57A7512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（13）《关于进一步加强环境影响评价管理防范环境风险的通知》环发〔2012〕77号；</w:t>
      </w:r>
    </w:p>
    <w:p w14:paraId="7EEBA352">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（14）《关于切实加强风险防范严格环境影响评价管理的通知》（环发〔2012〕98号）；</w:t>
      </w:r>
    </w:p>
    <w:p w14:paraId="7D4DAB1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（15）《国家危险废物名录（202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lang w:val="zh-CN"/>
        </w:rPr>
        <w:t>年版）》；</w:t>
      </w:r>
    </w:p>
    <w:p w14:paraId="6849668C">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（16）《关于印发〈建设项目环境影响评价信息公开机制方案〉的通知》（环发〔2015〕162号）；</w:t>
      </w:r>
    </w:p>
    <w:p w14:paraId="108AC83A">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（17）《危险废物转移联单管理办法》（国家环境保护总局令第5号，1999年10月1日起施行）；</w:t>
      </w:r>
    </w:p>
    <w:p w14:paraId="33206DDD">
      <w:pPr>
        <w:ind w:firstLine="480"/>
        <w:rPr>
          <w:rFonts w:hint="default" w:ascii="Times New Roman" w:hAnsi="Times New Roman" w:cs="Times New Roman"/>
          <w:color w:val="auto"/>
          <w:u w:val="none"/>
        </w:rPr>
      </w:pPr>
      <w:r>
        <w:rPr>
          <w:rFonts w:hint="default" w:ascii="Times New Roman" w:hAnsi="Times New Roman" w:cs="Times New Roman"/>
          <w:color w:val="auto"/>
          <w:u w:val="none"/>
          <w:lang w:val="zh-CN"/>
        </w:rPr>
        <w:t>（18）</w:t>
      </w:r>
      <w:r>
        <w:rPr>
          <w:rFonts w:hint="default" w:ascii="Times New Roman" w:hAnsi="Times New Roman" w:cs="Times New Roman"/>
          <w:color w:val="auto"/>
          <w:u w:val="none"/>
        </w:rPr>
        <w:t>《建设项目危险废物环境影响评价指南》2017年10月1起施行；</w:t>
      </w:r>
    </w:p>
    <w:p w14:paraId="5D02FEB1">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w:t>
      </w:r>
      <w:r>
        <w:rPr>
          <w:rFonts w:hint="default" w:ascii="Times New Roman" w:hAnsi="Times New Roman" w:cs="Times New Roman"/>
          <w:color w:val="auto"/>
          <w:u w:val="none"/>
        </w:rPr>
        <w:t>19</w:t>
      </w:r>
      <w:r>
        <w:rPr>
          <w:rFonts w:hint="default" w:ascii="Times New Roman" w:hAnsi="Times New Roman" w:cs="Times New Roman"/>
          <w:color w:val="auto"/>
          <w:u w:val="none"/>
          <w:lang w:val="zh-CN"/>
        </w:rPr>
        <w:t>）《中华人民共和国环境影响评价法》（2018年12月29日施行）；</w:t>
      </w:r>
    </w:p>
    <w:p w14:paraId="2E3EB3FC">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w:t>
      </w:r>
      <w:r>
        <w:rPr>
          <w:rFonts w:hint="default" w:ascii="Times New Roman" w:hAnsi="Times New Roman" w:cs="Times New Roman"/>
          <w:color w:val="auto"/>
          <w:u w:val="none"/>
        </w:rPr>
        <w:t>20</w:t>
      </w:r>
      <w:r>
        <w:rPr>
          <w:rFonts w:hint="default" w:ascii="Times New Roman" w:hAnsi="Times New Roman" w:cs="Times New Roman"/>
          <w:color w:val="auto"/>
          <w:u w:val="none"/>
          <w:lang w:val="zh-CN"/>
        </w:rPr>
        <w:t>）《水污染防治行动计划》，国发〔2015〕17号；</w:t>
      </w:r>
    </w:p>
    <w:p w14:paraId="68C90801">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（2</w:t>
      </w:r>
      <w:r>
        <w:rPr>
          <w:rFonts w:hint="default" w:ascii="Times New Roman" w:hAnsi="Times New Roman" w:cs="Times New Roman"/>
          <w:color w:val="auto"/>
          <w:u w:val="none"/>
        </w:rPr>
        <w:t>1</w:t>
      </w:r>
      <w:r>
        <w:rPr>
          <w:rFonts w:hint="default" w:ascii="Times New Roman" w:hAnsi="Times New Roman" w:cs="Times New Roman"/>
          <w:color w:val="auto"/>
          <w:u w:val="none"/>
          <w:lang w:val="zh-CN"/>
        </w:rPr>
        <w:t>）</w:t>
      </w:r>
      <w:r>
        <w:rPr>
          <w:rFonts w:hint="default" w:ascii="Times New Roman" w:hAnsi="Times New Roman" w:cs="Times New Roman"/>
          <w:color w:val="auto"/>
          <w:u w:val="none"/>
        </w:rPr>
        <w:t>《土壤污染防治行动计划》（国发〔2016〕31号）；</w:t>
      </w:r>
    </w:p>
    <w:p w14:paraId="5CC103B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（22）《关于以改善环境质量为核心加强环境影响评价管理的通知》（环环评[2016]150号）；</w:t>
      </w:r>
    </w:p>
    <w:p w14:paraId="1A628C7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（23）《长江保护修复攻坚战行动计划》；</w:t>
      </w:r>
    </w:p>
    <w:p w14:paraId="3357780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（24）《长江经济带发展负面清单指南（试行202</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年版）》；</w:t>
      </w:r>
    </w:p>
    <w:p w14:paraId="26BBB06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（25）《重点行业挥发性有机物综合治理方案》（环大气[2019]53 号）；</w:t>
      </w:r>
    </w:p>
    <w:p w14:paraId="497FCA4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（26）《挥发性有机物治理实用手册》；</w:t>
      </w:r>
    </w:p>
    <w:p w14:paraId="3803200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（27）《重点行业企业挥发性有机物现场检查指南（试行）》；</w:t>
      </w:r>
    </w:p>
    <w:p w14:paraId="354FC4E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（28）《关于加快解决当前挥发性有机物治理突出问题的通知》（环大气〔2021〕65号）；</w:t>
      </w:r>
    </w:p>
    <w:p w14:paraId="551CA73A">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 xml:space="preserve">（29）《电镀废水治理工程技术规范》（HJ2002-2010）； </w:t>
      </w:r>
    </w:p>
    <w:p w14:paraId="79CD0AE6">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（30）《电镀行业清洁生产评价指标体系》（中华人民共和国国家发展和改革委员会、中华人民共和国换将保护部、中华人民共和国工业和信息化部2015年第25号公告）；</w:t>
      </w:r>
    </w:p>
    <w:p w14:paraId="0DAC02AA">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 xml:space="preserve">（31）《排污许可申请与核发技术规定电镀工业》（HJ855-2017）； </w:t>
      </w:r>
    </w:p>
    <w:p w14:paraId="5ED10CED">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（32）《排污单位自行监测技术指南电镀工业》（HJ985-2018）。</w:t>
      </w:r>
    </w:p>
    <w:p w14:paraId="24E6EA48">
      <w:pPr>
        <w:pStyle w:val="5"/>
        <w:rPr>
          <w:rFonts w:hint="default" w:ascii="Times New Roman" w:hAnsi="Times New Roman" w:cs="Times New Roman"/>
          <w:color w:val="auto"/>
          <w:u w:val="none"/>
        </w:rPr>
      </w:pPr>
      <w:r>
        <w:rPr>
          <w:rFonts w:hint="default" w:ascii="Times New Roman" w:hAnsi="Times New Roman" w:cs="Times New Roman"/>
          <w:color w:val="auto"/>
          <w:u w:val="none"/>
        </w:rPr>
        <w:t>地方法规和地方规章</w:t>
      </w:r>
    </w:p>
    <w:p w14:paraId="3E787FC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（1）《湖南省建设项目环境保护管理办法》（湖南省人民政府令第215号，2007年10月1日）；</w:t>
      </w:r>
    </w:p>
    <w:p w14:paraId="228EC46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（2）《湖南省环境保护条例》（2020年1月1日实施）；</w:t>
      </w:r>
    </w:p>
    <w:p w14:paraId="4487D1F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（3）湖南省人民政府关于印发《湖南省贯彻落实〈水污染防治行动计划〉实施方案（2016-2020年）》的通知（湘政发[2015]53号）；</w:t>
      </w:r>
    </w:p>
    <w:p w14:paraId="2658305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（4）《湖南省大气污染防治条例》（2017年6月1日起施行）；</w:t>
      </w:r>
    </w:p>
    <w:p w14:paraId="799F799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（5）《湖南省主要水系地表水环境功能区划》（DB43/023-2005）；</w:t>
      </w:r>
    </w:p>
    <w:p w14:paraId="5DD62A2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（6）湖南省人民政府关于印发《湖南省土壤污染防治工作方案》的通知（湘政发〔2017〕4号）；</w:t>
      </w:r>
    </w:p>
    <w:p w14:paraId="7B1335A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（7）《湖南省“两高”项目管理目录》（2021年12月24日）；</w:t>
      </w:r>
    </w:p>
    <w:p w14:paraId="04CA006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（8）《湖南省湘江污染防治第一个“三年行动计划”实施方案》（湘政办发[2013]68 号）；</w:t>
      </w:r>
    </w:p>
    <w:p w14:paraId="44725E2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9</w:t>
      </w:r>
      <w:r>
        <w:rPr>
          <w:rFonts w:hint="default" w:ascii="Times New Roman" w:hAnsi="Times New Roman" w:cs="Times New Roman"/>
          <w:color w:val="auto"/>
          <w:u w:val="none"/>
        </w:rPr>
        <w:t>）湖南省“三线一单”生态环境分区管控的意见（湘政发〔2020〕12号）；</w:t>
      </w:r>
    </w:p>
    <w:p w14:paraId="629DA2A1">
      <w:pPr>
        <w:pStyle w:val="14"/>
        <w:ind w:firstLine="480"/>
        <w:rPr>
          <w:rFonts w:hint="default" w:ascii="Times New Roman" w:hAnsi="Times New Roman" w:cs="Times New Roman"/>
          <w:color w:val="auto"/>
          <w:kern w:val="0"/>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0</w:t>
      </w:r>
      <w:r>
        <w:rPr>
          <w:rFonts w:hint="default" w:ascii="Times New Roman" w:hAnsi="Times New Roman" w:cs="Times New Roman"/>
          <w:color w:val="auto"/>
          <w:u w:val="none"/>
        </w:rPr>
        <w:t>）</w:t>
      </w:r>
      <w:r>
        <w:rPr>
          <w:rFonts w:hint="default" w:ascii="Times New Roman" w:hAnsi="Times New Roman" w:cs="Times New Roman"/>
          <w:color w:val="auto"/>
          <w:kern w:val="0"/>
          <w:u w:val="none"/>
        </w:rPr>
        <w:t>湖南省国家重点生态功能区产业准入负面清单（2016年8月）；</w:t>
      </w:r>
    </w:p>
    <w:p w14:paraId="1606F61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w:t>
      </w:r>
      <w:r>
        <w:rPr>
          <w:rFonts w:hint="default" w:ascii="Times New Roman" w:hAnsi="Times New Roman" w:cs="Times New Roman"/>
          <w:color w:val="auto"/>
          <w:kern w:val="0"/>
          <w:u w:val="none"/>
        </w:rPr>
        <w:t>岳阳市实施的</w:t>
      </w:r>
      <w:r>
        <w:rPr>
          <w:rFonts w:hint="default" w:ascii="Times New Roman" w:hAnsi="Times New Roman" w:cs="Times New Roman"/>
          <w:color w:val="auto"/>
          <w:u w:val="none"/>
        </w:rPr>
        <w:t>“三线一单”生态环境分区管控的意见（岳政发〔2021〕2号）；</w:t>
      </w:r>
    </w:p>
    <w:p w14:paraId="6F09A36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）《岳阳市扬尘污染防治条例》（2019年第3号）；</w:t>
      </w:r>
    </w:p>
    <w:p w14:paraId="7B98655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）《湖南省长江经济带发展负面清单实施细则（试行）（</w:t>
      </w:r>
      <w:r>
        <w:rPr>
          <w:rFonts w:hint="eastAsia" w:ascii="Times New Roman" w:hAnsi="Times New Roman" w:cs="Times New Roman"/>
          <w:color w:val="auto"/>
          <w:u w:val="none"/>
          <w:lang w:val="en-US" w:eastAsia="zh-CN"/>
        </w:rPr>
        <w:t>2022年版</w:t>
      </w:r>
      <w:r>
        <w:rPr>
          <w:rFonts w:hint="default" w:ascii="Times New Roman" w:hAnsi="Times New Roman" w:cs="Times New Roman"/>
          <w:color w:val="auto"/>
          <w:u w:val="none"/>
        </w:rPr>
        <w:t>）》。</w:t>
      </w:r>
    </w:p>
    <w:p w14:paraId="31D0224B">
      <w:pPr>
        <w:pStyle w:val="5"/>
        <w:rPr>
          <w:rFonts w:hint="default" w:ascii="Times New Roman" w:hAnsi="Times New Roman" w:cs="Times New Roman"/>
          <w:color w:val="auto"/>
          <w:u w:val="none"/>
        </w:rPr>
      </w:pPr>
      <w:r>
        <w:rPr>
          <w:rFonts w:hint="default" w:ascii="Times New Roman" w:hAnsi="Times New Roman" w:cs="Times New Roman"/>
          <w:color w:val="auto"/>
          <w:u w:val="none"/>
        </w:rPr>
        <w:t>技术导则、规范及标准</w:t>
      </w:r>
    </w:p>
    <w:p w14:paraId="770FA7D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（1）《建设项目环境影响评价技术导则——总纲》（HJ2.1—2016）；</w:t>
      </w:r>
    </w:p>
    <w:p w14:paraId="1F3F312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（2）《环境影响评价技术导则——大气环境》（HJ2.2—2018）；</w:t>
      </w:r>
    </w:p>
    <w:p w14:paraId="6AA90FC7">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（3）《环境影响评价技术导则——地表水环境》（HJ2.3—2018）；</w:t>
      </w:r>
    </w:p>
    <w:p w14:paraId="2254937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（4）《环境影响评价技术导则——地下水环境》（HJ610—2016）；</w:t>
      </w:r>
    </w:p>
    <w:p w14:paraId="720A17F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（5）《环境影响评价技术导则——声环境》（HJ2.4—20</w:t>
      </w:r>
      <w:r>
        <w:rPr>
          <w:rFonts w:hint="default" w:ascii="Times New Roman" w:hAnsi="Times New Roman" w:cs="Times New Roman"/>
          <w:color w:val="auto"/>
          <w:u w:val="none"/>
        </w:rPr>
        <w:t>21</w:t>
      </w:r>
      <w:r>
        <w:rPr>
          <w:rFonts w:hint="default" w:ascii="Times New Roman" w:hAnsi="Times New Roman" w:cs="Times New Roman"/>
          <w:color w:val="auto"/>
          <w:u w:val="none"/>
          <w:lang w:val="zh-CN"/>
        </w:rPr>
        <w:t>）；</w:t>
      </w:r>
    </w:p>
    <w:p w14:paraId="64959A27">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（6）《环境影响评价技术导则——生态影响》（HJ19-20</w:t>
      </w:r>
      <w:r>
        <w:rPr>
          <w:rFonts w:hint="default" w:ascii="Times New Roman" w:hAnsi="Times New Roman" w:cs="Times New Roman"/>
          <w:color w:val="auto"/>
          <w:u w:val="none"/>
        </w:rPr>
        <w:t>22</w:t>
      </w:r>
      <w:r>
        <w:rPr>
          <w:rFonts w:hint="default" w:ascii="Times New Roman" w:hAnsi="Times New Roman" w:cs="Times New Roman"/>
          <w:color w:val="auto"/>
          <w:u w:val="none"/>
          <w:lang w:val="zh-CN"/>
        </w:rPr>
        <w:t>）；</w:t>
      </w:r>
    </w:p>
    <w:p w14:paraId="2125484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（7）《环境影响评价技术导则——土壤环境（试行）》（HJ964-2018）</w:t>
      </w:r>
    </w:p>
    <w:p w14:paraId="22B2D7B4">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（8）《建设项目环境风险评价技术导则》（HJ169-2018）；</w:t>
      </w:r>
    </w:p>
    <w:p w14:paraId="344B6C7A">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（9）《建设项目危险废物环境影响评价指南》（2017年10月1日起施行）；</w:t>
      </w:r>
    </w:p>
    <w:p w14:paraId="78A374A4">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w:t>
      </w:r>
      <w:r>
        <w:rPr>
          <w:rFonts w:hint="default" w:ascii="Times New Roman" w:hAnsi="Times New Roman" w:cs="Times New Roman"/>
          <w:color w:val="auto"/>
          <w:u w:val="none"/>
        </w:rPr>
        <w:t>10</w:t>
      </w:r>
      <w:r>
        <w:rPr>
          <w:rFonts w:hint="default" w:ascii="Times New Roman" w:hAnsi="Times New Roman" w:cs="Times New Roman"/>
          <w:color w:val="auto"/>
          <w:u w:val="none"/>
          <w:lang w:val="zh-CN"/>
        </w:rPr>
        <w:t>）《污染源源强核算技术指南准则》(HJ884-2018)；</w:t>
      </w:r>
    </w:p>
    <w:p w14:paraId="44668310">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w:t>
      </w:r>
      <w:r>
        <w:rPr>
          <w:rFonts w:hint="default" w:ascii="Times New Roman" w:hAnsi="Times New Roman" w:cs="Times New Roman"/>
          <w:color w:val="auto"/>
          <w:u w:val="none"/>
        </w:rPr>
        <w:t>11</w:t>
      </w:r>
      <w:r>
        <w:rPr>
          <w:rFonts w:hint="default" w:ascii="Times New Roman" w:hAnsi="Times New Roman" w:cs="Times New Roman"/>
          <w:color w:val="auto"/>
          <w:u w:val="none"/>
          <w:lang w:val="zh-CN"/>
        </w:rPr>
        <w:t>）《排污单位自行监测技术指南</w:t>
      </w:r>
      <w:r>
        <w:rPr>
          <w:rFonts w:hint="default" w:ascii="Times New Roman" w:hAnsi="Times New Roman" w:cs="Times New Roman"/>
          <w:color w:val="auto"/>
          <w:u w:val="none"/>
        </w:rPr>
        <w:t xml:space="preserve"> </w:t>
      </w:r>
      <w:r>
        <w:rPr>
          <w:rFonts w:hint="default" w:ascii="Times New Roman" w:hAnsi="Times New Roman" w:cs="Times New Roman"/>
          <w:color w:val="auto"/>
          <w:u w:val="none"/>
          <w:lang w:val="zh-CN"/>
        </w:rPr>
        <w:t>总则》(HJ 819-2017)；</w:t>
      </w:r>
    </w:p>
    <w:p w14:paraId="7D18AB44">
      <w:pPr>
        <w:pStyle w:val="26"/>
        <w:widowControl/>
        <w:spacing w:before="0" w:beforeAutospacing="0" w:after="0" w:afterAutospacing="0"/>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w:t>
      </w:r>
      <w:r>
        <w:rPr>
          <w:rFonts w:hint="default" w:ascii="Times New Roman" w:hAnsi="Times New Roman" w:cs="Times New Roman"/>
          <w:color w:val="auto"/>
          <w:u w:val="none"/>
        </w:rPr>
        <w:t>12</w:t>
      </w:r>
      <w:r>
        <w:rPr>
          <w:rFonts w:hint="default" w:ascii="Times New Roman" w:hAnsi="Times New Roman" w:cs="Times New Roman"/>
          <w:color w:val="auto"/>
          <w:u w:val="none"/>
          <w:lang w:val="zh-CN"/>
        </w:rPr>
        <w:t>）《</w:t>
      </w:r>
      <w:r>
        <w:rPr>
          <w:rFonts w:hint="default" w:ascii="Times New Roman" w:hAnsi="Times New Roman" w:cs="Times New Roman"/>
          <w:color w:val="auto"/>
          <w:u w:val="none"/>
        </w:rPr>
        <w:t>排污许可证申请与核发技术规范 总则</w:t>
      </w:r>
      <w:r>
        <w:rPr>
          <w:rFonts w:hint="default" w:ascii="Times New Roman" w:hAnsi="Times New Roman" w:cs="Times New Roman"/>
          <w:color w:val="auto"/>
          <w:u w:val="none"/>
          <w:lang w:val="zh-CN"/>
        </w:rPr>
        <w:t xml:space="preserve">》（HJ </w:t>
      </w:r>
      <w:r>
        <w:rPr>
          <w:rFonts w:hint="default" w:ascii="Times New Roman" w:hAnsi="Times New Roman" w:cs="Times New Roman"/>
          <w:color w:val="auto"/>
          <w:u w:val="none"/>
        </w:rPr>
        <w:t>942</w:t>
      </w:r>
      <w:r>
        <w:rPr>
          <w:rFonts w:hint="default" w:ascii="Times New Roman" w:hAnsi="Times New Roman" w:cs="Times New Roman"/>
          <w:color w:val="auto"/>
          <w:u w:val="none"/>
          <w:lang w:val="zh-CN"/>
        </w:rPr>
        <w:t>-201</w:t>
      </w:r>
      <w:r>
        <w:rPr>
          <w:rFonts w:hint="default" w:ascii="Times New Roman" w:hAnsi="Times New Roman" w:cs="Times New Roman"/>
          <w:color w:val="auto"/>
          <w:u w:val="none"/>
        </w:rPr>
        <w:t>8</w:t>
      </w:r>
      <w:r>
        <w:rPr>
          <w:rFonts w:hint="default" w:ascii="Times New Roman" w:hAnsi="Times New Roman" w:cs="Times New Roman"/>
          <w:color w:val="auto"/>
          <w:u w:val="none"/>
          <w:lang w:val="zh-CN"/>
        </w:rPr>
        <w:t>）；</w:t>
      </w:r>
    </w:p>
    <w:p w14:paraId="54049026">
      <w:pPr>
        <w:pStyle w:val="5"/>
        <w:rPr>
          <w:rFonts w:hint="default" w:ascii="Times New Roman" w:hAnsi="Times New Roman" w:cs="Times New Roman"/>
          <w:color w:val="auto"/>
          <w:u w:val="none"/>
        </w:rPr>
      </w:pPr>
      <w:r>
        <w:rPr>
          <w:rFonts w:hint="default" w:ascii="Times New Roman" w:hAnsi="Times New Roman" w:cs="Times New Roman"/>
          <w:color w:val="auto"/>
          <w:u w:val="none"/>
        </w:rPr>
        <w:t>其他相关技术文件</w:t>
      </w:r>
    </w:p>
    <w:p w14:paraId="4B4EDD6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（1）本项目环评委托书；</w:t>
      </w:r>
    </w:p>
    <w:p w14:paraId="714A07D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（2）建设单位提供的其他相关资料；</w:t>
      </w:r>
    </w:p>
    <w:p w14:paraId="73D9EFB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（3）环境质量现状监测报告及质量保证单。</w:t>
      </w:r>
    </w:p>
    <w:p w14:paraId="6D2ED634">
      <w:pPr>
        <w:pStyle w:val="4"/>
        <w:ind w:left="0" w:leftChars="0" w:firstLineChars="0"/>
        <w:rPr>
          <w:rFonts w:hint="default" w:ascii="Times New Roman" w:hAnsi="Times New Roman" w:cs="Times New Roman"/>
          <w:color w:val="auto"/>
          <w:u w:val="none"/>
        </w:rPr>
      </w:pPr>
      <w:bookmarkStart w:id="30" w:name="_Toc1867"/>
      <w:bookmarkStart w:id="31" w:name="_Toc32689"/>
      <w:bookmarkStart w:id="32" w:name="_Toc6834"/>
      <w:r>
        <w:rPr>
          <w:rFonts w:hint="default" w:ascii="Times New Roman" w:hAnsi="Times New Roman" w:cs="Times New Roman"/>
          <w:color w:val="auto"/>
          <w:u w:val="none"/>
        </w:rPr>
        <w:t>环境影响识别与评价因子</w:t>
      </w:r>
      <w:bookmarkEnd w:id="30"/>
      <w:bookmarkEnd w:id="31"/>
      <w:bookmarkEnd w:id="32"/>
    </w:p>
    <w:p w14:paraId="3741E21A">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环境影响识别</w:t>
      </w:r>
    </w:p>
    <w:p w14:paraId="176BE4D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根据项目建设特征，项目区域环境现状，评价识别出项目建设影响的主要环境要素，详见表2.2-1。</w:t>
      </w:r>
    </w:p>
    <w:p w14:paraId="254C951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表2.2-1   环境要素识别</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13"/>
        <w:gridCol w:w="1115"/>
        <w:gridCol w:w="987"/>
        <w:gridCol w:w="1021"/>
        <w:gridCol w:w="1004"/>
        <w:gridCol w:w="733"/>
        <w:gridCol w:w="765"/>
        <w:gridCol w:w="749"/>
        <w:gridCol w:w="972"/>
        <w:gridCol w:w="972"/>
        <w:gridCol w:w="963"/>
      </w:tblGrid>
      <w:tr w14:paraId="1A9B3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439" w:type="dxa"/>
            <w:gridSpan w:val="2"/>
            <w:vMerge w:val="restart"/>
            <w:vAlign w:val="center"/>
          </w:tcPr>
          <w:p w14:paraId="537359BC">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时段</w:t>
            </w:r>
          </w:p>
        </w:tc>
        <w:tc>
          <w:tcPr>
            <w:tcW w:w="3525" w:type="dxa"/>
            <w:gridSpan w:val="4"/>
            <w:vAlign w:val="center"/>
          </w:tcPr>
          <w:p w14:paraId="60F4451F">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自然环境</w:t>
            </w:r>
          </w:p>
        </w:tc>
        <w:tc>
          <w:tcPr>
            <w:tcW w:w="1425" w:type="dxa"/>
            <w:gridSpan w:val="2"/>
            <w:vAlign w:val="center"/>
          </w:tcPr>
          <w:p w14:paraId="62F6EC16">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生态环境</w:t>
            </w:r>
          </w:p>
        </w:tc>
        <w:tc>
          <w:tcPr>
            <w:tcW w:w="2737" w:type="dxa"/>
            <w:gridSpan w:val="3"/>
            <w:vAlign w:val="center"/>
          </w:tcPr>
          <w:p w14:paraId="02AFA957">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生活质量</w:t>
            </w:r>
          </w:p>
        </w:tc>
      </w:tr>
      <w:tr w14:paraId="52D2C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439" w:type="dxa"/>
            <w:gridSpan w:val="2"/>
            <w:vMerge w:val="continue"/>
            <w:vAlign w:val="center"/>
          </w:tcPr>
          <w:p w14:paraId="203A9219">
            <w:pPr>
              <w:pStyle w:val="41"/>
              <w:rPr>
                <w:rFonts w:hint="default" w:ascii="Times New Roman" w:hAnsi="Times New Roman" w:cs="Times New Roman"/>
                <w:b/>
                <w:bCs/>
                <w:color w:val="auto"/>
                <w:kern w:val="2"/>
                <w:szCs w:val="24"/>
                <w:u w:val="none"/>
              </w:rPr>
            </w:pPr>
          </w:p>
        </w:tc>
        <w:tc>
          <w:tcPr>
            <w:tcW w:w="929" w:type="dxa"/>
            <w:vAlign w:val="center"/>
          </w:tcPr>
          <w:p w14:paraId="2F80C1F4">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地表水</w:t>
            </w:r>
          </w:p>
        </w:tc>
        <w:tc>
          <w:tcPr>
            <w:tcW w:w="961" w:type="dxa"/>
            <w:vAlign w:val="center"/>
          </w:tcPr>
          <w:p w14:paraId="283C6AE9">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大气质量</w:t>
            </w:r>
          </w:p>
        </w:tc>
        <w:tc>
          <w:tcPr>
            <w:tcW w:w="945" w:type="dxa"/>
            <w:vAlign w:val="center"/>
          </w:tcPr>
          <w:p w14:paraId="25A651BA">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地下水质</w:t>
            </w:r>
          </w:p>
        </w:tc>
        <w:tc>
          <w:tcPr>
            <w:tcW w:w="690" w:type="dxa"/>
            <w:vAlign w:val="center"/>
          </w:tcPr>
          <w:p w14:paraId="72AC9E78">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声环境</w:t>
            </w:r>
          </w:p>
        </w:tc>
        <w:tc>
          <w:tcPr>
            <w:tcW w:w="720" w:type="dxa"/>
            <w:vAlign w:val="center"/>
          </w:tcPr>
          <w:p w14:paraId="086A5AA1">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植被</w:t>
            </w:r>
          </w:p>
        </w:tc>
        <w:tc>
          <w:tcPr>
            <w:tcW w:w="705" w:type="dxa"/>
            <w:vAlign w:val="center"/>
          </w:tcPr>
          <w:p w14:paraId="749669DE">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景观</w:t>
            </w:r>
          </w:p>
        </w:tc>
        <w:tc>
          <w:tcPr>
            <w:tcW w:w="915" w:type="dxa"/>
            <w:vAlign w:val="center"/>
          </w:tcPr>
          <w:p w14:paraId="73852522">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人口就业</w:t>
            </w:r>
          </w:p>
        </w:tc>
        <w:tc>
          <w:tcPr>
            <w:tcW w:w="915" w:type="dxa"/>
            <w:vAlign w:val="center"/>
          </w:tcPr>
          <w:p w14:paraId="76AB3C67">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公众健康</w:t>
            </w:r>
          </w:p>
        </w:tc>
        <w:tc>
          <w:tcPr>
            <w:tcW w:w="907" w:type="dxa"/>
            <w:vAlign w:val="center"/>
          </w:tcPr>
          <w:p w14:paraId="2F5E27E1">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生活水平</w:t>
            </w:r>
          </w:p>
        </w:tc>
      </w:tr>
      <w:tr w14:paraId="37D5CA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restart"/>
            <w:vAlign w:val="center"/>
          </w:tcPr>
          <w:p w14:paraId="17BDDECE">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施工期</w:t>
            </w:r>
          </w:p>
        </w:tc>
        <w:tc>
          <w:tcPr>
            <w:tcW w:w="1050" w:type="dxa"/>
            <w:vAlign w:val="center"/>
          </w:tcPr>
          <w:p w14:paraId="0391AD1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挖填土方</w:t>
            </w:r>
          </w:p>
        </w:tc>
        <w:tc>
          <w:tcPr>
            <w:tcW w:w="929" w:type="dxa"/>
            <w:vAlign w:val="center"/>
          </w:tcPr>
          <w:p w14:paraId="51DF32D6">
            <w:pPr>
              <w:pStyle w:val="41"/>
              <w:rPr>
                <w:rFonts w:hint="default" w:ascii="Times New Roman" w:hAnsi="Times New Roman" w:cs="Times New Roman"/>
                <w:color w:val="auto"/>
                <w:kern w:val="2"/>
                <w:szCs w:val="24"/>
                <w:u w:val="none"/>
              </w:rPr>
            </w:pPr>
          </w:p>
        </w:tc>
        <w:tc>
          <w:tcPr>
            <w:tcW w:w="961" w:type="dxa"/>
            <w:vAlign w:val="center"/>
          </w:tcPr>
          <w:p w14:paraId="3C092686">
            <w:pPr>
              <w:pStyle w:val="41"/>
              <w:rPr>
                <w:rFonts w:hint="default" w:ascii="Times New Roman" w:hAnsi="Times New Roman" w:cs="Times New Roman"/>
                <w:color w:val="auto"/>
                <w:kern w:val="2"/>
                <w:szCs w:val="24"/>
                <w:u w:val="none"/>
              </w:rPr>
            </w:pPr>
          </w:p>
        </w:tc>
        <w:tc>
          <w:tcPr>
            <w:tcW w:w="945" w:type="dxa"/>
            <w:vAlign w:val="center"/>
          </w:tcPr>
          <w:p w14:paraId="2170B658">
            <w:pPr>
              <w:pStyle w:val="41"/>
              <w:rPr>
                <w:rFonts w:hint="default" w:ascii="Times New Roman" w:hAnsi="Times New Roman" w:cs="Times New Roman"/>
                <w:color w:val="auto"/>
                <w:kern w:val="2"/>
                <w:szCs w:val="24"/>
                <w:u w:val="none"/>
              </w:rPr>
            </w:pPr>
          </w:p>
        </w:tc>
        <w:tc>
          <w:tcPr>
            <w:tcW w:w="690" w:type="dxa"/>
            <w:vAlign w:val="center"/>
          </w:tcPr>
          <w:p w14:paraId="314920D5">
            <w:pPr>
              <w:pStyle w:val="41"/>
              <w:rPr>
                <w:rFonts w:hint="default" w:ascii="Times New Roman" w:hAnsi="Times New Roman" w:cs="Times New Roman"/>
                <w:color w:val="auto"/>
                <w:kern w:val="2"/>
                <w:szCs w:val="24"/>
                <w:u w:val="none"/>
              </w:rPr>
            </w:pPr>
          </w:p>
        </w:tc>
        <w:tc>
          <w:tcPr>
            <w:tcW w:w="720" w:type="dxa"/>
            <w:vAlign w:val="center"/>
          </w:tcPr>
          <w:p w14:paraId="2926EF2E">
            <w:pPr>
              <w:pStyle w:val="41"/>
              <w:rPr>
                <w:rFonts w:hint="default" w:ascii="Times New Roman" w:hAnsi="Times New Roman" w:cs="Times New Roman"/>
                <w:color w:val="auto"/>
                <w:kern w:val="2"/>
                <w:szCs w:val="24"/>
                <w:u w:val="none"/>
              </w:rPr>
            </w:pPr>
          </w:p>
        </w:tc>
        <w:tc>
          <w:tcPr>
            <w:tcW w:w="705" w:type="dxa"/>
            <w:vAlign w:val="center"/>
          </w:tcPr>
          <w:p w14:paraId="0FECFEB1">
            <w:pPr>
              <w:pStyle w:val="41"/>
              <w:rPr>
                <w:rFonts w:hint="default" w:ascii="Times New Roman" w:hAnsi="Times New Roman" w:cs="Times New Roman"/>
                <w:color w:val="auto"/>
                <w:kern w:val="2"/>
                <w:szCs w:val="24"/>
                <w:u w:val="none"/>
              </w:rPr>
            </w:pPr>
          </w:p>
        </w:tc>
        <w:tc>
          <w:tcPr>
            <w:tcW w:w="915" w:type="dxa"/>
            <w:vAlign w:val="center"/>
          </w:tcPr>
          <w:p w14:paraId="6B6E8534">
            <w:pPr>
              <w:pStyle w:val="41"/>
              <w:rPr>
                <w:rFonts w:hint="default" w:ascii="Times New Roman" w:hAnsi="Times New Roman" w:cs="Times New Roman"/>
                <w:color w:val="auto"/>
                <w:kern w:val="2"/>
                <w:szCs w:val="24"/>
                <w:u w:val="none"/>
              </w:rPr>
            </w:pPr>
          </w:p>
        </w:tc>
        <w:tc>
          <w:tcPr>
            <w:tcW w:w="915" w:type="dxa"/>
            <w:vAlign w:val="center"/>
          </w:tcPr>
          <w:p w14:paraId="56A5B25D">
            <w:pPr>
              <w:pStyle w:val="41"/>
              <w:rPr>
                <w:rFonts w:hint="default" w:ascii="Times New Roman" w:hAnsi="Times New Roman" w:cs="Times New Roman"/>
                <w:color w:val="auto"/>
                <w:kern w:val="2"/>
                <w:szCs w:val="24"/>
                <w:u w:val="none"/>
              </w:rPr>
            </w:pPr>
          </w:p>
        </w:tc>
        <w:tc>
          <w:tcPr>
            <w:tcW w:w="907" w:type="dxa"/>
            <w:vAlign w:val="center"/>
          </w:tcPr>
          <w:p w14:paraId="6070CA28">
            <w:pPr>
              <w:pStyle w:val="41"/>
              <w:rPr>
                <w:rFonts w:hint="default" w:ascii="Times New Roman" w:hAnsi="Times New Roman" w:cs="Times New Roman"/>
                <w:color w:val="auto"/>
                <w:kern w:val="2"/>
                <w:szCs w:val="24"/>
                <w:u w:val="none"/>
              </w:rPr>
            </w:pPr>
          </w:p>
        </w:tc>
      </w:tr>
      <w:tr w14:paraId="72C7C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1915CAFE">
            <w:pPr>
              <w:pStyle w:val="41"/>
              <w:rPr>
                <w:rFonts w:hint="default" w:ascii="Times New Roman" w:hAnsi="Times New Roman" w:cs="Times New Roman"/>
                <w:color w:val="auto"/>
                <w:kern w:val="2"/>
                <w:szCs w:val="24"/>
                <w:u w:val="none"/>
              </w:rPr>
            </w:pPr>
          </w:p>
        </w:tc>
        <w:tc>
          <w:tcPr>
            <w:tcW w:w="1050" w:type="dxa"/>
            <w:vAlign w:val="center"/>
          </w:tcPr>
          <w:p w14:paraId="5A8E1D7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材料堆存</w:t>
            </w:r>
          </w:p>
        </w:tc>
        <w:tc>
          <w:tcPr>
            <w:tcW w:w="929" w:type="dxa"/>
            <w:vAlign w:val="center"/>
          </w:tcPr>
          <w:p w14:paraId="79FA27F8">
            <w:pPr>
              <w:pStyle w:val="41"/>
              <w:rPr>
                <w:rFonts w:hint="default" w:ascii="Times New Roman" w:hAnsi="Times New Roman" w:cs="Times New Roman"/>
                <w:color w:val="auto"/>
                <w:kern w:val="2"/>
                <w:szCs w:val="24"/>
                <w:u w:val="none"/>
              </w:rPr>
            </w:pPr>
          </w:p>
        </w:tc>
        <w:tc>
          <w:tcPr>
            <w:tcW w:w="961" w:type="dxa"/>
            <w:vAlign w:val="center"/>
          </w:tcPr>
          <w:p w14:paraId="5048743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45" w:type="dxa"/>
            <w:vAlign w:val="center"/>
          </w:tcPr>
          <w:p w14:paraId="2FB6D33E">
            <w:pPr>
              <w:pStyle w:val="41"/>
              <w:rPr>
                <w:rFonts w:hint="default" w:ascii="Times New Roman" w:hAnsi="Times New Roman" w:cs="Times New Roman"/>
                <w:color w:val="auto"/>
                <w:kern w:val="2"/>
                <w:szCs w:val="24"/>
                <w:u w:val="none"/>
              </w:rPr>
            </w:pPr>
          </w:p>
        </w:tc>
        <w:tc>
          <w:tcPr>
            <w:tcW w:w="690" w:type="dxa"/>
            <w:vAlign w:val="center"/>
          </w:tcPr>
          <w:p w14:paraId="4C72728F">
            <w:pPr>
              <w:pStyle w:val="41"/>
              <w:rPr>
                <w:rFonts w:hint="default" w:ascii="Times New Roman" w:hAnsi="Times New Roman" w:cs="Times New Roman"/>
                <w:color w:val="auto"/>
                <w:kern w:val="2"/>
                <w:szCs w:val="24"/>
                <w:u w:val="none"/>
              </w:rPr>
            </w:pPr>
          </w:p>
        </w:tc>
        <w:tc>
          <w:tcPr>
            <w:tcW w:w="720" w:type="dxa"/>
            <w:vAlign w:val="center"/>
          </w:tcPr>
          <w:p w14:paraId="77D12EF9">
            <w:pPr>
              <w:pStyle w:val="41"/>
              <w:rPr>
                <w:rFonts w:hint="default" w:ascii="Times New Roman" w:hAnsi="Times New Roman" w:cs="Times New Roman"/>
                <w:color w:val="auto"/>
                <w:kern w:val="2"/>
                <w:szCs w:val="24"/>
                <w:u w:val="none"/>
              </w:rPr>
            </w:pPr>
          </w:p>
        </w:tc>
        <w:tc>
          <w:tcPr>
            <w:tcW w:w="705" w:type="dxa"/>
            <w:vAlign w:val="center"/>
          </w:tcPr>
          <w:p w14:paraId="2760E6F8">
            <w:pPr>
              <w:pStyle w:val="41"/>
              <w:rPr>
                <w:rFonts w:hint="default" w:ascii="Times New Roman" w:hAnsi="Times New Roman" w:cs="Times New Roman"/>
                <w:color w:val="auto"/>
                <w:kern w:val="2"/>
                <w:szCs w:val="24"/>
                <w:u w:val="none"/>
              </w:rPr>
            </w:pPr>
          </w:p>
        </w:tc>
        <w:tc>
          <w:tcPr>
            <w:tcW w:w="915" w:type="dxa"/>
            <w:vAlign w:val="center"/>
          </w:tcPr>
          <w:p w14:paraId="7A792145">
            <w:pPr>
              <w:pStyle w:val="41"/>
              <w:rPr>
                <w:rFonts w:hint="default" w:ascii="Times New Roman" w:hAnsi="Times New Roman" w:cs="Times New Roman"/>
                <w:color w:val="auto"/>
                <w:kern w:val="2"/>
                <w:szCs w:val="24"/>
                <w:u w:val="none"/>
              </w:rPr>
            </w:pPr>
          </w:p>
        </w:tc>
        <w:tc>
          <w:tcPr>
            <w:tcW w:w="915" w:type="dxa"/>
            <w:vAlign w:val="center"/>
          </w:tcPr>
          <w:p w14:paraId="4DDF0F1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07" w:type="dxa"/>
            <w:vAlign w:val="center"/>
          </w:tcPr>
          <w:p w14:paraId="5DB531E9">
            <w:pPr>
              <w:pStyle w:val="41"/>
              <w:rPr>
                <w:rFonts w:hint="default" w:ascii="Times New Roman" w:hAnsi="Times New Roman" w:cs="Times New Roman"/>
                <w:color w:val="auto"/>
                <w:kern w:val="2"/>
                <w:szCs w:val="24"/>
                <w:u w:val="none"/>
              </w:rPr>
            </w:pPr>
          </w:p>
        </w:tc>
      </w:tr>
      <w:tr w14:paraId="6F5A4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77AFEE35">
            <w:pPr>
              <w:pStyle w:val="41"/>
              <w:rPr>
                <w:rFonts w:hint="default" w:ascii="Times New Roman" w:hAnsi="Times New Roman" w:cs="Times New Roman"/>
                <w:color w:val="auto"/>
                <w:kern w:val="2"/>
                <w:szCs w:val="24"/>
                <w:u w:val="none"/>
              </w:rPr>
            </w:pPr>
          </w:p>
        </w:tc>
        <w:tc>
          <w:tcPr>
            <w:tcW w:w="1050" w:type="dxa"/>
            <w:vAlign w:val="center"/>
          </w:tcPr>
          <w:p w14:paraId="54A7CB5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建筑施工</w:t>
            </w:r>
          </w:p>
        </w:tc>
        <w:tc>
          <w:tcPr>
            <w:tcW w:w="929" w:type="dxa"/>
            <w:vAlign w:val="center"/>
          </w:tcPr>
          <w:p w14:paraId="644F15FD">
            <w:pPr>
              <w:pStyle w:val="41"/>
              <w:rPr>
                <w:rFonts w:hint="default" w:ascii="Times New Roman" w:hAnsi="Times New Roman" w:cs="Times New Roman"/>
                <w:color w:val="auto"/>
                <w:kern w:val="2"/>
                <w:szCs w:val="24"/>
                <w:u w:val="none"/>
              </w:rPr>
            </w:pPr>
          </w:p>
        </w:tc>
        <w:tc>
          <w:tcPr>
            <w:tcW w:w="961" w:type="dxa"/>
            <w:vAlign w:val="center"/>
          </w:tcPr>
          <w:p w14:paraId="3CC4C3F9">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45" w:type="dxa"/>
            <w:vAlign w:val="center"/>
          </w:tcPr>
          <w:p w14:paraId="5DC3F8A4">
            <w:pPr>
              <w:pStyle w:val="41"/>
              <w:rPr>
                <w:rFonts w:hint="default" w:ascii="Times New Roman" w:hAnsi="Times New Roman" w:cs="Times New Roman"/>
                <w:color w:val="auto"/>
                <w:kern w:val="2"/>
                <w:szCs w:val="24"/>
                <w:u w:val="none"/>
              </w:rPr>
            </w:pPr>
          </w:p>
        </w:tc>
        <w:tc>
          <w:tcPr>
            <w:tcW w:w="690" w:type="dxa"/>
            <w:vAlign w:val="center"/>
          </w:tcPr>
          <w:p w14:paraId="53184F8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720" w:type="dxa"/>
            <w:vAlign w:val="center"/>
          </w:tcPr>
          <w:p w14:paraId="7FAE61FF">
            <w:pPr>
              <w:pStyle w:val="41"/>
              <w:rPr>
                <w:rFonts w:hint="default" w:ascii="Times New Roman" w:hAnsi="Times New Roman" w:cs="Times New Roman"/>
                <w:color w:val="auto"/>
                <w:kern w:val="2"/>
                <w:szCs w:val="24"/>
                <w:u w:val="none"/>
              </w:rPr>
            </w:pPr>
          </w:p>
        </w:tc>
        <w:tc>
          <w:tcPr>
            <w:tcW w:w="705" w:type="dxa"/>
            <w:vAlign w:val="center"/>
          </w:tcPr>
          <w:p w14:paraId="124439CD">
            <w:pPr>
              <w:pStyle w:val="41"/>
              <w:rPr>
                <w:rFonts w:hint="default" w:ascii="Times New Roman" w:hAnsi="Times New Roman" w:cs="Times New Roman"/>
                <w:color w:val="auto"/>
                <w:kern w:val="2"/>
                <w:szCs w:val="24"/>
                <w:u w:val="none"/>
              </w:rPr>
            </w:pPr>
          </w:p>
        </w:tc>
        <w:tc>
          <w:tcPr>
            <w:tcW w:w="915" w:type="dxa"/>
            <w:vAlign w:val="center"/>
          </w:tcPr>
          <w:p w14:paraId="2B1537C0">
            <w:pPr>
              <w:pStyle w:val="41"/>
              <w:rPr>
                <w:rFonts w:hint="default" w:ascii="Times New Roman" w:hAnsi="Times New Roman" w:cs="Times New Roman"/>
                <w:color w:val="auto"/>
                <w:kern w:val="2"/>
                <w:szCs w:val="24"/>
                <w:u w:val="none"/>
              </w:rPr>
            </w:pPr>
          </w:p>
        </w:tc>
        <w:tc>
          <w:tcPr>
            <w:tcW w:w="915" w:type="dxa"/>
            <w:vAlign w:val="center"/>
          </w:tcPr>
          <w:p w14:paraId="6E8915DE">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07" w:type="dxa"/>
            <w:vAlign w:val="center"/>
          </w:tcPr>
          <w:p w14:paraId="47586492">
            <w:pPr>
              <w:pStyle w:val="41"/>
              <w:rPr>
                <w:rFonts w:hint="default" w:ascii="Times New Roman" w:hAnsi="Times New Roman" w:cs="Times New Roman"/>
                <w:color w:val="auto"/>
                <w:kern w:val="2"/>
                <w:szCs w:val="24"/>
                <w:u w:val="none"/>
              </w:rPr>
            </w:pPr>
          </w:p>
        </w:tc>
      </w:tr>
      <w:tr w14:paraId="2DE4B5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3E134922">
            <w:pPr>
              <w:pStyle w:val="41"/>
              <w:rPr>
                <w:rFonts w:hint="default" w:ascii="Times New Roman" w:hAnsi="Times New Roman" w:cs="Times New Roman"/>
                <w:color w:val="auto"/>
                <w:kern w:val="2"/>
                <w:szCs w:val="24"/>
                <w:u w:val="none"/>
              </w:rPr>
            </w:pPr>
          </w:p>
        </w:tc>
        <w:tc>
          <w:tcPr>
            <w:tcW w:w="1050" w:type="dxa"/>
            <w:vAlign w:val="center"/>
          </w:tcPr>
          <w:p w14:paraId="0C0939E9">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物品运输</w:t>
            </w:r>
          </w:p>
        </w:tc>
        <w:tc>
          <w:tcPr>
            <w:tcW w:w="929" w:type="dxa"/>
            <w:vAlign w:val="center"/>
          </w:tcPr>
          <w:p w14:paraId="60C25744">
            <w:pPr>
              <w:pStyle w:val="41"/>
              <w:rPr>
                <w:rFonts w:hint="default" w:ascii="Times New Roman" w:hAnsi="Times New Roman" w:cs="Times New Roman"/>
                <w:color w:val="auto"/>
                <w:kern w:val="2"/>
                <w:szCs w:val="24"/>
                <w:u w:val="none"/>
              </w:rPr>
            </w:pPr>
          </w:p>
        </w:tc>
        <w:tc>
          <w:tcPr>
            <w:tcW w:w="961" w:type="dxa"/>
            <w:vAlign w:val="center"/>
          </w:tcPr>
          <w:p w14:paraId="4BA20F90">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45" w:type="dxa"/>
            <w:vAlign w:val="center"/>
          </w:tcPr>
          <w:p w14:paraId="5DD0CF22">
            <w:pPr>
              <w:pStyle w:val="41"/>
              <w:rPr>
                <w:rFonts w:hint="default" w:ascii="Times New Roman" w:hAnsi="Times New Roman" w:cs="Times New Roman"/>
                <w:color w:val="auto"/>
                <w:kern w:val="2"/>
                <w:szCs w:val="24"/>
                <w:u w:val="none"/>
              </w:rPr>
            </w:pPr>
          </w:p>
        </w:tc>
        <w:tc>
          <w:tcPr>
            <w:tcW w:w="690" w:type="dxa"/>
            <w:vAlign w:val="center"/>
          </w:tcPr>
          <w:p w14:paraId="6BFEF41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720" w:type="dxa"/>
            <w:vAlign w:val="center"/>
          </w:tcPr>
          <w:p w14:paraId="23336807">
            <w:pPr>
              <w:pStyle w:val="41"/>
              <w:rPr>
                <w:rFonts w:hint="default" w:ascii="Times New Roman" w:hAnsi="Times New Roman" w:cs="Times New Roman"/>
                <w:color w:val="auto"/>
                <w:kern w:val="2"/>
                <w:szCs w:val="24"/>
                <w:u w:val="none"/>
              </w:rPr>
            </w:pPr>
          </w:p>
        </w:tc>
        <w:tc>
          <w:tcPr>
            <w:tcW w:w="705" w:type="dxa"/>
            <w:vAlign w:val="center"/>
          </w:tcPr>
          <w:p w14:paraId="5A12DF18">
            <w:pPr>
              <w:pStyle w:val="41"/>
              <w:rPr>
                <w:rFonts w:hint="default" w:ascii="Times New Roman" w:hAnsi="Times New Roman" w:cs="Times New Roman"/>
                <w:color w:val="auto"/>
                <w:kern w:val="2"/>
                <w:szCs w:val="24"/>
                <w:u w:val="none"/>
              </w:rPr>
            </w:pPr>
          </w:p>
        </w:tc>
        <w:tc>
          <w:tcPr>
            <w:tcW w:w="915" w:type="dxa"/>
            <w:vAlign w:val="center"/>
          </w:tcPr>
          <w:p w14:paraId="2AC21386">
            <w:pPr>
              <w:pStyle w:val="41"/>
              <w:rPr>
                <w:rFonts w:hint="default" w:ascii="Times New Roman" w:hAnsi="Times New Roman" w:cs="Times New Roman"/>
                <w:color w:val="auto"/>
                <w:kern w:val="2"/>
                <w:szCs w:val="24"/>
                <w:u w:val="none"/>
              </w:rPr>
            </w:pPr>
          </w:p>
        </w:tc>
        <w:tc>
          <w:tcPr>
            <w:tcW w:w="915" w:type="dxa"/>
            <w:vAlign w:val="center"/>
          </w:tcPr>
          <w:p w14:paraId="2B870D27">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07" w:type="dxa"/>
            <w:vAlign w:val="center"/>
          </w:tcPr>
          <w:p w14:paraId="1C60395C">
            <w:pPr>
              <w:pStyle w:val="41"/>
              <w:rPr>
                <w:rFonts w:hint="default" w:ascii="Times New Roman" w:hAnsi="Times New Roman" w:cs="Times New Roman"/>
                <w:color w:val="auto"/>
                <w:kern w:val="2"/>
                <w:szCs w:val="24"/>
                <w:u w:val="none"/>
              </w:rPr>
            </w:pPr>
          </w:p>
        </w:tc>
      </w:tr>
      <w:tr w14:paraId="316B5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restart"/>
            <w:vAlign w:val="center"/>
          </w:tcPr>
          <w:p w14:paraId="730B4E3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运营期</w:t>
            </w:r>
          </w:p>
        </w:tc>
        <w:tc>
          <w:tcPr>
            <w:tcW w:w="1050" w:type="dxa"/>
            <w:vAlign w:val="center"/>
          </w:tcPr>
          <w:p w14:paraId="5821683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物料运输</w:t>
            </w:r>
          </w:p>
        </w:tc>
        <w:tc>
          <w:tcPr>
            <w:tcW w:w="929" w:type="dxa"/>
            <w:vAlign w:val="center"/>
          </w:tcPr>
          <w:p w14:paraId="2C65346F">
            <w:pPr>
              <w:pStyle w:val="41"/>
              <w:rPr>
                <w:rFonts w:hint="default" w:ascii="Times New Roman" w:hAnsi="Times New Roman" w:cs="Times New Roman"/>
                <w:color w:val="auto"/>
                <w:kern w:val="2"/>
                <w:szCs w:val="24"/>
                <w:u w:val="none"/>
              </w:rPr>
            </w:pPr>
          </w:p>
        </w:tc>
        <w:tc>
          <w:tcPr>
            <w:tcW w:w="961" w:type="dxa"/>
            <w:vAlign w:val="center"/>
          </w:tcPr>
          <w:p w14:paraId="0E9224EB">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45" w:type="dxa"/>
            <w:vAlign w:val="center"/>
          </w:tcPr>
          <w:p w14:paraId="11B5C1D0">
            <w:pPr>
              <w:pStyle w:val="41"/>
              <w:rPr>
                <w:rFonts w:hint="default" w:ascii="Times New Roman" w:hAnsi="Times New Roman" w:cs="Times New Roman"/>
                <w:color w:val="auto"/>
                <w:kern w:val="2"/>
                <w:szCs w:val="24"/>
                <w:u w:val="none"/>
              </w:rPr>
            </w:pPr>
          </w:p>
        </w:tc>
        <w:tc>
          <w:tcPr>
            <w:tcW w:w="690" w:type="dxa"/>
            <w:vAlign w:val="center"/>
          </w:tcPr>
          <w:p w14:paraId="5EBB902E">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720" w:type="dxa"/>
            <w:vAlign w:val="center"/>
          </w:tcPr>
          <w:p w14:paraId="65590955">
            <w:pPr>
              <w:pStyle w:val="41"/>
              <w:rPr>
                <w:rFonts w:hint="default" w:ascii="Times New Roman" w:hAnsi="Times New Roman" w:cs="Times New Roman"/>
                <w:color w:val="auto"/>
                <w:kern w:val="2"/>
                <w:szCs w:val="24"/>
                <w:u w:val="none"/>
              </w:rPr>
            </w:pPr>
          </w:p>
        </w:tc>
        <w:tc>
          <w:tcPr>
            <w:tcW w:w="705" w:type="dxa"/>
            <w:vAlign w:val="center"/>
          </w:tcPr>
          <w:p w14:paraId="78963BFA">
            <w:pPr>
              <w:pStyle w:val="41"/>
              <w:rPr>
                <w:rFonts w:hint="default" w:ascii="Times New Roman" w:hAnsi="Times New Roman" w:cs="Times New Roman"/>
                <w:color w:val="auto"/>
                <w:kern w:val="2"/>
                <w:szCs w:val="24"/>
                <w:u w:val="none"/>
              </w:rPr>
            </w:pPr>
          </w:p>
        </w:tc>
        <w:tc>
          <w:tcPr>
            <w:tcW w:w="915" w:type="dxa"/>
            <w:vAlign w:val="center"/>
          </w:tcPr>
          <w:p w14:paraId="448BD002">
            <w:pPr>
              <w:pStyle w:val="41"/>
              <w:rPr>
                <w:rFonts w:hint="default" w:ascii="Times New Roman" w:hAnsi="Times New Roman" w:cs="Times New Roman"/>
                <w:color w:val="auto"/>
                <w:kern w:val="2"/>
                <w:szCs w:val="24"/>
                <w:u w:val="none"/>
              </w:rPr>
            </w:pPr>
          </w:p>
        </w:tc>
        <w:tc>
          <w:tcPr>
            <w:tcW w:w="915" w:type="dxa"/>
            <w:vAlign w:val="center"/>
          </w:tcPr>
          <w:p w14:paraId="6DD851FA">
            <w:pPr>
              <w:pStyle w:val="41"/>
              <w:rPr>
                <w:rFonts w:hint="default" w:ascii="Times New Roman" w:hAnsi="Times New Roman" w:cs="Times New Roman"/>
                <w:color w:val="auto"/>
                <w:kern w:val="2"/>
                <w:szCs w:val="24"/>
                <w:u w:val="none"/>
              </w:rPr>
            </w:pPr>
          </w:p>
        </w:tc>
        <w:tc>
          <w:tcPr>
            <w:tcW w:w="907" w:type="dxa"/>
            <w:vAlign w:val="center"/>
          </w:tcPr>
          <w:p w14:paraId="5E2ADE2E">
            <w:pPr>
              <w:pStyle w:val="41"/>
              <w:rPr>
                <w:rFonts w:hint="default" w:ascii="Times New Roman" w:hAnsi="Times New Roman" w:cs="Times New Roman"/>
                <w:color w:val="auto"/>
                <w:kern w:val="2"/>
                <w:szCs w:val="24"/>
                <w:u w:val="none"/>
              </w:rPr>
            </w:pPr>
          </w:p>
        </w:tc>
      </w:tr>
      <w:tr w14:paraId="45770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6A9A8217">
            <w:pPr>
              <w:pStyle w:val="41"/>
              <w:rPr>
                <w:rFonts w:hint="default" w:ascii="Times New Roman" w:hAnsi="Times New Roman" w:cs="Times New Roman"/>
                <w:color w:val="auto"/>
                <w:kern w:val="2"/>
                <w:szCs w:val="24"/>
                <w:u w:val="none"/>
              </w:rPr>
            </w:pPr>
          </w:p>
        </w:tc>
        <w:tc>
          <w:tcPr>
            <w:tcW w:w="1050" w:type="dxa"/>
            <w:vAlign w:val="center"/>
          </w:tcPr>
          <w:p w14:paraId="78350E4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产品生产</w:t>
            </w:r>
          </w:p>
        </w:tc>
        <w:tc>
          <w:tcPr>
            <w:tcW w:w="929" w:type="dxa"/>
            <w:vAlign w:val="center"/>
          </w:tcPr>
          <w:p w14:paraId="5ECC00E8">
            <w:pPr>
              <w:pStyle w:val="41"/>
              <w:rPr>
                <w:rFonts w:hint="default" w:ascii="Times New Roman" w:hAnsi="Times New Roman" w:cs="Times New Roman"/>
                <w:color w:val="auto"/>
                <w:kern w:val="2"/>
                <w:szCs w:val="24"/>
                <w:u w:val="none"/>
              </w:rPr>
            </w:pPr>
          </w:p>
        </w:tc>
        <w:tc>
          <w:tcPr>
            <w:tcW w:w="961" w:type="dxa"/>
            <w:vAlign w:val="center"/>
          </w:tcPr>
          <w:p w14:paraId="485EFF35">
            <w:pPr>
              <w:pStyle w:val="41"/>
              <w:rPr>
                <w:rFonts w:hint="default" w:ascii="Times New Roman" w:hAnsi="Times New Roman" w:cs="Times New Roman"/>
                <w:color w:val="auto"/>
                <w:kern w:val="2"/>
                <w:szCs w:val="24"/>
                <w:u w:val="none"/>
              </w:rPr>
            </w:pPr>
          </w:p>
        </w:tc>
        <w:tc>
          <w:tcPr>
            <w:tcW w:w="945" w:type="dxa"/>
            <w:vAlign w:val="center"/>
          </w:tcPr>
          <w:p w14:paraId="69521EE7">
            <w:pPr>
              <w:pStyle w:val="41"/>
              <w:rPr>
                <w:rFonts w:hint="default" w:ascii="Times New Roman" w:hAnsi="Times New Roman" w:cs="Times New Roman"/>
                <w:color w:val="auto"/>
                <w:kern w:val="2"/>
                <w:szCs w:val="24"/>
                <w:u w:val="none"/>
              </w:rPr>
            </w:pPr>
          </w:p>
        </w:tc>
        <w:tc>
          <w:tcPr>
            <w:tcW w:w="690" w:type="dxa"/>
            <w:vAlign w:val="center"/>
          </w:tcPr>
          <w:p w14:paraId="39262F23">
            <w:pPr>
              <w:pStyle w:val="41"/>
              <w:rPr>
                <w:rFonts w:hint="default" w:ascii="Times New Roman" w:hAnsi="Times New Roman" w:cs="Times New Roman"/>
                <w:color w:val="auto"/>
                <w:kern w:val="2"/>
                <w:szCs w:val="24"/>
                <w:u w:val="none"/>
              </w:rPr>
            </w:pPr>
          </w:p>
        </w:tc>
        <w:tc>
          <w:tcPr>
            <w:tcW w:w="720" w:type="dxa"/>
            <w:vAlign w:val="center"/>
          </w:tcPr>
          <w:p w14:paraId="0CA6127A">
            <w:pPr>
              <w:pStyle w:val="41"/>
              <w:rPr>
                <w:rFonts w:hint="default" w:ascii="Times New Roman" w:hAnsi="Times New Roman" w:cs="Times New Roman"/>
                <w:color w:val="auto"/>
                <w:kern w:val="2"/>
                <w:szCs w:val="24"/>
                <w:u w:val="none"/>
              </w:rPr>
            </w:pPr>
          </w:p>
        </w:tc>
        <w:tc>
          <w:tcPr>
            <w:tcW w:w="705" w:type="dxa"/>
            <w:vAlign w:val="center"/>
          </w:tcPr>
          <w:p w14:paraId="0E0003FF">
            <w:pPr>
              <w:pStyle w:val="41"/>
              <w:rPr>
                <w:rFonts w:hint="default" w:ascii="Times New Roman" w:hAnsi="Times New Roman" w:cs="Times New Roman"/>
                <w:color w:val="auto"/>
                <w:kern w:val="2"/>
                <w:szCs w:val="24"/>
                <w:u w:val="none"/>
              </w:rPr>
            </w:pPr>
          </w:p>
        </w:tc>
        <w:tc>
          <w:tcPr>
            <w:tcW w:w="915" w:type="dxa"/>
            <w:vAlign w:val="center"/>
          </w:tcPr>
          <w:p w14:paraId="71A2E3BB">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15" w:type="dxa"/>
            <w:vAlign w:val="center"/>
          </w:tcPr>
          <w:p w14:paraId="350654E4">
            <w:pPr>
              <w:pStyle w:val="41"/>
              <w:rPr>
                <w:rFonts w:hint="default" w:ascii="Times New Roman" w:hAnsi="Times New Roman" w:cs="Times New Roman"/>
                <w:color w:val="auto"/>
                <w:kern w:val="2"/>
                <w:szCs w:val="24"/>
                <w:u w:val="none"/>
              </w:rPr>
            </w:pPr>
          </w:p>
        </w:tc>
        <w:tc>
          <w:tcPr>
            <w:tcW w:w="907" w:type="dxa"/>
            <w:vAlign w:val="center"/>
          </w:tcPr>
          <w:p w14:paraId="4DC76F20">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r>
      <w:tr w14:paraId="7E8F9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3AAE11D0">
            <w:pPr>
              <w:pStyle w:val="41"/>
              <w:rPr>
                <w:rFonts w:hint="default" w:ascii="Times New Roman" w:hAnsi="Times New Roman" w:cs="Times New Roman"/>
                <w:color w:val="auto"/>
                <w:kern w:val="2"/>
                <w:szCs w:val="24"/>
                <w:u w:val="none"/>
              </w:rPr>
            </w:pPr>
          </w:p>
        </w:tc>
        <w:tc>
          <w:tcPr>
            <w:tcW w:w="1050" w:type="dxa"/>
            <w:vAlign w:val="center"/>
          </w:tcPr>
          <w:p w14:paraId="494C0EB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废气排放</w:t>
            </w:r>
          </w:p>
        </w:tc>
        <w:tc>
          <w:tcPr>
            <w:tcW w:w="929" w:type="dxa"/>
            <w:vAlign w:val="center"/>
          </w:tcPr>
          <w:p w14:paraId="16C1FAAE">
            <w:pPr>
              <w:pStyle w:val="41"/>
              <w:rPr>
                <w:rFonts w:hint="default" w:ascii="Times New Roman" w:hAnsi="Times New Roman" w:cs="Times New Roman"/>
                <w:color w:val="auto"/>
                <w:kern w:val="2"/>
                <w:szCs w:val="24"/>
                <w:u w:val="none"/>
              </w:rPr>
            </w:pPr>
          </w:p>
        </w:tc>
        <w:tc>
          <w:tcPr>
            <w:tcW w:w="961" w:type="dxa"/>
            <w:vAlign w:val="center"/>
          </w:tcPr>
          <w:p w14:paraId="751594BB">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45" w:type="dxa"/>
            <w:vAlign w:val="center"/>
          </w:tcPr>
          <w:p w14:paraId="7D7A1182">
            <w:pPr>
              <w:pStyle w:val="41"/>
              <w:rPr>
                <w:rFonts w:hint="default" w:ascii="Times New Roman" w:hAnsi="Times New Roman" w:cs="Times New Roman"/>
                <w:color w:val="auto"/>
                <w:kern w:val="2"/>
                <w:szCs w:val="24"/>
                <w:u w:val="none"/>
              </w:rPr>
            </w:pPr>
          </w:p>
        </w:tc>
        <w:tc>
          <w:tcPr>
            <w:tcW w:w="690" w:type="dxa"/>
            <w:vAlign w:val="center"/>
          </w:tcPr>
          <w:p w14:paraId="6706FCD0">
            <w:pPr>
              <w:pStyle w:val="41"/>
              <w:rPr>
                <w:rFonts w:hint="default" w:ascii="Times New Roman" w:hAnsi="Times New Roman" w:cs="Times New Roman"/>
                <w:color w:val="auto"/>
                <w:kern w:val="2"/>
                <w:szCs w:val="24"/>
                <w:u w:val="none"/>
              </w:rPr>
            </w:pPr>
          </w:p>
        </w:tc>
        <w:tc>
          <w:tcPr>
            <w:tcW w:w="720" w:type="dxa"/>
            <w:vAlign w:val="center"/>
          </w:tcPr>
          <w:p w14:paraId="2533817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705" w:type="dxa"/>
            <w:vAlign w:val="center"/>
          </w:tcPr>
          <w:p w14:paraId="53918C0C">
            <w:pPr>
              <w:pStyle w:val="41"/>
              <w:rPr>
                <w:rFonts w:hint="default" w:ascii="Times New Roman" w:hAnsi="Times New Roman" w:cs="Times New Roman"/>
                <w:color w:val="auto"/>
                <w:kern w:val="2"/>
                <w:szCs w:val="24"/>
                <w:u w:val="none"/>
              </w:rPr>
            </w:pPr>
          </w:p>
        </w:tc>
        <w:tc>
          <w:tcPr>
            <w:tcW w:w="915" w:type="dxa"/>
            <w:vAlign w:val="center"/>
          </w:tcPr>
          <w:p w14:paraId="0E0EAED3">
            <w:pPr>
              <w:pStyle w:val="41"/>
              <w:rPr>
                <w:rFonts w:hint="default" w:ascii="Times New Roman" w:hAnsi="Times New Roman" w:cs="Times New Roman"/>
                <w:color w:val="auto"/>
                <w:kern w:val="2"/>
                <w:szCs w:val="24"/>
                <w:u w:val="none"/>
              </w:rPr>
            </w:pPr>
          </w:p>
        </w:tc>
        <w:tc>
          <w:tcPr>
            <w:tcW w:w="915" w:type="dxa"/>
            <w:vAlign w:val="center"/>
          </w:tcPr>
          <w:p w14:paraId="7A1AF8E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07" w:type="dxa"/>
            <w:vAlign w:val="center"/>
          </w:tcPr>
          <w:p w14:paraId="7F9D62BD">
            <w:pPr>
              <w:pStyle w:val="41"/>
              <w:rPr>
                <w:rFonts w:hint="default" w:ascii="Times New Roman" w:hAnsi="Times New Roman" w:cs="Times New Roman"/>
                <w:color w:val="auto"/>
                <w:kern w:val="2"/>
                <w:szCs w:val="24"/>
                <w:u w:val="none"/>
              </w:rPr>
            </w:pPr>
          </w:p>
        </w:tc>
      </w:tr>
      <w:tr w14:paraId="2859B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60620979">
            <w:pPr>
              <w:pStyle w:val="41"/>
              <w:rPr>
                <w:rFonts w:hint="default" w:ascii="Times New Roman" w:hAnsi="Times New Roman" w:cs="Times New Roman"/>
                <w:color w:val="auto"/>
                <w:kern w:val="2"/>
                <w:szCs w:val="24"/>
                <w:u w:val="none"/>
              </w:rPr>
            </w:pPr>
          </w:p>
        </w:tc>
        <w:tc>
          <w:tcPr>
            <w:tcW w:w="1050" w:type="dxa"/>
            <w:vAlign w:val="center"/>
          </w:tcPr>
          <w:p w14:paraId="310D866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废水排放</w:t>
            </w:r>
          </w:p>
        </w:tc>
        <w:tc>
          <w:tcPr>
            <w:tcW w:w="929" w:type="dxa"/>
            <w:vAlign w:val="center"/>
          </w:tcPr>
          <w:p w14:paraId="4B3F123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61" w:type="dxa"/>
            <w:vAlign w:val="center"/>
          </w:tcPr>
          <w:p w14:paraId="232BA4D7">
            <w:pPr>
              <w:pStyle w:val="41"/>
              <w:rPr>
                <w:rFonts w:hint="default" w:ascii="Times New Roman" w:hAnsi="Times New Roman" w:cs="Times New Roman"/>
                <w:color w:val="auto"/>
                <w:kern w:val="2"/>
                <w:szCs w:val="24"/>
                <w:u w:val="none"/>
              </w:rPr>
            </w:pPr>
          </w:p>
        </w:tc>
        <w:tc>
          <w:tcPr>
            <w:tcW w:w="945" w:type="dxa"/>
            <w:vAlign w:val="center"/>
          </w:tcPr>
          <w:p w14:paraId="2C2A7500">
            <w:pPr>
              <w:pStyle w:val="41"/>
              <w:rPr>
                <w:rFonts w:hint="default" w:ascii="Times New Roman" w:hAnsi="Times New Roman" w:cs="Times New Roman"/>
                <w:color w:val="auto"/>
                <w:kern w:val="2"/>
                <w:szCs w:val="24"/>
                <w:u w:val="none"/>
              </w:rPr>
            </w:pPr>
          </w:p>
        </w:tc>
        <w:tc>
          <w:tcPr>
            <w:tcW w:w="690" w:type="dxa"/>
            <w:vAlign w:val="center"/>
          </w:tcPr>
          <w:p w14:paraId="0763B721">
            <w:pPr>
              <w:pStyle w:val="41"/>
              <w:rPr>
                <w:rFonts w:hint="default" w:ascii="Times New Roman" w:hAnsi="Times New Roman" w:cs="Times New Roman"/>
                <w:color w:val="auto"/>
                <w:kern w:val="2"/>
                <w:szCs w:val="24"/>
                <w:u w:val="none"/>
              </w:rPr>
            </w:pPr>
          </w:p>
        </w:tc>
        <w:tc>
          <w:tcPr>
            <w:tcW w:w="720" w:type="dxa"/>
            <w:vAlign w:val="center"/>
          </w:tcPr>
          <w:p w14:paraId="4141BE1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705" w:type="dxa"/>
            <w:vAlign w:val="center"/>
          </w:tcPr>
          <w:p w14:paraId="46D4D008">
            <w:pPr>
              <w:pStyle w:val="41"/>
              <w:rPr>
                <w:rFonts w:hint="default" w:ascii="Times New Roman" w:hAnsi="Times New Roman" w:cs="Times New Roman"/>
                <w:color w:val="auto"/>
                <w:kern w:val="2"/>
                <w:szCs w:val="24"/>
                <w:u w:val="none"/>
              </w:rPr>
            </w:pPr>
          </w:p>
        </w:tc>
        <w:tc>
          <w:tcPr>
            <w:tcW w:w="915" w:type="dxa"/>
            <w:vAlign w:val="center"/>
          </w:tcPr>
          <w:p w14:paraId="3B2A7351">
            <w:pPr>
              <w:pStyle w:val="41"/>
              <w:rPr>
                <w:rFonts w:hint="default" w:ascii="Times New Roman" w:hAnsi="Times New Roman" w:cs="Times New Roman"/>
                <w:color w:val="auto"/>
                <w:kern w:val="2"/>
                <w:szCs w:val="24"/>
                <w:u w:val="none"/>
              </w:rPr>
            </w:pPr>
          </w:p>
        </w:tc>
        <w:tc>
          <w:tcPr>
            <w:tcW w:w="915" w:type="dxa"/>
            <w:vAlign w:val="center"/>
          </w:tcPr>
          <w:p w14:paraId="2281262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07" w:type="dxa"/>
            <w:vAlign w:val="center"/>
          </w:tcPr>
          <w:p w14:paraId="283BE7C3">
            <w:pPr>
              <w:pStyle w:val="41"/>
              <w:rPr>
                <w:rFonts w:hint="default" w:ascii="Times New Roman" w:hAnsi="Times New Roman" w:cs="Times New Roman"/>
                <w:color w:val="auto"/>
                <w:kern w:val="2"/>
                <w:szCs w:val="24"/>
                <w:u w:val="none"/>
              </w:rPr>
            </w:pPr>
          </w:p>
        </w:tc>
      </w:tr>
      <w:tr w14:paraId="1E01F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0C6EE6B5">
            <w:pPr>
              <w:pStyle w:val="41"/>
              <w:rPr>
                <w:rFonts w:hint="default" w:ascii="Times New Roman" w:hAnsi="Times New Roman" w:cs="Times New Roman"/>
                <w:color w:val="auto"/>
                <w:kern w:val="2"/>
                <w:szCs w:val="24"/>
                <w:u w:val="none"/>
              </w:rPr>
            </w:pPr>
          </w:p>
        </w:tc>
        <w:tc>
          <w:tcPr>
            <w:tcW w:w="1050" w:type="dxa"/>
            <w:vAlign w:val="center"/>
          </w:tcPr>
          <w:p w14:paraId="6D5F022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设备噪声</w:t>
            </w:r>
          </w:p>
        </w:tc>
        <w:tc>
          <w:tcPr>
            <w:tcW w:w="929" w:type="dxa"/>
            <w:vAlign w:val="center"/>
          </w:tcPr>
          <w:p w14:paraId="22A2B42B">
            <w:pPr>
              <w:pStyle w:val="41"/>
              <w:rPr>
                <w:rFonts w:hint="default" w:ascii="Times New Roman" w:hAnsi="Times New Roman" w:cs="Times New Roman"/>
                <w:color w:val="auto"/>
                <w:kern w:val="2"/>
                <w:szCs w:val="24"/>
                <w:u w:val="none"/>
              </w:rPr>
            </w:pPr>
          </w:p>
        </w:tc>
        <w:tc>
          <w:tcPr>
            <w:tcW w:w="961" w:type="dxa"/>
            <w:vAlign w:val="center"/>
          </w:tcPr>
          <w:p w14:paraId="169BA8A3">
            <w:pPr>
              <w:pStyle w:val="41"/>
              <w:rPr>
                <w:rFonts w:hint="default" w:ascii="Times New Roman" w:hAnsi="Times New Roman" w:cs="Times New Roman"/>
                <w:color w:val="auto"/>
                <w:kern w:val="2"/>
                <w:szCs w:val="24"/>
                <w:u w:val="none"/>
              </w:rPr>
            </w:pPr>
          </w:p>
        </w:tc>
        <w:tc>
          <w:tcPr>
            <w:tcW w:w="945" w:type="dxa"/>
            <w:vAlign w:val="center"/>
          </w:tcPr>
          <w:p w14:paraId="02E9CD5D">
            <w:pPr>
              <w:pStyle w:val="41"/>
              <w:rPr>
                <w:rFonts w:hint="default" w:ascii="Times New Roman" w:hAnsi="Times New Roman" w:cs="Times New Roman"/>
                <w:color w:val="auto"/>
                <w:kern w:val="2"/>
                <w:szCs w:val="24"/>
                <w:u w:val="none"/>
              </w:rPr>
            </w:pPr>
          </w:p>
        </w:tc>
        <w:tc>
          <w:tcPr>
            <w:tcW w:w="690" w:type="dxa"/>
            <w:vAlign w:val="center"/>
          </w:tcPr>
          <w:p w14:paraId="7EDAE82A">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720" w:type="dxa"/>
            <w:vAlign w:val="center"/>
          </w:tcPr>
          <w:p w14:paraId="56845AFB">
            <w:pPr>
              <w:pStyle w:val="41"/>
              <w:rPr>
                <w:rFonts w:hint="default" w:ascii="Times New Roman" w:hAnsi="Times New Roman" w:cs="Times New Roman"/>
                <w:color w:val="auto"/>
                <w:kern w:val="2"/>
                <w:szCs w:val="24"/>
                <w:u w:val="none"/>
              </w:rPr>
            </w:pPr>
          </w:p>
        </w:tc>
        <w:tc>
          <w:tcPr>
            <w:tcW w:w="705" w:type="dxa"/>
            <w:vAlign w:val="center"/>
          </w:tcPr>
          <w:p w14:paraId="7A01A85C">
            <w:pPr>
              <w:pStyle w:val="41"/>
              <w:rPr>
                <w:rFonts w:hint="default" w:ascii="Times New Roman" w:hAnsi="Times New Roman" w:cs="Times New Roman"/>
                <w:color w:val="auto"/>
                <w:kern w:val="2"/>
                <w:szCs w:val="24"/>
                <w:u w:val="none"/>
              </w:rPr>
            </w:pPr>
          </w:p>
        </w:tc>
        <w:tc>
          <w:tcPr>
            <w:tcW w:w="915" w:type="dxa"/>
            <w:vAlign w:val="center"/>
          </w:tcPr>
          <w:p w14:paraId="532A2172">
            <w:pPr>
              <w:pStyle w:val="41"/>
              <w:rPr>
                <w:rFonts w:hint="default" w:ascii="Times New Roman" w:hAnsi="Times New Roman" w:cs="Times New Roman"/>
                <w:color w:val="auto"/>
                <w:kern w:val="2"/>
                <w:szCs w:val="24"/>
                <w:u w:val="none"/>
              </w:rPr>
            </w:pPr>
          </w:p>
        </w:tc>
        <w:tc>
          <w:tcPr>
            <w:tcW w:w="915" w:type="dxa"/>
            <w:vAlign w:val="center"/>
          </w:tcPr>
          <w:p w14:paraId="3E013EA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w:t>
            </w:r>
          </w:p>
        </w:tc>
        <w:tc>
          <w:tcPr>
            <w:tcW w:w="907" w:type="dxa"/>
            <w:vAlign w:val="center"/>
          </w:tcPr>
          <w:p w14:paraId="47B7839F">
            <w:pPr>
              <w:pStyle w:val="41"/>
              <w:rPr>
                <w:rFonts w:hint="default" w:ascii="Times New Roman" w:hAnsi="Times New Roman" w:cs="Times New Roman"/>
                <w:color w:val="auto"/>
                <w:kern w:val="2"/>
                <w:szCs w:val="24"/>
                <w:u w:val="none"/>
              </w:rPr>
            </w:pPr>
          </w:p>
        </w:tc>
      </w:tr>
      <w:tr w14:paraId="64104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389" w:type="dxa"/>
            <w:vMerge w:val="continue"/>
            <w:vAlign w:val="center"/>
          </w:tcPr>
          <w:p w14:paraId="150425DA">
            <w:pPr>
              <w:pStyle w:val="41"/>
              <w:rPr>
                <w:rFonts w:hint="default" w:ascii="Times New Roman" w:hAnsi="Times New Roman" w:cs="Times New Roman"/>
                <w:color w:val="auto"/>
                <w:kern w:val="2"/>
                <w:szCs w:val="24"/>
                <w:u w:val="none"/>
              </w:rPr>
            </w:pPr>
          </w:p>
        </w:tc>
        <w:tc>
          <w:tcPr>
            <w:tcW w:w="1050" w:type="dxa"/>
            <w:vAlign w:val="center"/>
          </w:tcPr>
          <w:p w14:paraId="3D92F080">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固废堆放</w:t>
            </w:r>
          </w:p>
        </w:tc>
        <w:tc>
          <w:tcPr>
            <w:tcW w:w="929" w:type="dxa"/>
            <w:vAlign w:val="center"/>
          </w:tcPr>
          <w:p w14:paraId="22724E1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61" w:type="dxa"/>
            <w:vAlign w:val="center"/>
          </w:tcPr>
          <w:p w14:paraId="1979A759">
            <w:pPr>
              <w:pStyle w:val="41"/>
              <w:rPr>
                <w:rFonts w:hint="default" w:ascii="Times New Roman" w:hAnsi="Times New Roman" w:cs="Times New Roman"/>
                <w:color w:val="auto"/>
                <w:kern w:val="2"/>
                <w:szCs w:val="24"/>
                <w:u w:val="none"/>
              </w:rPr>
            </w:pPr>
          </w:p>
        </w:tc>
        <w:tc>
          <w:tcPr>
            <w:tcW w:w="945" w:type="dxa"/>
            <w:vAlign w:val="center"/>
          </w:tcPr>
          <w:p w14:paraId="508D1B9F">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690" w:type="dxa"/>
            <w:vAlign w:val="center"/>
          </w:tcPr>
          <w:p w14:paraId="395A6229">
            <w:pPr>
              <w:pStyle w:val="41"/>
              <w:rPr>
                <w:rFonts w:hint="default" w:ascii="Times New Roman" w:hAnsi="Times New Roman" w:cs="Times New Roman"/>
                <w:color w:val="auto"/>
                <w:kern w:val="2"/>
                <w:szCs w:val="24"/>
                <w:u w:val="none"/>
              </w:rPr>
            </w:pPr>
          </w:p>
        </w:tc>
        <w:tc>
          <w:tcPr>
            <w:tcW w:w="720" w:type="dxa"/>
            <w:vAlign w:val="center"/>
          </w:tcPr>
          <w:p w14:paraId="2DDF4677">
            <w:pPr>
              <w:pStyle w:val="41"/>
              <w:rPr>
                <w:rFonts w:hint="default" w:ascii="Times New Roman" w:hAnsi="Times New Roman" w:cs="Times New Roman"/>
                <w:color w:val="auto"/>
                <w:kern w:val="2"/>
                <w:szCs w:val="24"/>
                <w:u w:val="none"/>
              </w:rPr>
            </w:pPr>
          </w:p>
        </w:tc>
        <w:tc>
          <w:tcPr>
            <w:tcW w:w="705" w:type="dxa"/>
            <w:vAlign w:val="center"/>
          </w:tcPr>
          <w:p w14:paraId="01177EE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15" w:type="dxa"/>
            <w:vAlign w:val="center"/>
          </w:tcPr>
          <w:p w14:paraId="7946D5D3">
            <w:pPr>
              <w:pStyle w:val="41"/>
              <w:rPr>
                <w:rFonts w:hint="default" w:ascii="Times New Roman" w:hAnsi="Times New Roman" w:cs="Times New Roman"/>
                <w:color w:val="auto"/>
                <w:kern w:val="2"/>
                <w:szCs w:val="24"/>
                <w:u w:val="none"/>
              </w:rPr>
            </w:pPr>
          </w:p>
        </w:tc>
        <w:tc>
          <w:tcPr>
            <w:tcW w:w="915" w:type="dxa"/>
            <w:vAlign w:val="center"/>
          </w:tcPr>
          <w:p w14:paraId="3793247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-0△</w:t>
            </w:r>
          </w:p>
        </w:tc>
        <w:tc>
          <w:tcPr>
            <w:tcW w:w="907" w:type="dxa"/>
            <w:vAlign w:val="center"/>
          </w:tcPr>
          <w:p w14:paraId="5EC6B8CA">
            <w:pPr>
              <w:pStyle w:val="41"/>
              <w:rPr>
                <w:rFonts w:hint="default" w:ascii="Times New Roman" w:hAnsi="Times New Roman" w:cs="Times New Roman"/>
                <w:color w:val="auto"/>
                <w:kern w:val="2"/>
                <w:szCs w:val="24"/>
                <w:u w:val="none"/>
              </w:rPr>
            </w:pPr>
          </w:p>
        </w:tc>
      </w:tr>
      <w:tr w14:paraId="01C79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9126" w:type="dxa"/>
            <w:gridSpan w:val="11"/>
            <w:vAlign w:val="center"/>
          </w:tcPr>
          <w:p w14:paraId="0850970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注：表中“-”表示负效益，“+”表示正效益；“0”表示短期影响，“1”表示长期影响；“△”表示影响轻微，“▲”表示影响一般，“■”表示影响较重</w:t>
            </w:r>
          </w:p>
        </w:tc>
      </w:tr>
    </w:tbl>
    <w:p w14:paraId="5479A01E">
      <w:pPr>
        <w:ind w:firstLine="480"/>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由表2.2-1可见，本项目对环境产生不利影响环境要素主要有：地表水、地下水、环境空气、声环境、土壤环境。</w:t>
      </w:r>
      <w:r>
        <w:rPr>
          <w:rFonts w:hint="eastAsia" w:ascii="Times New Roman" w:hAnsi="Times New Roman" w:cs="Times New Roman"/>
          <w:color w:val="auto"/>
          <w:u w:val="none"/>
          <w:lang w:val="en-US" w:eastAsia="zh-CN"/>
        </w:rPr>
        <w:t xml:space="preserve"> </w:t>
      </w:r>
    </w:p>
    <w:p w14:paraId="1AE6119D">
      <w:pPr>
        <w:pStyle w:val="5"/>
        <w:rPr>
          <w:rFonts w:hint="default" w:ascii="Times New Roman" w:hAnsi="Times New Roman" w:cs="Times New Roman"/>
          <w:color w:val="auto"/>
          <w:u w:val="none"/>
        </w:rPr>
      </w:pPr>
      <w:r>
        <w:rPr>
          <w:rFonts w:hint="default" w:ascii="Times New Roman" w:hAnsi="Times New Roman" w:cs="Times New Roman"/>
          <w:color w:val="auto"/>
          <w:u w:val="none"/>
        </w:rPr>
        <w:t>评价因子</w:t>
      </w:r>
    </w:p>
    <w:p w14:paraId="2FF3CD5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根据环境影响要素的初步识别结果，结合各生产环节的排污特征，及排放污染物对环境危害的性质，对所识别的环境影响要素作进一步分析，筛选出本工程评价因子，详见表2.2-2。</w:t>
      </w:r>
    </w:p>
    <w:p w14:paraId="5AB99F2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表2.2-2  环境影响因子识别表</w:t>
      </w:r>
    </w:p>
    <w:tbl>
      <w:tblPr>
        <w:tblStyle w:val="30"/>
        <w:tblW w:w="49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566"/>
        <w:gridCol w:w="2178"/>
        <w:gridCol w:w="1105"/>
        <w:gridCol w:w="1311"/>
        <w:gridCol w:w="1313"/>
        <w:gridCol w:w="1397"/>
      </w:tblGrid>
      <w:tr w14:paraId="126DE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restart"/>
            <w:vAlign w:val="center"/>
          </w:tcPr>
          <w:p w14:paraId="62B21E36">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时段</w:t>
            </w:r>
          </w:p>
        </w:tc>
        <w:tc>
          <w:tcPr>
            <w:tcW w:w="4553" w:type="pct"/>
            <w:gridSpan w:val="6"/>
            <w:vAlign w:val="center"/>
          </w:tcPr>
          <w:p w14:paraId="6405E30C">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主要污染物</w:t>
            </w:r>
          </w:p>
        </w:tc>
      </w:tr>
      <w:tr w14:paraId="2CE85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Merge w:val="continue"/>
            <w:vAlign w:val="center"/>
          </w:tcPr>
          <w:p w14:paraId="1050B0BB">
            <w:pPr>
              <w:pStyle w:val="41"/>
              <w:rPr>
                <w:rFonts w:hint="default" w:ascii="Times New Roman" w:hAnsi="Times New Roman" w:cs="Times New Roman"/>
                <w:b/>
                <w:bCs/>
                <w:color w:val="auto"/>
                <w:kern w:val="2"/>
                <w:szCs w:val="24"/>
                <w:u w:val="none"/>
              </w:rPr>
            </w:pPr>
          </w:p>
        </w:tc>
        <w:tc>
          <w:tcPr>
            <w:tcW w:w="804" w:type="pct"/>
            <w:vAlign w:val="center"/>
          </w:tcPr>
          <w:p w14:paraId="1659F3DB">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大气环境</w:t>
            </w:r>
          </w:p>
        </w:tc>
        <w:tc>
          <w:tcPr>
            <w:tcW w:w="1118" w:type="pct"/>
            <w:vAlign w:val="center"/>
          </w:tcPr>
          <w:p w14:paraId="4D1ED749">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水环境</w:t>
            </w:r>
          </w:p>
        </w:tc>
        <w:tc>
          <w:tcPr>
            <w:tcW w:w="567" w:type="pct"/>
            <w:vAlign w:val="center"/>
          </w:tcPr>
          <w:p w14:paraId="4117EBB3">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声环境</w:t>
            </w:r>
          </w:p>
        </w:tc>
        <w:tc>
          <w:tcPr>
            <w:tcW w:w="673" w:type="pct"/>
            <w:vAlign w:val="center"/>
          </w:tcPr>
          <w:p w14:paraId="0D083EED">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固废</w:t>
            </w:r>
          </w:p>
        </w:tc>
        <w:tc>
          <w:tcPr>
            <w:tcW w:w="674" w:type="pct"/>
            <w:vAlign w:val="center"/>
          </w:tcPr>
          <w:p w14:paraId="6EE7A0FE">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土壤</w:t>
            </w:r>
          </w:p>
        </w:tc>
        <w:tc>
          <w:tcPr>
            <w:tcW w:w="715" w:type="pct"/>
            <w:vAlign w:val="center"/>
          </w:tcPr>
          <w:p w14:paraId="1EAB6587">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生态</w:t>
            </w:r>
          </w:p>
        </w:tc>
      </w:tr>
      <w:tr w14:paraId="08126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6" w:type="pct"/>
            <w:vAlign w:val="center"/>
          </w:tcPr>
          <w:p w14:paraId="7DC9BF61">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运营期</w:t>
            </w:r>
          </w:p>
        </w:tc>
        <w:tc>
          <w:tcPr>
            <w:tcW w:w="804" w:type="pct"/>
            <w:vAlign w:val="center"/>
          </w:tcPr>
          <w:p w14:paraId="428FCC58">
            <w:pPr>
              <w:pStyle w:val="41"/>
              <w:rPr>
                <w:rFonts w:hint="default" w:ascii="Times New Roman" w:hAnsi="Times New Roman" w:eastAsia="宋体" w:cs="Times New Roman"/>
                <w:color w:val="auto"/>
                <w:kern w:val="2"/>
                <w:szCs w:val="24"/>
                <w:u w:val="none"/>
                <w:lang w:val="en-US" w:eastAsia="zh-CN"/>
              </w:rPr>
            </w:pPr>
            <w:r>
              <w:rPr>
                <w:rFonts w:hint="default" w:ascii="Times New Roman" w:hAnsi="Times New Roman" w:cs="Times New Roman"/>
                <w:color w:val="auto"/>
                <w:u w:val="none"/>
              </w:rPr>
              <w:t>硫酸雾</w:t>
            </w:r>
            <w:r>
              <w:rPr>
                <w:rFonts w:hint="eastAsia" w:cs="Times New Roman"/>
                <w:color w:val="auto"/>
                <w:u w:val="none"/>
                <w:lang w:eastAsia="zh-CN"/>
              </w:rPr>
              <w:t>、</w:t>
            </w:r>
            <w:r>
              <w:rPr>
                <w:rFonts w:hint="eastAsia" w:cs="Times New Roman"/>
                <w:color w:val="auto"/>
                <w:u w:val="none"/>
                <w:lang w:val="en-US" w:eastAsia="zh-CN"/>
              </w:rPr>
              <w:t>氮氧化物、铬酸雾</w:t>
            </w:r>
          </w:p>
        </w:tc>
        <w:tc>
          <w:tcPr>
            <w:tcW w:w="1118" w:type="pct"/>
            <w:vAlign w:val="center"/>
          </w:tcPr>
          <w:p w14:paraId="1E74D0D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COD</w:t>
            </w:r>
            <w:r>
              <w:rPr>
                <w:rFonts w:hint="default" w:ascii="Times New Roman" w:hAnsi="Times New Roman" w:cs="Times New Roman"/>
                <w:color w:val="auto"/>
                <w:kern w:val="2"/>
                <w:szCs w:val="24"/>
                <w:u w:val="none"/>
                <w:vertAlign w:val="subscript"/>
              </w:rPr>
              <w:t>cr</w:t>
            </w:r>
            <w:r>
              <w:rPr>
                <w:rFonts w:hint="default" w:ascii="Times New Roman" w:hAnsi="Times New Roman" w:cs="Times New Roman"/>
                <w:color w:val="auto"/>
                <w:kern w:val="2"/>
                <w:szCs w:val="24"/>
                <w:u w:val="none"/>
              </w:rPr>
              <w:t>、BOD</w:t>
            </w:r>
            <w:r>
              <w:rPr>
                <w:rFonts w:hint="default" w:ascii="Times New Roman" w:hAnsi="Times New Roman" w:cs="Times New Roman"/>
                <w:color w:val="auto"/>
                <w:kern w:val="2"/>
                <w:szCs w:val="24"/>
                <w:u w:val="none"/>
                <w:vertAlign w:val="subscript"/>
              </w:rPr>
              <w:t>5</w:t>
            </w:r>
            <w:r>
              <w:rPr>
                <w:rFonts w:hint="default" w:ascii="Times New Roman" w:hAnsi="Times New Roman" w:cs="Times New Roman"/>
                <w:color w:val="auto"/>
                <w:kern w:val="2"/>
                <w:szCs w:val="24"/>
                <w:u w:val="none"/>
              </w:rPr>
              <w:t>、SS、NH</w:t>
            </w:r>
            <w:r>
              <w:rPr>
                <w:rFonts w:hint="default" w:ascii="Times New Roman" w:hAnsi="Times New Roman" w:cs="Times New Roman"/>
                <w:color w:val="auto"/>
                <w:kern w:val="2"/>
                <w:szCs w:val="24"/>
                <w:u w:val="none"/>
                <w:vertAlign w:val="subscript"/>
              </w:rPr>
              <w:t>3</w:t>
            </w:r>
            <w:r>
              <w:rPr>
                <w:rFonts w:hint="default" w:ascii="Times New Roman" w:hAnsi="Times New Roman" w:cs="Times New Roman"/>
                <w:color w:val="auto"/>
                <w:kern w:val="2"/>
                <w:szCs w:val="24"/>
                <w:u w:val="none"/>
              </w:rPr>
              <w:t>-N</w:t>
            </w:r>
            <w:r>
              <w:rPr>
                <w:rFonts w:hint="default" w:ascii="Times New Roman" w:hAnsi="Times New Roman" w:cs="Times New Roman"/>
                <w:color w:val="auto"/>
                <w:kern w:val="2"/>
                <w:u w:val="none"/>
              </w:rPr>
              <w:t>、TP、总镍、总铬、三价铬、石油类、动植物油类</w:t>
            </w:r>
          </w:p>
        </w:tc>
        <w:tc>
          <w:tcPr>
            <w:tcW w:w="567" w:type="pct"/>
            <w:vAlign w:val="center"/>
          </w:tcPr>
          <w:p w14:paraId="7DA60F3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机械噪声</w:t>
            </w:r>
          </w:p>
        </w:tc>
        <w:tc>
          <w:tcPr>
            <w:tcW w:w="673" w:type="pct"/>
            <w:vAlign w:val="center"/>
          </w:tcPr>
          <w:p w14:paraId="5FF33E2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u w:val="none"/>
              </w:rPr>
              <w:t>一般工业固废、危险废物</w:t>
            </w:r>
          </w:p>
        </w:tc>
        <w:tc>
          <w:tcPr>
            <w:tcW w:w="674" w:type="pct"/>
            <w:vAlign w:val="center"/>
          </w:tcPr>
          <w:p w14:paraId="0C1C6FA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镍、总铬</w:t>
            </w:r>
          </w:p>
        </w:tc>
        <w:tc>
          <w:tcPr>
            <w:tcW w:w="715" w:type="pct"/>
            <w:vAlign w:val="center"/>
          </w:tcPr>
          <w:p w14:paraId="4F6403C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w:t>
            </w:r>
          </w:p>
        </w:tc>
      </w:tr>
    </w:tbl>
    <w:p w14:paraId="24591B3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根据项目工程污染源分析识别出的环境影响因子、建设项目所处区域的环境特征以及国家和地方有关环保标准、规定所列控制指标，筛选出的评价因子见表2.2-3。</w:t>
      </w:r>
    </w:p>
    <w:p w14:paraId="29B0884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en-US" w:eastAsia="zh-CN"/>
        </w:rPr>
      </w:pPr>
      <w:r>
        <w:rPr>
          <w:rFonts w:hint="default" w:ascii="Times New Roman" w:hAnsi="Times New Roman" w:cs="Times New Roman"/>
          <w:b/>
          <w:bCs/>
          <w:color w:val="auto"/>
          <w:u w:val="none"/>
          <w:lang w:val="en-US" w:eastAsia="zh-CN"/>
        </w:rPr>
        <w:t>表2.2-3  评价因子筛选表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751"/>
        <w:gridCol w:w="1460"/>
        <w:gridCol w:w="1259"/>
        <w:gridCol w:w="1512"/>
        <w:gridCol w:w="863"/>
        <w:gridCol w:w="898"/>
        <w:gridCol w:w="3009"/>
      </w:tblGrid>
      <w:tr w14:paraId="5CD4E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pct"/>
            <w:tcMar>
              <w:top w:w="0" w:type="dxa"/>
              <w:left w:w="57" w:type="dxa"/>
              <w:bottom w:w="0" w:type="dxa"/>
              <w:right w:w="57" w:type="dxa"/>
            </w:tcMar>
            <w:vAlign w:val="center"/>
          </w:tcPr>
          <w:p w14:paraId="5C2E450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项目</w:t>
            </w:r>
          </w:p>
        </w:tc>
        <w:tc>
          <w:tcPr>
            <w:tcW w:w="748" w:type="pct"/>
            <w:tcMar>
              <w:top w:w="0" w:type="dxa"/>
              <w:left w:w="57" w:type="dxa"/>
              <w:bottom w:w="0" w:type="dxa"/>
              <w:right w:w="57" w:type="dxa"/>
            </w:tcMar>
            <w:vAlign w:val="center"/>
          </w:tcPr>
          <w:p w14:paraId="6BB705B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大气环境</w:t>
            </w:r>
          </w:p>
        </w:tc>
        <w:tc>
          <w:tcPr>
            <w:tcW w:w="645" w:type="pct"/>
            <w:tcMar>
              <w:top w:w="0" w:type="dxa"/>
              <w:left w:w="57" w:type="dxa"/>
              <w:bottom w:w="0" w:type="dxa"/>
              <w:right w:w="57" w:type="dxa"/>
            </w:tcMar>
            <w:vAlign w:val="center"/>
          </w:tcPr>
          <w:p w14:paraId="1D83C94D">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地表水环境</w:t>
            </w:r>
          </w:p>
        </w:tc>
        <w:tc>
          <w:tcPr>
            <w:tcW w:w="775" w:type="pct"/>
            <w:tcMar>
              <w:top w:w="0" w:type="dxa"/>
              <w:left w:w="57" w:type="dxa"/>
              <w:bottom w:w="0" w:type="dxa"/>
              <w:right w:w="57" w:type="dxa"/>
            </w:tcMar>
            <w:vAlign w:val="center"/>
          </w:tcPr>
          <w:p w14:paraId="73D37F9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地下水环境</w:t>
            </w:r>
          </w:p>
        </w:tc>
        <w:tc>
          <w:tcPr>
            <w:tcW w:w="442" w:type="pct"/>
            <w:tcMar>
              <w:top w:w="0" w:type="dxa"/>
              <w:left w:w="57" w:type="dxa"/>
              <w:bottom w:w="0" w:type="dxa"/>
              <w:right w:w="57" w:type="dxa"/>
            </w:tcMar>
            <w:vAlign w:val="center"/>
          </w:tcPr>
          <w:p w14:paraId="04289E4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声环境</w:t>
            </w:r>
          </w:p>
        </w:tc>
        <w:tc>
          <w:tcPr>
            <w:tcW w:w="460" w:type="pct"/>
            <w:tcMar>
              <w:top w:w="0" w:type="dxa"/>
              <w:left w:w="57" w:type="dxa"/>
              <w:bottom w:w="0" w:type="dxa"/>
              <w:right w:w="57" w:type="dxa"/>
            </w:tcMar>
            <w:vAlign w:val="center"/>
          </w:tcPr>
          <w:p w14:paraId="62DBE45D">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固废</w:t>
            </w:r>
          </w:p>
        </w:tc>
        <w:tc>
          <w:tcPr>
            <w:tcW w:w="1542" w:type="pct"/>
            <w:tcMar>
              <w:top w:w="0" w:type="dxa"/>
              <w:left w:w="57" w:type="dxa"/>
              <w:bottom w:w="0" w:type="dxa"/>
              <w:right w:w="57" w:type="dxa"/>
            </w:tcMar>
            <w:vAlign w:val="center"/>
          </w:tcPr>
          <w:p w14:paraId="77746A1F">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土壤</w:t>
            </w:r>
          </w:p>
        </w:tc>
      </w:tr>
      <w:tr w14:paraId="65958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pct"/>
            <w:tcMar>
              <w:top w:w="0" w:type="dxa"/>
              <w:left w:w="57" w:type="dxa"/>
              <w:bottom w:w="0" w:type="dxa"/>
              <w:right w:w="57" w:type="dxa"/>
            </w:tcMar>
            <w:vAlign w:val="center"/>
          </w:tcPr>
          <w:p w14:paraId="6894F05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现状评价因子</w:t>
            </w:r>
          </w:p>
        </w:tc>
        <w:tc>
          <w:tcPr>
            <w:tcW w:w="748" w:type="pct"/>
            <w:tcMar>
              <w:top w:w="0" w:type="dxa"/>
              <w:left w:w="57" w:type="dxa"/>
              <w:bottom w:w="0" w:type="dxa"/>
              <w:right w:w="57" w:type="dxa"/>
            </w:tcMar>
            <w:vAlign w:val="center"/>
          </w:tcPr>
          <w:p w14:paraId="1682E55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PM</w:t>
            </w:r>
            <w:r>
              <w:rPr>
                <w:rFonts w:hint="default" w:ascii="Times New Roman" w:hAnsi="Times New Roman" w:cs="Times New Roman"/>
                <w:color w:val="auto"/>
                <w:kern w:val="2"/>
                <w:szCs w:val="24"/>
                <w:u w:val="none"/>
                <w:vertAlign w:val="subscript"/>
              </w:rPr>
              <w:t>2.5</w:t>
            </w:r>
            <w:r>
              <w:rPr>
                <w:rFonts w:hint="default" w:ascii="Times New Roman" w:hAnsi="Times New Roman" w:cs="Times New Roman"/>
                <w:color w:val="auto"/>
                <w:kern w:val="2"/>
                <w:szCs w:val="24"/>
                <w:u w:val="none"/>
              </w:rPr>
              <w:t>、PM</w:t>
            </w:r>
            <w:r>
              <w:rPr>
                <w:rFonts w:hint="default" w:ascii="Times New Roman" w:hAnsi="Times New Roman" w:cs="Times New Roman"/>
                <w:color w:val="auto"/>
                <w:kern w:val="2"/>
                <w:szCs w:val="24"/>
                <w:u w:val="none"/>
                <w:vertAlign w:val="subscript"/>
              </w:rPr>
              <w:t>10</w:t>
            </w:r>
            <w:r>
              <w:rPr>
                <w:rFonts w:hint="default" w:ascii="Times New Roman" w:hAnsi="Times New Roman" w:cs="Times New Roman"/>
                <w:color w:val="auto"/>
                <w:kern w:val="2"/>
                <w:szCs w:val="24"/>
                <w:u w:val="none"/>
              </w:rPr>
              <w:t>、O</w:t>
            </w:r>
            <w:r>
              <w:rPr>
                <w:rFonts w:hint="default" w:ascii="Times New Roman" w:hAnsi="Times New Roman" w:cs="Times New Roman"/>
                <w:color w:val="auto"/>
                <w:kern w:val="2"/>
                <w:szCs w:val="24"/>
                <w:u w:val="none"/>
                <w:vertAlign w:val="subscript"/>
              </w:rPr>
              <w:t>2</w:t>
            </w:r>
            <w:r>
              <w:rPr>
                <w:rFonts w:hint="default" w:ascii="Times New Roman" w:hAnsi="Times New Roman" w:cs="Times New Roman"/>
                <w:color w:val="auto"/>
                <w:kern w:val="2"/>
                <w:szCs w:val="24"/>
                <w:u w:val="none"/>
              </w:rPr>
              <w:t>、NO</w:t>
            </w:r>
            <w:r>
              <w:rPr>
                <w:rFonts w:hint="default" w:ascii="Times New Roman" w:hAnsi="Times New Roman" w:cs="Times New Roman"/>
                <w:color w:val="auto"/>
                <w:kern w:val="2"/>
                <w:szCs w:val="24"/>
                <w:u w:val="none"/>
                <w:vertAlign w:val="subscript"/>
              </w:rPr>
              <w:t>2</w:t>
            </w:r>
            <w:r>
              <w:rPr>
                <w:rFonts w:hint="default" w:ascii="Times New Roman" w:hAnsi="Times New Roman" w:cs="Times New Roman"/>
                <w:color w:val="auto"/>
                <w:kern w:val="2"/>
                <w:szCs w:val="24"/>
                <w:u w:val="none"/>
              </w:rPr>
              <w:t>、CO、O</w:t>
            </w:r>
            <w:r>
              <w:rPr>
                <w:rFonts w:hint="default" w:ascii="Times New Roman" w:hAnsi="Times New Roman" w:cs="Times New Roman"/>
                <w:color w:val="auto"/>
                <w:kern w:val="2"/>
                <w:szCs w:val="24"/>
                <w:u w:val="none"/>
                <w:vertAlign w:val="subscript"/>
              </w:rPr>
              <w:t>3</w:t>
            </w:r>
            <w:r>
              <w:rPr>
                <w:rFonts w:hint="default" w:ascii="Times New Roman" w:hAnsi="Times New Roman" w:cs="Times New Roman"/>
                <w:color w:val="auto"/>
                <w:kern w:val="2"/>
                <w:szCs w:val="24"/>
                <w:u w:val="none"/>
              </w:rPr>
              <w:t>、</w:t>
            </w:r>
            <w:r>
              <w:rPr>
                <w:rFonts w:hint="default" w:ascii="Times New Roman" w:hAnsi="Times New Roman" w:eastAsia="Calibri" w:cs="Times New Roman"/>
                <w:color w:val="auto"/>
                <w:kern w:val="2"/>
                <w:u w:val="none"/>
              </w:rPr>
              <w:t>TSP、硫酸雾</w:t>
            </w:r>
          </w:p>
        </w:tc>
        <w:tc>
          <w:tcPr>
            <w:tcW w:w="645" w:type="pct"/>
            <w:tcMar>
              <w:top w:w="0" w:type="dxa"/>
              <w:left w:w="57" w:type="dxa"/>
              <w:bottom w:w="0" w:type="dxa"/>
              <w:right w:w="57" w:type="dxa"/>
            </w:tcMar>
            <w:vAlign w:val="center"/>
          </w:tcPr>
          <w:p w14:paraId="0A321B79">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u w:val="none"/>
              </w:rPr>
              <w:t>pH、高锰酸盐指数、COD、BOD</w:t>
            </w:r>
            <w:r>
              <w:rPr>
                <w:rFonts w:hint="default" w:ascii="Times New Roman" w:hAnsi="Times New Roman" w:cs="Times New Roman"/>
                <w:color w:val="auto"/>
                <w:kern w:val="2"/>
                <w:u w:val="none"/>
                <w:vertAlign w:val="subscript"/>
              </w:rPr>
              <w:t>5</w:t>
            </w:r>
            <w:r>
              <w:rPr>
                <w:rFonts w:hint="default" w:ascii="Times New Roman" w:hAnsi="Times New Roman" w:cs="Times New Roman"/>
                <w:color w:val="auto"/>
                <w:kern w:val="2"/>
                <w:u w:val="none"/>
              </w:rPr>
              <w:t>、NH</w:t>
            </w:r>
            <w:r>
              <w:rPr>
                <w:rFonts w:hint="default" w:ascii="Times New Roman" w:hAnsi="Times New Roman" w:cs="Times New Roman"/>
                <w:color w:val="auto"/>
                <w:kern w:val="2"/>
                <w:u w:val="none"/>
                <w:vertAlign w:val="subscript"/>
              </w:rPr>
              <w:t>3</w:t>
            </w:r>
            <w:r>
              <w:rPr>
                <w:rFonts w:hint="default" w:ascii="Times New Roman" w:hAnsi="Times New Roman" w:cs="Times New Roman"/>
                <w:color w:val="auto"/>
                <w:kern w:val="2"/>
                <w:u w:val="none"/>
              </w:rPr>
              <w:t>-N、TP、铜、锌、氟化物、硒、砷、汞、镉、六价铬、铅、氰化物、挥发酚、石油类、阴离子表面活性剂、硫化物</w:t>
            </w:r>
          </w:p>
        </w:tc>
        <w:tc>
          <w:tcPr>
            <w:tcW w:w="775" w:type="pct"/>
            <w:tcMar>
              <w:top w:w="0" w:type="dxa"/>
              <w:left w:w="57" w:type="dxa"/>
              <w:bottom w:w="0" w:type="dxa"/>
              <w:right w:w="57" w:type="dxa"/>
            </w:tcMar>
            <w:vAlign w:val="center"/>
          </w:tcPr>
          <w:p w14:paraId="7AC0055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u w:val="none"/>
              </w:rPr>
              <w:t>pH、K</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(钾)、Na</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(钠)、Ca</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 xml:space="preserve"> (钙)、Mg</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(镁)、CO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(碳酸根)、HCO</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（重碳酸根）、Cl</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(氯化物)、SO</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(硫酸盐)、氨氮、高锰酸盐指数、硝酸盐、亚硝酸盐、铝、铜、铁、六价铬、镍、氟化物、溶解性总固体、总大肠菌群、细菌总数</w:t>
            </w:r>
          </w:p>
        </w:tc>
        <w:tc>
          <w:tcPr>
            <w:tcW w:w="442" w:type="pct"/>
            <w:tcMar>
              <w:top w:w="0" w:type="dxa"/>
              <w:left w:w="57" w:type="dxa"/>
              <w:bottom w:w="0" w:type="dxa"/>
              <w:right w:w="57" w:type="dxa"/>
            </w:tcMar>
            <w:vAlign w:val="center"/>
          </w:tcPr>
          <w:p w14:paraId="7B88347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环境噪声Leq（A）</w:t>
            </w:r>
          </w:p>
        </w:tc>
        <w:tc>
          <w:tcPr>
            <w:tcW w:w="460" w:type="pct"/>
            <w:tcMar>
              <w:top w:w="0" w:type="dxa"/>
              <w:left w:w="57" w:type="dxa"/>
              <w:bottom w:w="0" w:type="dxa"/>
              <w:right w:w="57" w:type="dxa"/>
            </w:tcMar>
            <w:vAlign w:val="center"/>
          </w:tcPr>
          <w:p w14:paraId="1C16AC9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w:t>
            </w:r>
          </w:p>
        </w:tc>
        <w:tc>
          <w:tcPr>
            <w:tcW w:w="1542" w:type="pct"/>
            <w:tcMar>
              <w:top w:w="0" w:type="dxa"/>
              <w:left w:w="57" w:type="dxa"/>
              <w:bottom w:w="0" w:type="dxa"/>
              <w:right w:w="57" w:type="dxa"/>
            </w:tcMar>
            <w:vAlign w:val="center"/>
          </w:tcPr>
          <w:p w14:paraId="3E4F28C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砷、镉、铜、铅、汞、镍、六价铬、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 氯酚*、苯并[a]蒽*、苯并[a]芘*、苯并[b]荧蒽*、苯并[k]荧蒽*、䓛*、二苯并[a，h]蒽*、茚并[1，2，3-cd]芘*、萘*、石油烃</w:t>
            </w:r>
          </w:p>
        </w:tc>
      </w:tr>
      <w:tr w14:paraId="64548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85" w:type="pct"/>
            <w:tcMar>
              <w:top w:w="0" w:type="dxa"/>
              <w:left w:w="57" w:type="dxa"/>
              <w:bottom w:w="0" w:type="dxa"/>
              <w:right w:w="57" w:type="dxa"/>
            </w:tcMar>
            <w:vAlign w:val="center"/>
          </w:tcPr>
          <w:p w14:paraId="0523A8A4">
            <w:pPr>
              <w:pStyle w:val="41"/>
              <w:rPr>
                <w:rFonts w:hint="default" w:ascii="Times New Roman" w:hAnsi="Times New Roman" w:cs="Times New Roman"/>
                <w:color w:val="auto"/>
                <w:u w:val="none"/>
              </w:rPr>
            </w:pPr>
            <w:r>
              <w:rPr>
                <w:rFonts w:hint="default" w:ascii="Times New Roman" w:hAnsi="Times New Roman" w:cs="Times New Roman"/>
                <w:color w:val="auto"/>
                <w:u w:val="none"/>
              </w:rPr>
              <w:t>影响预测因子</w:t>
            </w:r>
          </w:p>
        </w:tc>
        <w:tc>
          <w:tcPr>
            <w:tcW w:w="748" w:type="pct"/>
            <w:tcMar>
              <w:top w:w="0" w:type="dxa"/>
              <w:left w:w="57" w:type="dxa"/>
              <w:bottom w:w="0" w:type="dxa"/>
              <w:right w:w="57" w:type="dxa"/>
            </w:tcMar>
            <w:vAlign w:val="center"/>
          </w:tcPr>
          <w:p w14:paraId="03EF05AF">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硫酸雾</w:t>
            </w:r>
            <w:r>
              <w:rPr>
                <w:rFonts w:hint="eastAsia" w:cs="Times New Roman"/>
                <w:color w:val="auto"/>
                <w:u w:val="none"/>
                <w:lang w:eastAsia="zh-CN"/>
              </w:rPr>
              <w:t>、</w:t>
            </w:r>
            <w:r>
              <w:rPr>
                <w:rFonts w:hint="eastAsia" w:cs="Times New Roman"/>
                <w:color w:val="auto"/>
                <w:u w:val="none"/>
                <w:lang w:val="en-US" w:eastAsia="zh-CN"/>
              </w:rPr>
              <w:t>氮氧化物</w:t>
            </w:r>
            <w:r>
              <w:rPr>
                <w:rFonts w:hint="eastAsia" w:cs="Times New Roman"/>
                <w:color w:val="auto"/>
                <w:u w:val="none"/>
                <w:lang w:eastAsia="zh-CN"/>
              </w:rPr>
              <w:t>、</w:t>
            </w:r>
            <w:r>
              <w:rPr>
                <w:rFonts w:hint="eastAsia" w:cs="Times New Roman"/>
                <w:color w:val="auto"/>
                <w:u w:val="none"/>
                <w:lang w:val="en-US" w:eastAsia="zh-CN"/>
              </w:rPr>
              <w:t>铬酸雾</w:t>
            </w:r>
          </w:p>
        </w:tc>
        <w:tc>
          <w:tcPr>
            <w:tcW w:w="645" w:type="pct"/>
            <w:tcMar>
              <w:top w:w="0" w:type="dxa"/>
              <w:left w:w="57" w:type="dxa"/>
              <w:bottom w:w="0" w:type="dxa"/>
              <w:right w:w="57" w:type="dxa"/>
            </w:tcMar>
            <w:vAlign w:val="center"/>
          </w:tcPr>
          <w:p w14:paraId="60F6FA5F">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75" w:type="pct"/>
            <w:tcMar>
              <w:top w:w="0" w:type="dxa"/>
              <w:left w:w="57" w:type="dxa"/>
              <w:bottom w:w="0" w:type="dxa"/>
              <w:right w:w="57" w:type="dxa"/>
            </w:tcMar>
            <w:vAlign w:val="center"/>
          </w:tcPr>
          <w:p w14:paraId="104B7729">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42" w:type="pct"/>
            <w:tcMar>
              <w:top w:w="0" w:type="dxa"/>
              <w:left w:w="57" w:type="dxa"/>
              <w:bottom w:w="0" w:type="dxa"/>
              <w:right w:w="57" w:type="dxa"/>
            </w:tcMar>
            <w:vAlign w:val="center"/>
          </w:tcPr>
          <w:p w14:paraId="7DB0B7B1">
            <w:pPr>
              <w:pStyle w:val="41"/>
              <w:rPr>
                <w:rFonts w:hint="default" w:ascii="Times New Roman" w:hAnsi="Times New Roman" w:cs="Times New Roman"/>
                <w:color w:val="auto"/>
                <w:u w:val="none"/>
              </w:rPr>
            </w:pPr>
            <w:r>
              <w:rPr>
                <w:rFonts w:hint="default" w:ascii="Times New Roman" w:hAnsi="Times New Roman" w:cs="Times New Roman"/>
                <w:color w:val="auto"/>
                <w:u w:val="none"/>
              </w:rPr>
              <w:t>Leq（A）</w:t>
            </w:r>
          </w:p>
        </w:tc>
        <w:tc>
          <w:tcPr>
            <w:tcW w:w="460" w:type="pct"/>
            <w:tcMar>
              <w:top w:w="0" w:type="dxa"/>
              <w:left w:w="57" w:type="dxa"/>
              <w:bottom w:w="0" w:type="dxa"/>
              <w:right w:w="57" w:type="dxa"/>
            </w:tcMar>
            <w:vAlign w:val="center"/>
          </w:tcPr>
          <w:p w14:paraId="2728849C">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一般工业固废、危险废物、生活垃圾</w:t>
            </w:r>
          </w:p>
        </w:tc>
        <w:tc>
          <w:tcPr>
            <w:tcW w:w="1542" w:type="pct"/>
            <w:tcMar>
              <w:top w:w="0" w:type="dxa"/>
              <w:left w:w="57" w:type="dxa"/>
              <w:bottom w:w="0" w:type="dxa"/>
              <w:right w:w="57" w:type="dxa"/>
            </w:tcMar>
            <w:vAlign w:val="center"/>
          </w:tcPr>
          <w:p w14:paraId="5F281557">
            <w:pPr>
              <w:pStyle w:val="41"/>
              <w:rPr>
                <w:rFonts w:hint="default" w:ascii="Times New Roman" w:hAnsi="Times New Roman" w:cs="Times New Roman"/>
                <w:color w:val="auto"/>
                <w:u w:val="none"/>
              </w:rPr>
            </w:pPr>
            <w:r>
              <w:rPr>
                <w:rFonts w:hint="default" w:ascii="Times New Roman" w:hAnsi="Times New Roman" w:cs="Times New Roman"/>
                <w:color w:val="auto"/>
                <w:u w:val="none"/>
              </w:rPr>
              <w:t>镍、总铬</w:t>
            </w:r>
          </w:p>
        </w:tc>
      </w:tr>
    </w:tbl>
    <w:p w14:paraId="2EE6DB1E">
      <w:pPr>
        <w:pStyle w:val="4"/>
        <w:ind w:left="0" w:leftChars="0" w:firstLineChars="0"/>
        <w:rPr>
          <w:rFonts w:hint="default" w:ascii="Times New Roman" w:hAnsi="Times New Roman" w:cs="Times New Roman"/>
          <w:color w:val="auto"/>
          <w:u w:val="none"/>
        </w:rPr>
      </w:pPr>
      <w:bookmarkStart w:id="33" w:name="_Toc31464"/>
      <w:bookmarkStart w:id="34" w:name="_Toc6670"/>
      <w:r>
        <w:rPr>
          <w:rFonts w:hint="default" w:ascii="Times New Roman" w:hAnsi="Times New Roman" w:cs="Times New Roman"/>
          <w:color w:val="auto"/>
          <w:u w:val="none"/>
        </w:rPr>
        <w:t>评价标准</w:t>
      </w:r>
      <w:bookmarkEnd w:id="33"/>
      <w:bookmarkEnd w:id="34"/>
    </w:p>
    <w:p w14:paraId="4EFEF49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根据项目所在区域的环境功能属性，确定本次环评各环境要素执行的环境质量标准和污染物排放标准如下：</w:t>
      </w:r>
    </w:p>
    <w:p w14:paraId="6BB2BC6A">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环境质量标准</w:t>
      </w:r>
    </w:p>
    <w:p w14:paraId="7D2F4F1C">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环境空气质量标准</w:t>
      </w:r>
    </w:p>
    <w:p w14:paraId="2A6F7C7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环境空气：SO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10</w:t>
      </w: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2.5</w:t>
      </w:r>
      <w:r>
        <w:rPr>
          <w:rFonts w:hint="default" w:ascii="Times New Roman" w:hAnsi="Times New Roman" w:cs="Times New Roman"/>
          <w:color w:val="auto"/>
          <w:u w:val="none"/>
        </w:rPr>
        <w:t>、CO、O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执行《环境空气质量标准》（GB3095-2012）中的二级标准；硫酸雾、TVOC参照《环境影响评价技术导则 大气环境》HJ2.2-2018附录D中浓度限值；非甲烷总烃参照中国科学出版社出版的《大气污染物综合排放标准详解》中环境质量标准一次浓度值。</w:t>
      </w:r>
    </w:p>
    <w:p w14:paraId="67692D9E">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表2.3-1 </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环境空气质量标准</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643"/>
        <w:gridCol w:w="1963"/>
        <w:gridCol w:w="1521"/>
        <w:gridCol w:w="4723"/>
      </w:tblGrid>
      <w:tr w14:paraId="186487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Align w:val="center"/>
          </w:tcPr>
          <w:p w14:paraId="719E886C">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污染物名称</w:t>
            </w:r>
          </w:p>
        </w:tc>
        <w:tc>
          <w:tcPr>
            <w:tcW w:w="1768" w:type="pct"/>
            <w:gridSpan w:val="2"/>
            <w:vAlign w:val="center"/>
          </w:tcPr>
          <w:p w14:paraId="08FD0E80">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标准值(mg/m</w:t>
            </w:r>
            <w:r>
              <w:rPr>
                <w:rFonts w:hint="default" w:ascii="Times New Roman" w:hAnsi="Times New Roman" w:cs="Times New Roman"/>
                <w:b/>
                <w:bCs/>
                <w:color w:val="auto"/>
                <w:sz w:val="21"/>
                <w:szCs w:val="21"/>
                <w:u w:val="none"/>
                <w:vertAlign w:val="superscript"/>
              </w:rPr>
              <w:t>3</w:t>
            </w:r>
            <w:r>
              <w:rPr>
                <w:rFonts w:hint="default" w:ascii="Times New Roman" w:hAnsi="Times New Roman" w:cs="Times New Roman"/>
                <w:b/>
                <w:bCs/>
                <w:color w:val="auto"/>
                <w:sz w:val="21"/>
                <w:szCs w:val="21"/>
                <w:u w:val="none"/>
              </w:rPr>
              <w:t>)</w:t>
            </w:r>
          </w:p>
        </w:tc>
        <w:tc>
          <w:tcPr>
            <w:tcW w:w="2397" w:type="pct"/>
            <w:vAlign w:val="center"/>
          </w:tcPr>
          <w:p w14:paraId="276F6B3E">
            <w:pPr>
              <w:adjustRightInd w:val="0"/>
              <w:snapToGrid w:val="0"/>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选用标准</w:t>
            </w:r>
          </w:p>
        </w:tc>
      </w:tr>
      <w:tr w14:paraId="3703CB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14197387">
            <w:pPr>
              <w:adjustRightInd w:val="0"/>
              <w:snapToGrid w:val="0"/>
              <w:spacing w:line="240" w:lineRule="auto"/>
              <w:ind w:firstLine="0" w:firstLineChars="0"/>
              <w:jc w:val="center"/>
              <w:rPr>
                <w:rFonts w:hint="default" w:ascii="Times New Roman" w:hAnsi="Times New Roman" w:cs="Times New Roman"/>
                <w:color w:val="auto"/>
                <w:sz w:val="21"/>
                <w:szCs w:val="21"/>
                <w:u w:val="none"/>
                <w:vertAlign w:val="subscript"/>
              </w:rPr>
            </w:pPr>
            <w:r>
              <w:rPr>
                <w:rFonts w:hint="default" w:ascii="Times New Roman" w:hAnsi="Times New Roman" w:cs="Times New Roman"/>
                <w:color w:val="auto"/>
                <w:sz w:val="21"/>
                <w:szCs w:val="21"/>
                <w:u w:val="none"/>
              </w:rPr>
              <w:t>SO</w:t>
            </w:r>
            <w:r>
              <w:rPr>
                <w:rFonts w:hint="default" w:ascii="Times New Roman" w:hAnsi="Times New Roman" w:cs="Times New Roman"/>
                <w:color w:val="auto"/>
                <w:sz w:val="21"/>
                <w:szCs w:val="21"/>
                <w:u w:val="none"/>
                <w:vertAlign w:val="subscript"/>
              </w:rPr>
              <w:t>2</w:t>
            </w:r>
          </w:p>
        </w:tc>
        <w:tc>
          <w:tcPr>
            <w:tcW w:w="996" w:type="pct"/>
            <w:vAlign w:val="center"/>
          </w:tcPr>
          <w:p w14:paraId="02D2B1D9">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w:t>
            </w:r>
          </w:p>
        </w:tc>
        <w:tc>
          <w:tcPr>
            <w:tcW w:w="771" w:type="pct"/>
            <w:vAlign w:val="center"/>
          </w:tcPr>
          <w:p w14:paraId="24B01B4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0.06</w:t>
            </w:r>
          </w:p>
        </w:tc>
        <w:tc>
          <w:tcPr>
            <w:tcW w:w="2397" w:type="pct"/>
            <w:vMerge w:val="restart"/>
            <w:vAlign w:val="center"/>
          </w:tcPr>
          <w:p w14:paraId="224AD7D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《环境空气质量标准》（GB3095-2012）二级标准</w:t>
            </w:r>
          </w:p>
        </w:tc>
      </w:tr>
      <w:tr w14:paraId="196886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02DD997B">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5369AC05">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24小时平均</w:t>
            </w:r>
          </w:p>
        </w:tc>
        <w:tc>
          <w:tcPr>
            <w:tcW w:w="771" w:type="pct"/>
            <w:vAlign w:val="center"/>
          </w:tcPr>
          <w:p w14:paraId="70EC6BC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0.15</w:t>
            </w:r>
          </w:p>
        </w:tc>
        <w:tc>
          <w:tcPr>
            <w:tcW w:w="2397" w:type="pct"/>
            <w:vMerge w:val="continue"/>
            <w:vAlign w:val="center"/>
          </w:tcPr>
          <w:p w14:paraId="14BB0B3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4CE821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28206B9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7E1065B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1小时均值</w:t>
            </w:r>
          </w:p>
        </w:tc>
        <w:tc>
          <w:tcPr>
            <w:tcW w:w="771" w:type="pct"/>
            <w:vAlign w:val="center"/>
          </w:tcPr>
          <w:p w14:paraId="4DFD765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0.5</w:t>
            </w:r>
          </w:p>
        </w:tc>
        <w:tc>
          <w:tcPr>
            <w:tcW w:w="2397" w:type="pct"/>
            <w:vMerge w:val="continue"/>
            <w:vAlign w:val="center"/>
          </w:tcPr>
          <w:p w14:paraId="1B13EDC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735161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7626541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NO</w:t>
            </w:r>
            <w:r>
              <w:rPr>
                <w:rFonts w:hint="default" w:ascii="Times New Roman" w:hAnsi="Times New Roman" w:cs="Times New Roman"/>
                <w:color w:val="auto"/>
                <w:sz w:val="21"/>
                <w:szCs w:val="21"/>
                <w:u w:val="none"/>
                <w:vertAlign w:val="subscript"/>
              </w:rPr>
              <w:t>2</w:t>
            </w:r>
          </w:p>
        </w:tc>
        <w:tc>
          <w:tcPr>
            <w:tcW w:w="996" w:type="pct"/>
            <w:vAlign w:val="center"/>
          </w:tcPr>
          <w:p w14:paraId="01066D1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w:t>
            </w:r>
          </w:p>
        </w:tc>
        <w:tc>
          <w:tcPr>
            <w:tcW w:w="771" w:type="pct"/>
            <w:vAlign w:val="center"/>
          </w:tcPr>
          <w:p w14:paraId="26AE630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0.04</w:t>
            </w:r>
          </w:p>
        </w:tc>
        <w:tc>
          <w:tcPr>
            <w:tcW w:w="2397" w:type="pct"/>
            <w:vMerge w:val="continue"/>
            <w:vAlign w:val="center"/>
          </w:tcPr>
          <w:p w14:paraId="71D8A5D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3DD21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483E205B">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67EF786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24小时平均</w:t>
            </w:r>
          </w:p>
        </w:tc>
        <w:tc>
          <w:tcPr>
            <w:tcW w:w="771" w:type="pct"/>
            <w:vAlign w:val="center"/>
          </w:tcPr>
          <w:p w14:paraId="349F8361">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0.08</w:t>
            </w:r>
          </w:p>
        </w:tc>
        <w:tc>
          <w:tcPr>
            <w:tcW w:w="2397" w:type="pct"/>
            <w:vMerge w:val="continue"/>
            <w:vAlign w:val="center"/>
          </w:tcPr>
          <w:p w14:paraId="1CC5D24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0E9D17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16CDE9D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2CA6AC21">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1小时均值</w:t>
            </w:r>
          </w:p>
        </w:tc>
        <w:tc>
          <w:tcPr>
            <w:tcW w:w="771" w:type="pct"/>
            <w:vAlign w:val="center"/>
          </w:tcPr>
          <w:p w14:paraId="02C50CD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0.2</w:t>
            </w:r>
          </w:p>
        </w:tc>
        <w:tc>
          <w:tcPr>
            <w:tcW w:w="2397" w:type="pct"/>
            <w:vMerge w:val="continue"/>
            <w:vAlign w:val="center"/>
          </w:tcPr>
          <w:p w14:paraId="3974DF1B">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49ACAD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5D86A5F7">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10</w:t>
            </w:r>
          </w:p>
        </w:tc>
        <w:tc>
          <w:tcPr>
            <w:tcW w:w="996" w:type="pct"/>
            <w:vAlign w:val="center"/>
          </w:tcPr>
          <w:p w14:paraId="1D5C8AD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w:t>
            </w:r>
          </w:p>
        </w:tc>
        <w:tc>
          <w:tcPr>
            <w:tcW w:w="771" w:type="pct"/>
            <w:vAlign w:val="center"/>
          </w:tcPr>
          <w:p w14:paraId="43C0D84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0.07</w:t>
            </w:r>
          </w:p>
        </w:tc>
        <w:tc>
          <w:tcPr>
            <w:tcW w:w="2397" w:type="pct"/>
            <w:vMerge w:val="continue"/>
            <w:vAlign w:val="center"/>
          </w:tcPr>
          <w:p w14:paraId="7D6730B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7C22C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6EAFB81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313C831B">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24小时平均</w:t>
            </w:r>
          </w:p>
        </w:tc>
        <w:tc>
          <w:tcPr>
            <w:tcW w:w="771" w:type="pct"/>
            <w:vAlign w:val="center"/>
          </w:tcPr>
          <w:p w14:paraId="6FC5CBA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0.15</w:t>
            </w:r>
          </w:p>
        </w:tc>
        <w:tc>
          <w:tcPr>
            <w:tcW w:w="2397" w:type="pct"/>
            <w:vMerge w:val="continue"/>
            <w:vAlign w:val="center"/>
          </w:tcPr>
          <w:p w14:paraId="3ECD98BB">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424664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18D1E459">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CO</w:t>
            </w:r>
          </w:p>
        </w:tc>
        <w:tc>
          <w:tcPr>
            <w:tcW w:w="996" w:type="pct"/>
            <w:vAlign w:val="center"/>
          </w:tcPr>
          <w:p w14:paraId="0E67293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24小时平均</w:t>
            </w:r>
          </w:p>
        </w:tc>
        <w:tc>
          <w:tcPr>
            <w:tcW w:w="771" w:type="pct"/>
            <w:vAlign w:val="center"/>
          </w:tcPr>
          <w:p w14:paraId="3F92ECA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p>
        </w:tc>
        <w:tc>
          <w:tcPr>
            <w:tcW w:w="2397" w:type="pct"/>
            <w:vMerge w:val="continue"/>
            <w:vAlign w:val="center"/>
          </w:tcPr>
          <w:p w14:paraId="73D20507">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626001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7B27465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39D9F9E1">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1小时均值</w:t>
            </w:r>
          </w:p>
        </w:tc>
        <w:tc>
          <w:tcPr>
            <w:tcW w:w="771" w:type="pct"/>
            <w:vAlign w:val="center"/>
          </w:tcPr>
          <w:p w14:paraId="49F05D85">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w:t>
            </w:r>
          </w:p>
        </w:tc>
        <w:tc>
          <w:tcPr>
            <w:tcW w:w="2397" w:type="pct"/>
            <w:vMerge w:val="continue"/>
            <w:vAlign w:val="center"/>
          </w:tcPr>
          <w:p w14:paraId="32B2B237">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3F0816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7FB18DD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PM</w:t>
            </w:r>
            <w:r>
              <w:rPr>
                <w:rFonts w:hint="default" w:ascii="Times New Roman" w:hAnsi="Times New Roman" w:cs="Times New Roman"/>
                <w:color w:val="auto"/>
                <w:sz w:val="21"/>
                <w:szCs w:val="21"/>
                <w:u w:val="none"/>
                <w:vertAlign w:val="subscript"/>
              </w:rPr>
              <w:t>2.5</w:t>
            </w:r>
          </w:p>
        </w:tc>
        <w:tc>
          <w:tcPr>
            <w:tcW w:w="996" w:type="pct"/>
            <w:vAlign w:val="center"/>
          </w:tcPr>
          <w:p w14:paraId="1E5B483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w:t>
            </w:r>
          </w:p>
        </w:tc>
        <w:tc>
          <w:tcPr>
            <w:tcW w:w="771" w:type="pct"/>
            <w:vAlign w:val="center"/>
          </w:tcPr>
          <w:p w14:paraId="41C2330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0.035</w:t>
            </w:r>
          </w:p>
        </w:tc>
        <w:tc>
          <w:tcPr>
            <w:tcW w:w="2397" w:type="pct"/>
            <w:vMerge w:val="continue"/>
            <w:vAlign w:val="center"/>
          </w:tcPr>
          <w:p w14:paraId="490B1FFF">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5442D8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77A8DBD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26B1891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24小时平均</w:t>
            </w:r>
          </w:p>
        </w:tc>
        <w:tc>
          <w:tcPr>
            <w:tcW w:w="771" w:type="pct"/>
            <w:vAlign w:val="center"/>
          </w:tcPr>
          <w:p w14:paraId="73CF787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0.075</w:t>
            </w:r>
          </w:p>
        </w:tc>
        <w:tc>
          <w:tcPr>
            <w:tcW w:w="2397" w:type="pct"/>
            <w:vMerge w:val="continue"/>
            <w:vAlign w:val="center"/>
          </w:tcPr>
          <w:p w14:paraId="1908ECB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322C3A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5AFB8AE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TSP</w:t>
            </w:r>
          </w:p>
        </w:tc>
        <w:tc>
          <w:tcPr>
            <w:tcW w:w="996" w:type="pct"/>
            <w:vAlign w:val="center"/>
          </w:tcPr>
          <w:p w14:paraId="5E99CE9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年平均</w:t>
            </w:r>
          </w:p>
        </w:tc>
        <w:tc>
          <w:tcPr>
            <w:tcW w:w="771" w:type="pct"/>
            <w:vAlign w:val="center"/>
          </w:tcPr>
          <w:p w14:paraId="052E52B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0.2</w:t>
            </w:r>
          </w:p>
        </w:tc>
        <w:tc>
          <w:tcPr>
            <w:tcW w:w="2397" w:type="pct"/>
            <w:vMerge w:val="continue"/>
            <w:vAlign w:val="center"/>
          </w:tcPr>
          <w:p w14:paraId="5C8CE197">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080CFE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1FED1F3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20DDE69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24小时平均</w:t>
            </w:r>
          </w:p>
        </w:tc>
        <w:tc>
          <w:tcPr>
            <w:tcW w:w="771" w:type="pct"/>
            <w:vAlign w:val="center"/>
          </w:tcPr>
          <w:p w14:paraId="6D31577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w:t>
            </w:r>
          </w:p>
        </w:tc>
        <w:tc>
          <w:tcPr>
            <w:tcW w:w="2397" w:type="pct"/>
            <w:vMerge w:val="continue"/>
            <w:vAlign w:val="center"/>
          </w:tcPr>
          <w:p w14:paraId="1A441E2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3D925A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restart"/>
            <w:vAlign w:val="center"/>
          </w:tcPr>
          <w:p w14:paraId="7F5A915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u w:val="none"/>
              </w:rPr>
              <w:t>O</w:t>
            </w:r>
            <w:r>
              <w:rPr>
                <w:rFonts w:hint="default" w:ascii="Times New Roman" w:hAnsi="Times New Roman" w:cs="Times New Roman"/>
                <w:color w:val="auto"/>
                <w:u w:val="none"/>
                <w:vertAlign w:val="subscript"/>
              </w:rPr>
              <w:t>3</w:t>
            </w:r>
          </w:p>
        </w:tc>
        <w:tc>
          <w:tcPr>
            <w:tcW w:w="996" w:type="pct"/>
            <w:vAlign w:val="center"/>
          </w:tcPr>
          <w:p w14:paraId="60D1BA87">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日最大8小时平均</w:t>
            </w:r>
          </w:p>
        </w:tc>
        <w:tc>
          <w:tcPr>
            <w:tcW w:w="771" w:type="pct"/>
            <w:vAlign w:val="center"/>
          </w:tcPr>
          <w:p w14:paraId="4BEF5E4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0.16</w:t>
            </w:r>
          </w:p>
        </w:tc>
        <w:tc>
          <w:tcPr>
            <w:tcW w:w="2397" w:type="pct"/>
            <w:vMerge w:val="continue"/>
            <w:vAlign w:val="center"/>
          </w:tcPr>
          <w:p w14:paraId="5ADBE31A">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78E24E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Merge w:val="continue"/>
            <w:vAlign w:val="center"/>
          </w:tcPr>
          <w:p w14:paraId="0801C4AF">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c>
          <w:tcPr>
            <w:tcW w:w="996" w:type="pct"/>
            <w:vAlign w:val="center"/>
          </w:tcPr>
          <w:p w14:paraId="2C85661A">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1小时平均</w:t>
            </w:r>
          </w:p>
        </w:tc>
        <w:tc>
          <w:tcPr>
            <w:tcW w:w="771" w:type="pct"/>
            <w:vAlign w:val="center"/>
          </w:tcPr>
          <w:p w14:paraId="624BA4A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0.2</w:t>
            </w:r>
          </w:p>
        </w:tc>
        <w:tc>
          <w:tcPr>
            <w:tcW w:w="2397" w:type="pct"/>
            <w:vMerge w:val="continue"/>
            <w:vAlign w:val="center"/>
          </w:tcPr>
          <w:p w14:paraId="5C2F41D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p>
        </w:tc>
      </w:tr>
      <w:tr w14:paraId="19E2B6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4" w:type="pct"/>
            <w:vAlign w:val="center"/>
          </w:tcPr>
          <w:p w14:paraId="4C626925">
            <w:pPr>
              <w:adjustRightInd w:val="0"/>
              <w:snapToGrid w:val="0"/>
              <w:spacing w:line="240" w:lineRule="auto"/>
              <w:ind w:firstLine="0" w:firstLineChars="0"/>
              <w:jc w:val="center"/>
              <w:rPr>
                <w:rFonts w:hint="default" w:ascii="Times New Roman" w:hAnsi="Times New Roman" w:cs="Times New Roman"/>
                <w:color w:val="FF0000"/>
                <w:sz w:val="21"/>
                <w:szCs w:val="21"/>
                <w:u w:val="none"/>
              </w:rPr>
            </w:pPr>
            <w:r>
              <w:rPr>
                <w:rFonts w:hint="default" w:ascii="Times New Roman" w:hAnsi="Times New Roman" w:cs="Times New Roman"/>
                <w:color w:val="auto"/>
                <w:sz w:val="21"/>
                <w:szCs w:val="21"/>
                <w:u w:val="none"/>
              </w:rPr>
              <w:t>硫酸雾</w:t>
            </w:r>
          </w:p>
        </w:tc>
        <w:tc>
          <w:tcPr>
            <w:tcW w:w="996" w:type="pct"/>
            <w:vAlign w:val="center"/>
          </w:tcPr>
          <w:p w14:paraId="189A2722">
            <w:pPr>
              <w:adjustRightInd w:val="0"/>
              <w:snapToGrid w:val="0"/>
              <w:spacing w:line="240" w:lineRule="auto"/>
              <w:ind w:firstLine="0" w:firstLineChars="0"/>
              <w:jc w:val="center"/>
              <w:rPr>
                <w:rFonts w:hint="default" w:ascii="Times New Roman" w:hAnsi="Times New Roman" w:cs="Times New Roman"/>
                <w:color w:val="FF0000"/>
                <w:sz w:val="21"/>
                <w:szCs w:val="21"/>
                <w:u w:val="none"/>
              </w:rPr>
            </w:pPr>
            <w:r>
              <w:rPr>
                <w:rFonts w:hint="default" w:ascii="Times New Roman" w:hAnsi="Times New Roman" w:cs="Times New Roman"/>
                <w:color w:val="auto"/>
                <w:sz w:val="21"/>
                <w:szCs w:val="21"/>
                <w:u w:val="none"/>
              </w:rPr>
              <w:t>1小时均值</w:t>
            </w:r>
          </w:p>
        </w:tc>
        <w:tc>
          <w:tcPr>
            <w:tcW w:w="771" w:type="pct"/>
            <w:vAlign w:val="center"/>
          </w:tcPr>
          <w:p w14:paraId="2D139E32">
            <w:pPr>
              <w:adjustRightInd w:val="0"/>
              <w:snapToGrid w:val="0"/>
              <w:spacing w:line="240" w:lineRule="auto"/>
              <w:ind w:firstLine="0" w:firstLineChars="0"/>
              <w:jc w:val="center"/>
              <w:rPr>
                <w:rFonts w:hint="default" w:ascii="Times New Roman" w:hAnsi="Times New Roman" w:cs="Times New Roman"/>
                <w:color w:val="FF0000"/>
                <w:sz w:val="21"/>
                <w:szCs w:val="21"/>
                <w:u w:val="none"/>
              </w:rPr>
            </w:pPr>
            <w:r>
              <w:rPr>
                <w:rFonts w:hint="default" w:ascii="Times New Roman" w:hAnsi="Times New Roman" w:cs="Times New Roman"/>
                <w:color w:val="auto"/>
                <w:sz w:val="21"/>
                <w:szCs w:val="21"/>
                <w:u w:val="none"/>
              </w:rPr>
              <w:t>0.3</w:t>
            </w:r>
          </w:p>
        </w:tc>
        <w:tc>
          <w:tcPr>
            <w:tcW w:w="2397" w:type="pct"/>
            <w:vAlign w:val="center"/>
          </w:tcPr>
          <w:p w14:paraId="692E3AE9">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《环境影响评价技术导则 大气环境》（HJ2.2-2018）中附录D表D.1</w:t>
            </w:r>
          </w:p>
        </w:tc>
      </w:tr>
    </w:tbl>
    <w:p w14:paraId="3AAF49D1">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地表水环境质量标准</w:t>
      </w:r>
    </w:p>
    <w:p w14:paraId="7E63DD7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城陵矶临港产业新区污水处理厂经象骨港汇入长江，汇入口上游500m至下游1.5km的范围长江水域执行《地表水环境质量标准》（GB3838-2002）Ⅲ类标准；象骨港兼顾渔业用水、农业用水，从严执行《地表水环境质量标准》（GB3838-2002）中Ⅲ类标准。</w:t>
      </w:r>
    </w:p>
    <w:p w14:paraId="1E4A090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表2.3-2  《地表水环境质量标准》(GB3838-2002)Ⅲ类标准（摘录）</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58"/>
        <w:gridCol w:w="4994"/>
      </w:tblGrid>
      <w:tr w14:paraId="55E87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0F1F137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污染物名称</w:t>
            </w:r>
          </w:p>
        </w:tc>
        <w:tc>
          <w:tcPr>
            <w:tcW w:w="2534" w:type="pct"/>
            <w:tcBorders>
              <w:tl2br w:val="nil"/>
              <w:tr2bl w:val="nil"/>
            </w:tcBorders>
            <w:vAlign w:val="center"/>
          </w:tcPr>
          <w:p w14:paraId="4FCBADF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Ⅲ类标准值</w:t>
            </w:r>
          </w:p>
        </w:tc>
      </w:tr>
      <w:tr w14:paraId="764CF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299AEA00">
            <w:pPr>
              <w:pStyle w:val="41"/>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2534" w:type="pct"/>
            <w:tcBorders>
              <w:tl2br w:val="nil"/>
              <w:tr2bl w:val="nil"/>
            </w:tcBorders>
            <w:vAlign w:val="center"/>
          </w:tcPr>
          <w:p w14:paraId="3A598621">
            <w:pPr>
              <w:pStyle w:val="41"/>
              <w:rPr>
                <w:rFonts w:hint="default" w:ascii="Times New Roman" w:hAnsi="Times New Roman" w:cs="Times New Roman"/>
                <w:color w:val="auto"/>
                <w:u w:val="none"/>
              </w:rPr>
            </w:pPr>
            <w:r>
              <w:rPr>
                <w:rFonts w:hint="default" w:ascii="Times New Roman" w:hAnsi="Times New Roman" w:cs="Times New Roman"/>
                <w:color w:val="auto"/>
                <w:u w:val="none"/>
              </w:rPr>
              <w:t>6~9</w:t>
            </w:r>
          </w:p>
        </w:tc>
      </w:tr>
      <w:tr w14:paraId="68F65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58EC6378">
            <w:pPr>
              <w:pStyle w:val="41"/>
              <w:rPr>
                <w:rFonts w:hint="default" w:ascii="Times New Roman" w:hAnsi="Times New Roman" w:cs="Times New Roman"/>
                <w:color w:val="auto"/>
                <w:u w:val="none"/>
              </w:rPr>
            </w:pPr>
            <w:r>
              <w:rPr>
                <w:rFonts w:hint="default" w:ascii="Times New Roman" w:hAnsi="Times New Roman" w:cs="Times New Roman"/>
                <w:color w:val="auto"/>
                <w:u w:val="none"/>
              </w:rPr>
              <w:t>高锰酸盐指数</w:t>
            </w:r>
          </w:p>
        </w:tc>
        <w:tc>
          <w:tcPr>
            <w:tcW w:w="2534" w:type="pct"/>
            <w:tcBorders>
              <w:tl2br w:val="nil"/>
              <w:tr2bl w:val="nil"/>
            </w:tcBorders>
            <w:vAlign w:val="center"/>
          </w:tcPr>
          <w:p w14:paraId="72609719">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r>
      <w:tr w14:paraId="3BCC14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47424396">
            <w:pPr>
              <w:pStyle w:val="41"/>
              <w:rPr>
                <w:rFonts w:hint="default" w:ascii="Times New Roman" w:hAnsi="Times New Roman" w:cs="Times New Roman"/>
                <w:color w:val="auto"/>
                <w:u w:val="none"/>
              </w:rPr>
            </w:pPr>
            <w:r>
              <w:rPr>
                <w:rFonts w:hint="default" w:ascii="Times New Roman" w:hAnsi="Times New Roman" w:cs="Times New Roman"/>
                <w:color w:val="auto"/>
                <w:u w:val="none"/>
              </w:rPr>
              <w:t>COD</w:t>
            </w:r>
          </w:p>
        </w:tc>
        <w:tc>
          <w:tcPr>
            <w:tcW w:w="2534" w:type="pct"/>
            <w:tcBorders>
              <w:tl2br w:val="nil"/>
              <w:tr2bl w:val="nil"/>
            </w:tcBorders>
            <w:vAlign w:val="center"/>
          </w:tcPr>
          <w:p w14:paraId="3FE5F7D1">
            <w:pPr>
              <w:pStyle w:val="41"/>
              <w:rPr>
                <w:rFonts w:hint="default" w:ascii="Times New Roman" w:hAnsi="Times New Roman" w:cs="Times New Roman"/>
                <w:color w:val="auto"/>
                <w:u w:val="none"/>
              </w:rPr>
            </w:pPr>
            <w:r>
              <w:rPr>
                <w:rFonts w:hint="default" w:ascii="Times New Roman" w:hAnsi="Times New Roman" w:cs="Times New Roman"/>
                <w:color w:val="auto"/>
                <w:u w:val="none"/>
              </w:rPr>
              <w:t>≤20</w:t>
            </w:r>
          </w:p>
        </w:tc>
      </w:tr>
      <w:tr w14:paraId="5830C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185F15CC">
            <w:pPr>
              <w:pStyle w:val="41"/>
              <w:rPr>
                <w:rFonts w:hint="default" w:ascii="Times New Roman" w:hAnsi="Times New Roman" w:cs="Times New Roman"/>
                <w:color w:val="auto"/>
                <w:u w:val="none"/>
              </w:rPr>
            </w:pPr>
            <w:r>
              <w:rPr>
                <w:rFonts w:hint="default" w:ascii="Times New Roman" w:hAnsi="Times New Roman" w:cs="Times New Roman"/>
                <w:color w:val="auto"/>
                <w:u w:val="none"/>
              </w:rPr>
              <w:t>BOD</w:t>
            </w:r>
            <w:r>
              <w:rPr>
                <w:rFonts w:hint="default" w:ascii="Times New Roman" w:hAnsi="Times New Roman" w:cs="Times New Roman"/>
                <w:color w:val="auto"/>
                <w:u w:val="none"/>
                <w:vertAlign w:val="subscript"/>
              </w:rPr>
              <w:t>5</w:t>
            </w:r>
          </w:p>
        </w:tc>
        <w:tc>
          <w:tcPr>
            <w:tcW w:w="2534" w:type="pct"/>
            <w:tcBorders>
              <w:tl2br w:val="nil"/>
              <w:tr2bl w:val="nil"/>
            </w:tcBorders>
            <w:vAlign w:val="center"/>
          </w:tcPr>
          <w:p w14:paraId="34A2447E">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r>
      <w:tr w14:paraId="381DF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00028DAF">
            <w:pPr>
              <w:pStyle w:val="41"/>
              <w:rPr>
                <w:rFonts w:hint="default" w:ascii="Times New Roman" w:hAnsi="Times New Roman" w:cs="Times New Roman"/>
                <w:color w:val="auto"/>
                <w:u w:val="none"/>
              </w:rPr>
            </w:pP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2534" w:type="pct"/>
            <w:tcBorders>
              <w:tl2br w:val="nil"/>
              <w:tr2bl w:val="nil"/>
            </w:tcBorders>
            <w:vAlign w:val="center"/>
          </w:tcPr>
          <w:p w14:paraId="1F2C4766">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701C3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289D25B2">
            <w:pPr>
              <w:pStyle w:val="41"/>
              <w:rPr>
                <w:rFonts w:hint="default" w:ascii="Times New Roman" w:hAnsi="Times New Roman" w:cs="Times New Roman"/>
                <w:color w:val="auto"/>
                <w:u w:val="none"/>
              </w:rPr>
            </w:pPr>
            <w:r>
              <w:rPr>
                <w:rFonts w:hint="default" w:ascii="Times New Roman" w:hAnsi="Times New Roman" w:cs="Times New Roman"/>
                <w:color w:val="auto"/>
                <w:u w:val="none"/>
              </w:rPr>
              <w:t>TP</w:t>
            </w:r>
          </w:p>
        </w:tc>
        <w:tc>
          <w:tcPr>
            <w:tcW w:w="2534" w:type="pct"/>
            <w:tcBorders>
              <w:tl2br w:val="nil"/>
              <w:tr2bl w:val="nil"/>
            </w:tcBorders>
            <w:vAlign w:val="center"/>
          </w:tcPr>
          <w:p w14:paraId="00CFCE8D">
            <w:pPr>
              <w:pStyle w:val="41"/>
              <w:rPr>
                <w:rFonts w:hint="default" w:ascii="Times New Roman" w:hAnsi="Times New Roman" w:cs="Times New Roman"/>
                <w:color w:val="auto"/>
                <w:u w:val="none"/>
              </w:rPr>
            </w:pPr>
            <w:r>
              <w:rPr>
                <w:rFonts w:hint="default" w:ascii="Times New Roman" w:hAnsi="Times New Roman" w:cs="Times New Roman"/>
                <w:color w:val="auto"/>
                <w:u w:val="none"/>
              </w:rPr>
              <w:t>≤0.2</w:t>
            </w:r>
          </w:p>
        </w:tc>
      </w:tr>
      <w:tr w14:paraId="6BD76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47D5F54A">
            <w:pPr>
              <w:pStyle w:val="41"/>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2534" w:type="pct"/>
            <w:tcBorders>
              <w:tl2br w:val="nil"/>
              <w:tr2bl w:val="nil"/>
            </w:tcBorders>
            <w:vAlign w:val="center"/>
          </w:tcPr>
          <w:p w14:paraId="2A51B812">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122C1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14B15134">
            <w:pPr>
              <w:pStyle w:val="41"/>
              <w:rPr>
                <w:rFonts w:hint="default" w:ascii="Times New Roman" w:hAnsi="Times New Roman" w:cs="Times New Roman"/>
                <w:color w:val="auto"/>
                <w:u w:val="none"/>
              </w:rPr>
            </w:pPr>
            <w:r>
              <w:rPr>
                <w:rFonts w:hint="default" w:ascii="Times New Roman" w:hAnsi="Times New Roman" w:cs="Times New Roman"/>
                <w:color w:val="auto"/>
                <w:u w:val="none"/>
              </w:rPr>
              <w:t>锌</w:t>
            </w:r>
          </w:p>
        </w:tc>
        <w:tc>
          <w:tcPr>
            <w:tcW w:w="2534" w:type="pct"/>
            <w:tcBorders>
              <w:tl2br w:val="nil"/>
              <w:tr2bl w:val="nil"/>
            </w:tcBorders>
            <w:vAlign w:val="center"/>
          </w:tcPr>
          <w:p w14:paraId="6EB56FD9">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08F69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7F7FD77A">
            <w:pPr>
              <w:pStyle w:val="41"/>
              <w:rPr>
                <w:rFonts w:hint="default" w:ascii="Times New Roman" w:hAnsi="Times New Roman" w:cs="Times New Roman"/>
                <w:color w:val="auto"/>
                <w:u w:val="none"/>
              </w:rPr>
            </w:pPr>
            <w:r>
              <w:rPr>
                <w:rFonts w:hint="default" w:ascii="Times New Roman" w:hAnsi="Times New Roman" w:cs="Times New Roman"/>
                <w:color w:val="auto"/>
                <w:u w:val="none"/>
              </w:rPr>
              <w:t>氟化物</w:t>
            </w:r>
          </w:p>
        </w:tc>
        <w:tc>
          <w:tcPr>
            <w:tcW w:w="2534" w:type="pct"/>
            <w:tcBorders>
              <w:tl2br w:val="nil"/>
              <w:tr2bl w:val="nil"/>
            </w:tcBorders>
            <w:vAlign w:val="center"/>
          </w:tcPr>
          <w:p w14:paraId="74943F85">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01D2E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4F03E29E">
            <w:pPr>
              <w:pStyle w:val="41"/>
              <w:rPr>
                <w:rFonts w:hint="default" w:ascii="Times New Roman" w:hAnsi="Times New Roman" w:cs="Times New Roman"/>
                <w:color w:val="auto"/>
                <w:u w:val="none"/>
              </w:rPr>
            </w:pPr>
            <w:r>
              <w:rPr>
                <w:rFonts w:hint="default" w:ascii="Times New Roman" w:hAnsi="Times New Roman" w:cs="Times New Roman"/>
                <w:color w:val="auto"/>
                <w:u w:val="none"/>
              </w:rPr>
              <w:t>硒</w:t>
            </w:r>
          </w:p>
        </w:tc>
        <w:tc>
          <w:tcPr>
            <w:tcW w:w="2534" w:type="pct"/>
            <w:tcBorders>
              <w:tl2br w:val="nil"/>
              <w:tr2bl w:val="nil"/>
            </w:tcBorders>
            <w:vAlign w:val="center"/>
          </w:tcPr>
          <w:p w14:paraId="0FC47DC5">
            <w:pPr>
              <w:pStyle w:val="41"/>
              <w:rPr>
                <w:rFonts w:hint="default" w:ascii="Times New Roman" w:hAnsi="Times New Roman" w:cs="Times New Roman"/>
                <w:color w:val="auto"/>
                <w:u w:val="none"/>
              </w:rPr>
            </w:pPr>
            <w:r>
              <w:rPr>
                <w:rFonts w:hint="default" w:ascii="Times New Roman" w:hAnsi="Times New Roman" w:cs="Times New Roman"/>
                <w:color w:val="auto"/>
                <w:u w:val="none"/>
              </w:rPr>
              <w:t>≤0.01</w:t>
            </w:r>
          </w:p>
        </w:tc>
      </w:tr>
      <w:tr w14:paraId="0E078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1F20C4CB">
            <w:pPr>
              <w:pStyle w:val="41"/>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2534" w:type="pct"/>
            <w:tcBorders>
              <w:tl2br w:val="nil"/>
              <w:tr2bl w:val="nil"/>
            </w:tcBorders>
            <w:vAlign w:val="center"/>
          </w:tcPr>
          <w:p w14:paraId="580C8ACD">
            <w:pPr>
              <w:pStyle w:val="41"/>
              <w:rPr>
                <w:rFonts w:hint="default" w:ascii="Times New Roman" w:hAnsi="Times New Roman" w:cs="Times New Roman"/>
                <w:color w:val="auto"/>
                <w:u w:val="none"/>
              </w:rPr>
            </w:pPr>
            <w:r>
              <w:rPr>
                <w:rFonts w:hint="default" w:ascii="Times New Roman" w:hAnsi="Times New Roman" w:cs="Times New Roman"/>
                <w:color w:val="auto"/>
                <w:u w:val="none"/>
              </w:rPr>
              <w:t>≤0.05</w:t>
            </w:r>
          </w:p>
        </w:tc>
      </w:tr>
      <w:tr w14:paraId="037D1A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61DEC2E6">
            <w:pPr>
              <w:pStyle w:val="41"/>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2534" w:type="pct"/>
            <w:tcBorders>
              <w:tl2br w:val="nil"/>
              <w:tr2bl w:val="nil"/>
            </w:tcBorders>
            <w:vAlign w:val="center"/>
          </w:tcPr>
          <w:p w14:paraId="1E530B85">
            <w:pPr>
              <w:pStyle w:val="41"/>
              <w:rPr>
                <w:rFonts w:hint="default" w:ascii="Times New Roman" w:hAnsi="Times New Roman" w:cs="Times New Roman"/>
                <w:color w:val="auto"/>
                <w:u w:val="none"/>
              </w:rPr>
            </w:pPr>
            <w:r>
              <w:rPr>
                <w:rFonts w:hint="default" w:ascii="Times New Roman" w:hAnsi="Times New Roman" w:cs="Times New Roman"/>
                <w:color w:val="auto"/>
                <w:u w:val="none"/>
              </w:rPr>
              <w:t>≤0.0001</w:t>
            </w:r>
          </w:p>
        </w:tc>
      </w:tr>
      <w:tr w14:paraId="57413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58264081">
            <w:pPr>
              <w:pStyle w:val="41"/>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2534" w:type="pct"/>
            <w:tcBorders>
              <w:tl2br w:val="nil"/>
              <w:tr2bl w:val="nil"/>
            </w:tcBorders>
            <w:vAlign w:val="center"/>
          </w:tcPr>
          <w:p w14:paraId="3251D8A8">
            <w:pPr>
              <w:pStyle w:val="41"/>
              <w:rPr>
                <w:rFonts w:hint="default" w:ascii="Times New Roman" w:hAnsi="Times New Roman" w:cs="Times New Roman"/>
                <w:color w:val="auto"/>
                <w:u w:val="none"/>
              </w:rPr>
            </w:pPr>
            <w:r>
              <w:rPr>
                <w:rFonts w:hint="default" w:ascii="Times New Roman" w:hAnsi="Times New Roman" w:cs="Times New Roman"/>
                <w:color w:val="auto"/>
                <w:u w:val="none"/>
              </w:rPr>
              <w:t>≤0.005</w:t>
            </w:r>
          </w:p>
        </w:tc>
      </w:tr>
      <w:tr w14:paraId="2C97BD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43CC1954">
            <w:pPr>
              <w:pStyle w:val="41"/>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2534" w:type="pct"/>
            <w:tcBorders>
              <w:tl2br w:val="nil"/>
              <w:tr2bl w:val="nil"/>
            </w:tcBorders>
            <w:vAlign w:val="center"/>
          </w:tcPr>
          <w:p w14:paraId="72BC6F09">
            <w:pPr>
              <w:pStyle w:val="41"/>
              <w:rPr>
                <w:rFonts w:hint="default" w:ascii="Times New Roman" w:hAnsi="Times New Roman" w:cs="Times New Roman"/>
                <w:color w:val="auto"/>
                <w:u w:val="none"/>
              </w:rPr>
            </w:pPr>
            <w:r>
              <w:rPr>
                <w:rFonts w:hint="default" w:ascii="Times New Roman" w:hAnsi="Times New Roman" w:cs="Times New Roman"/>
                <w:color w:val="auto"/>
                <w:u w:val="none"/>
              </w:rPr>
              <w:t>≤0.05</w:t>
            </w:r>
          </w:p>
        </w:tc>
      </w:tr>
      <w:tr w14:paraId="297C7C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1EEE4F6F">
            <w:pPr>
              <w:pStyle w:val="41"/>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2534" w:type="pct"/>
            <w:tcBorders>
              <w:tl2br w:val="nil"/>
              <w:tr2bl w:val="nil"/>
            </w:tcBorders>
            <w:vAlign w:val="center"/>
          </w:tcPr>
          <w:p w14:paraId="4796CAD4">
            <w:pPr>
              <w:pStyle w:val="41"/>
              <w:rPr>
                <w:rFonts w:hint="default" w:ascii="Times New Roman" w:hAnsi="Times New Roman" w:cs="Times New Roman"/>
                <w:color w:val="auto"/>
                <w:u w:val="none"/>
              </w:rPr>
            </w:pPr>
            <w:r>
              <w:rPr>
                <w:rFonts w:hint="default" w:ascii="Times New Roman" w:hAnsi="Times New Roman" w:cs="Times New Roman"/>
                <w:color w:val="auto"/>
                <w:u w:val="none"/>
              </w:rPr>
              <w:t>≤0.05</w:t>
            </w:r>
          </w:p>
        </w:tc>
      </w:tr>
      <w:tr w14:paraId="35A083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74D04659">
            <w:pPr>
              <w:pStyle w:val="41"/>
              <w:rPr>
                <w:rFonts w:hint="default" w:ascii="Times New Roman" w:hAnsi="Times New Roman" w:cs="Times New Roman"/>
                <w:color w:val="auto"/>
                <w:u w:val="none"/>
              </w:rPr>
            </w:pPr>
            <w:r>
              <w:rPr>
                <w:rFonts w:hint="default" w:ascii="Times New Roman" w:hAnsi="Times New Roman" w:cs="Times New Roman"/>
                <w:color w:val="auto"/>
                <w:u w:val="none"/>
              </w:rPr>
              <w:t>氰化物</w:t>
            </w:r>
          </w:p>
        </w:tc>
        <w:tc>
          <w:tcPr>
            <w:tcW w:w="2534" w:type="pct"/>
            <w:tcBorders>
              <w:tl2br w:val="nil"/>
              <w:tr2bl w:val="nil"/>
            </w:tcBorders>
            <w:vAlign w:val="center"/>
          </w:tcPr>
          <w:p w14:paraId="56ECCBE8">
            <w:pPr>
              <w:pStyle w:val="41"/>
              <w:rPr>
                <w:rFonts w:hint="default" w:ascii="Times New Roman" w:hAnsi="Times New Roman" w:cs="Times New Roman"/>
                <w:color w:val="auto"/>
                <w:u w:val="none"/>
              </w:rPr>
            </w:pPr>
            <w:r>
              <w:rPr>
                <w:rFonts w:hint="default" w:ascii="Times New Roman" w:hAnsi="Times New Roman" w:cs="Times New Roman"/>
                <w:color w:val="auto"/>
                <w:u w:val="none"/>
              </w:rPr>
              <w:t>≤0.2</w:t>
            </w:r>
          </w:p>
        </w:tc>
      </w:tr>
      <w:tr w14:paraId="12A295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531666C1">
            <w:pPr>
              <w:pStyle w:val="41"/>
              <w:rPr>
                <w:rFonts w:hint="default" w:ascii="Times New Roman" w:hAnsi="Times New Roman" w:cs="Times New Roman"/>
                <w:color w:val="auto"/>
                <w:u w:val="none"/>
              </w:rPr>
            </w:pPr>
            <w:r>
              <w:rPr>
                <w:rFonts w:hint="default" w:ascii="Times New Roman" w:hAnsi="Times New Roman" w:cs="Times New Roman"/>
                <w:color w:val="auto"/>
                <w:u w:val="none"/>
              </w:rPr>
              <w:t>挥发酚</w:t>
            </w:r>
          </w:p>
        </w:tc>
        <w:tc>
          <w:tcPr>
            <w:tcW w:w="2534" w:type="pct"/>
            <w:tcBorders>
              <w:tl2br w:val="nil"/>
              <w:tr2bl w:val="nil"/>
            </w:tcBorders>
            <w:vAlign w:val="center"/>
          </w:tcPr>
          <w:p w14:paraId="461263AA">
            <w:pPr>
              <w:pStyle w:val="41"/>
              <w:rPr>
                <w:rFonts w:hint="default" w:ascii="Times New Roman" w:hAnsi="Times New Roman" w:cs="Times New Roman"/>
                <w:color w:val="auto"/>
                <w:u w:val="none"/>
              </w:rPr>
            </w:pPr>
            <w:r>
              <w:rPr>
                <w:rFonts w:hint="default" w:ascii="Times New Roman" w:hAnsi="Times New Roman" w:cs="Times New Roman"/>
                <w:color w:val="auto"/>
                <w:u w:val="none"/>
              </w:rPr>
              <w:t>≤0.005</w:t>
            </w:r>
          </w:p>
        </w:tc>
      </w:tr>
      <w:tr w14:paraId="5EEB3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2E193E6C">
            <w:pPr>
              <w:pStyle w:val="41"/>
              <w:rPr>
                <w:rFonts w:hint="default" w:ascii="Times New Roman" w:hAnsi="Times New Roman" w:cs="Times New Roman"/>
                <w:color w:val="auto"/>
                <w:u w:val="none"/>
              </w:rPr>
            </w:pPr>
            <w:r>
              <w:rPr>
                <w:rFonts w:hint="default" w:ascii="Times New Roman" w:hAnsi="Times New Roman" w:cs="Times New Roman"/>
                <w:color w:val="auto"/>
                <w:u w:val="none"/>
              </w:rPr>
              <w:t>石油类</w:t>
            </w:r>
          </w:p>
        </w:tc>
        <w:tc>
          <w:tcPr>
            <w:tcW w:w="2534" w:type="pct"/>
            <w:tcBorders>
              <w:tl2br w:val="nil"/>
              <w:tr2bl w:val="nil"/>
            </w:tcBorders>
            <w:vAlign w:val="center"/>
          </w:tcPr>
          <w:p w14:paraId="35EDC6E5">
            <w:pPr>
              <w:pStyle w:val="41"/>
              <w:rPr>
                <w:rFonts w:hint="default" w:ascii="Times New Roman" w:hAnsi="Times New Roman" w:cs="Times New Roman"/>
                <w:color w:val="auto"/>
                <w:u w:val="none"/>
              </w:rPr>
            </w:pPr>
            <w:r>
              <w:rPr>
                <w:rFonts w:hint="default" w:ascii="Times New Roman" w:hAnsi="Times New Roman" w:cs="Times New Roman"/>
                <w:color w:val="auto"/>
                <w:u w:val="none"/>
              </w:rPr>
              <w:t>≤0.05</w:t>
            </w:r>
          </w:p>
        </w:tc>
      </w:tr>
      <w:tr w14:paraId="7B3E41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6397E8E9">
            <w:pPr>
              <w:pStyle w:val="41"/>
              <w:rPr>
                <w:rFonts w:hint="default" w:ascii="Times New Roman" w:hAnsi="Times New Roman" w:cs="Times New Roman"/>
                <w:color w:val="auto"/>
                <w:u w:val="none"/>
              </w:rPr>
            </w:pPr>
            <w:r>
              <w:rPr>
                <w:rFonts w:hint="default" w:ascii="Times New Roman" w:hAnsi="Times New Roman" w:cs="Times New Roman"/>
                <w:color w:val="auto"/>
                <w:u w:val="none"/>
              </w:rPr>
              <w:t>阴离子表面活性剂</w:t>
            </w:r>
          </w:p>
        </w:tc>
        <w:tc>
          <w:tcPr>
            <w:tcW w:w="2534" w:type="pct"/>
            <w:tcBorders>
              <w:tl2br w:val="nil"/>
              <w:tr2bl w:val="nil"/>
            </w:tcBorders>
            <w:vAlign w:val="center"/>
          </w:tcPr>
          <w:p w14:paraId="139C4D19">
            <w:pPr>
              <w:pStyle w:val="41"/>
              <w:rPr>
                <w:rFonts w:hint="default" w:ascii="Times New Roman" w:hAnsi="Times New Roman" w:cs="Times New Roman"/>
                <w:color w:val="auto"/>
                <w:u w:val="none"/>
              </w:rPr>
            </w:pPr>
            <w:r>
              <w:rPr>
                <w:rFonts w:hint="default" w:ascii="Times New Roman" w:hAnsi="Times New Roman" w:cs="Times New Roman"/>
                <w:color w:val="auto"/>
                <w:u w:val="none"/>
              </w:rPr>
              <w:t>≤0.2</w:t>
            </w:r>
          </w:p>
        </w:tc>
      </w:tr>
      <w:tr w14:paraId="62AA8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232DF855">
            <w:pPr>
              <w:pStyle w:val="41"/>
              <w:rPr>
                <w:rFonts w:hint="default" w:ascii="Times New Roman" w:hAnsi="Times New Roman" w:cs="Times New Roman"/>
                <w:color w:val="auto"/>
                <w:u w:val="none"/>
              </w:rPr>
            </w:pPr>
            <w:r>
              <w:rPr>
                <w:rFonts w:hint="default" w:ascii="Times New Roman" w:hAnsi="Times New Roman" w:cs="Times New Roman"/>
                <w:color w:val="auto"/>
                <w:u w:val="none"/>
              </w:rPr>
              <w:t>硫化物</w:t>
            </w:r>
          </w:p>
        </w:tc>
        <w:tc>
          <w:tcPr>
            <w:tcW w:w="2534" w:type="pct"/>
            <w:tcBorders>
              <w:tl2br w:val="nil"/>
              <w:tr2bl w:val="nil"/>
            </w:tcBorders>
            <w:vAlign w:val="center"/>
          </w:tcPr>
          <w:p w14:paraId="6CC93040">
            <w:pPr>
              <w:pStyle w:val="41"/>
              <w:rPr>
                <w:rFonts w:hint="default" w:ascii="Times New Roman" w:hAnsi="Times New Roman" w:cs="Times New Roman"/>
                <w:color w:val="auto"/>
                <w:u w:val="none"/>
              </w:rPr>
            </w:pPr>
            <w:r>
              <w:rPr>
                <w:rFonts w:hint="default" w:ascii="Times New Roman" w:hAnsi="Times New Roman" w:cs="Times New Roman"/>
                <w:color w:val="auto"/>
                <w:u w:val="none"/>
              </w:rPr>
              <w:t>≤0.2</w:t>
            </w:r>
          </w:p>
        </w:tc>
      </w:tr>
      <w:tr w14:paraId="1ED9A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2643D9B7">
            <w:pPr>
              <w:pStyle w:val="41"/>
              <w:rPr>
                <w:rFonts w:hint="default" w:ascii="Times New Roman" w:hAnsi="Times New Roman" w:cs="Times New Roman"/>
                <w:color w:val="auto"/>
                <w:u w:val="none"/>
              </w:rPr>
            </w:pPr>
            <w:r>
              <w:rPr>
                <w:rFonts w:hint="default" w:ascii="Times New Roman" w:hAnsi="Times New Roman" w:cs="Times New Roman"/>
                <w:color w:val="auto"/>
                <w:u w:val="none"/>
              </w:rPr>
              <w:t>铬（六价）</w:t>
            </w:r>
          </w:p>
        </w:tc>
        <w:tc>
          <w:tcPr>
            <w:tcW w:w="2534" w:type="pct"/>
            <w:tcBorders>
              <w:tl2br w:val="nil"/>
              <w:tr2bl w:val="nil"/>
            </w:tcBorders>
            <w:vAlign w:val="center"/>
          </w:tcPr>
          <w:p w14:paraId="6C341545">
            <w:pPr>
              <w:pStyle w:val="41"/>
              <w:rPr>
                <w:rFonts w:hint="default" w:ascii="Times New Roman" w:hAnsi="Times New Roman" w:cs="Times New Roman"/>
                <w:color w:val="auto"/>
                <w:u w:val="none"/>
              </w:rPr>
            </w:pPr>
            <w:r>
              <w:rPr>
                <w:rFonts w:hint="default" w:ascii="Times New Roman" w:hAnsi="Times New Roman" w:cs="Times New Roman"/>
                <w:color w:val="auto"/>
                <w:u w:val="none"/>
              </w:rPr>
              <w:t>≤0.05</w:t>
            </w:r>
          </w:p>
        </w:tc>
      </w:tr>
      <w:tr w14:paraId="08587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65" w:type="pct"/>
            <w:tcBorders>
              <w:tl2br w:val="nil"/>
              <w:tr2bl w:val="nil"/>
            </w:tcBorders>
            <w:vAlign w:val="center"/>
          </w:tcPr>
          <w:p w14:paraId="50F1F566">
            <w:pPr>
              <w:pStyle w:val="41"/>
              <w:rPr>
                <w:rFonts w:hint="default" w:ascii="Times New Roman" w:hAnsi="Times New Roman" w:cs="Times New Roman"/>
                <w:color w:val="auto"/>
                <w:u w:val="none"/>
              </w:rPr>
            </w:pPr>
            <w:r>
              <w:rPr>
                <w:rFonts w:hint="default" w:ascii="Times New Roman" w:hAnsi="Times New Roman" w:cs="Times New Roman"/>
                <w:color w:val="auto"/>
                <w:u w:val="none"/>
              </w:rPr>
              <w:t>镍（集中式生活饮用水地表水源地特定项目标准限值）</w:t>
            </w:r>
          </w:p>
        </w:tc>
        <w:tc>
          <w:tcPr>
            <w:tcW w:w="2534" w:type="pct"/>
            <w:tcBorders>
              <w:tl2br w:val="nil"/>
              <w:tr2bl w:val="nil"/>
            </w:tcBorders>
            <w:vAlign w:val="center"/>
          </w:tcPr>
          <w:p w14:paraId="64E5F891">
            <w:pPr>
              <w:pStyle w:val="41"/>
              <w:rPr>
                <w:rFonts w:hint="default" w:ascii="Times New Roman" w:hAnsi="Times New Roman" w:cs="Times New Roman"/>
                <w:color w:val="auto"/>
                <w:u w:val="none"/>
              </w:rPr>
            </w:pPr>
            <w:r>
              <w:rPr>
                <w:rFonts w:hint="default" w:ascii="Times New Roman" w:hAnsi="Times New Roman" w:cs="Times New Roman"/>
                <w:color w:val="auto"/>
                <w:u w:val="none"/>
              </w:rPr>
              <w:t>≤0.02</w:t>
            </w:r>
          </w:p>
        </w:tc>
      </w:tr>
    </w:tbl>
    <w:p w14:paraId="1FB6B063">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地下水质量标准</w:t>
      </w:r>
    </w:p>
    <w:p w14:paraId="722607A8">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Style w:val="40"/>
          <w:rFonts w:hint="default" w:ascii="Times New Roman" w:hAnsi="Times New Roman" w:cs="Times New Roman"/>
          <w:color w:val="auto"/>
          <w:u w:val="none"/>
        </w:rPr>
      </w:pPr>
      <w:r>
        <w:rPr>
          <w:rFonts w:hint="default" w:ascii="Times New Roman" w:hAnsi="Times New Roman" w:cs="Times New Roman"/>
          <w:color w:val="auto"/>
          <w:u w:val="none"/>
        </w:rPr>
        <w:t>项目所在区域地下水水质执行《地下水质量标准》（GB/T 14848—2017）Ⅲ类标准。</w:t>
      </w:r>
      <w:r>
        <w:rPr>
          <w:rFonts w:hint="default" w:ascii="Times New Roman" w:hAnsi="Times New Roman" w:eastAsia="黑体" w:cs="Times New Roman"/>
          <w:b/>
          <w:bCs/>
          <w:color w:val="auto"/>
          <w:kern w:val="0"/>
          <w:sz w:val="24"/>
          <w:szCs w:val="20"/>
          <w:u w:val="none"/>
          <w:lang w:val="en-US" w:eastAsia="zh-CN" w:bidi="ar-SA"/>
        </w:rPr>
        <w:t>表2.3-3</w:t>
      </w:r>
      <w:r>
        <w:rPr>
          <w:rFonts w:hint="eastAsia" w:ascii="Times New Roman" w:hAnsi="Times New Roman" w:eastAsia="黑体" w:cs="Times New Roman"/>
          <w:b/>
          <w:bCs/>
          <w:color w:val="auto"/>
          <w:kern w:val="0"/>
          <w:sz w:val="24"/>
          <w:szCs w:val="20"/>
          <w:u w:val="none"/>
          <w:lang w:val="en-US" w:eastAsia="zh-CN" w:bidi="ar-SA"/>
        </w:rPr>
        <w:t xml:space="preserve">  </w:t>
      </w:r>
      <w:r>
        <w:rPr>
          <w:rFonts w:hint="default" w:ascii="Times New Roman" w:hAnsi="Times New Roman" w:eastAsia="黑体" w:cs="Times New Roman"/>
          <w:b/>
          <w:bCs/>
          <w:color w:val="auto"/>
          <w:kern w:val="0"/>
          <w:sz w:val="24"/>
          <w:szCs w:val="20"/>
          <w:u w:val="none"/>
          <w:lang w:val="en-US" w:eastAsia="zh-CN" w:bidi="ar-SA"/>
        </w:rPr>
        <w:t>地下水质量标准   单位：mg/L（pH无量纲）</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3218"/>
        <w:gridCol w:w="4816"/>
      </w:tblGrid>
      <w:tr w14:paraId="624B5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4B345754">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序号</w:t>
            </w:r>
          </w:p>
        </w:tc>
        <w:tc>
          <w:tcPr>
            <w:tcW w:w="1633" w:type="pct"/>
            <w:vAlign w:val="center"/>
          </w:tcPr>
          <w:p w14:paraId="40229BA9">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污染物</w:t>
            </w:r>
          </w:p>
        </w:tc>
        <w:tc>
          <w:tcPr>
            <w:tcW w:w="2444" w:type="pct"/>
            <w:vAlign w:val="center"/>
          </w:tcPr>
          <w:p w14:paraId="0A1D53F9">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（GB/T 14848-2017）中Ⅲ类</w:t>
            </w:r>
          </w:p>
        </w:tc>
      </w:tr>
      <w:tr w14:paraId="70E93A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5CF23E64">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1</w:t>
            </w:r>
          </w:p>
        </w:tc>
        <w:tc>
          <w:tcPr>
            <w:tcW w:w="1633" w:type="pct"/>
            <w:vAlign w:val="center"/>
          </w:tcPr>
          <w:p w14:paraId="644A7E4F">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pH</w:t>
            </w:r>
          </w:p>
        </w:tc>
        <w:tc>
          <w:tcPr>
            <w:tcW w:w="2444" w:type="pct"/>
            <w:vAlign w:val="center"/>
          </w:tcPr>
          <w:p w14:paraId="05651243">
            <w:pPr>
              <w:pStyle w:val="41"/>
              <w:rPr>
                <w:rFonts w:hint="default" w:ascii="Times New Roman" w:hAnsi="Times New Roman" w:cs="Times New Roman"/>
                <w:color w:val="auto"/>
                <w:u w:val="none"/>
              </w:rPr>
            </w:pPr>
            <w:r>
              <w:rPr>
                <w:rFonts w:hint="default" w:ascii="Times New Roman" w:hAnsi="Times New Roman" w:cs="Times New Roman"/>
                <w:color w:val="auto"/>
                <w:u w:val="none"/>
              </w:rPr>
              <w:t>6.5≤pH≤8.5</w:t>
            </w:r>
          </w:p>
        </w:tc>
      </w:tr>
      <w:tr w14:paraId="33DE19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59CC3ABC">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3</w:t>
            </w:r>
          </w:p>
        </w:tc>
        <w:tc>
          <w:tcPr>
            <w:tcW w:w="1633" w:type="pct"/>
            <w:vAlign w:val="center"/>
          </w:tcPr>
          <w:p w14:paraId="51654EE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钾</w:t>
            </w:r>
          </w:p>
        </w:tc>
        <w:tc>
          <w:tcPr>
            <w:tcW w:w="2444" w:type="pct"/>
            <w:vAlign w:val="center"/>
          </w:tcPr>
          <w:p w14:paraId="34D9CB2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338E7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4BE8441E">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4</w:t>
            </w:r>
          </w:p>
        </w:tc>
        <w:tc>
          <w:tcPr>
            <w:tcW w:w="1633" w:type="pct"/>
            <w:vAlign w:val="center"/>
          </w:tcPr>
          <w:p w14:paraId="5C01C665">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钠</w:t>
            </w:r>
          </w:p>
        </w:tc>
        <w:tc>
          <w:tcPr>
            <w:tcW w:w="2444" w:type="pct"/>
            <w:vAlign w:val="center"/>
          </w:tcPr>
          <w:p w14:paraId="72736AB8">
            <w:pPr>
              <w:pStyle w:val="41"/>
              <w:rPr>
                <w:rFonts w:hint="default" w:ascii="Times New Roman" w:hAnsi="Times New Roman" w:cs="Times New Roman"/>
                <w:color w:val="auto"/>
                <w:u w:val="none"/>
              </w:rPr>
            </w:pPr>
            <w:r>
              <w:rPr>
                <w:rFonts w:hint="default" w:ascii="Times New Roman" w:hAnsi="Times New Roman" w:cs="Times New Roman"/>
                <w:color w:val="auto"/>
                <w:u w:val="none"/>
              </w:rPr>
              <w:t>≤200</w:t>
            </w:r>
          </w:p>
        </w:tc>
      </w:tr>
      <w:tr w14:paraId="7ACA12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2F02D417">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5</w:t>
            </w:r>
          </w:p>
        </w:tc>
        <w:tc>
          <w:tcPr>
            <w:tcW w:w="1633" w:type="pct"/>
            <w:vAlign w:val="center"/>
          </w:tcPr>
          <w:p w14:paraId="59FCF9E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钙</w:t>
            </w:r>
          </w:p>
        </w:tc>
        <w:tc>
          <w:tcPr>
            <w:tcW w:w="2444" w:type="pct"/>
            <w:vAlign w:val="center"/>
          </w:tcPr>
          <w:p w14:paraId="3F8842E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7A8B24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77A97A59">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6</w:t>
            </w:r>
          </w:p>
        </w:tc>
        <w:tc>
          <w:tcPr>
            <w:tcW w:w="1633" w:type="pct"/>
            <w:vAlign w:val="center"/>
          </w:tcPr>
          <w:p w14:paraId="1A5F0CF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镁</w:t>
            </w:r>
          </w:p>
        </w:tc>
        <w:tc>
          <w:tcPr>
            <w:tcW w:w="2444" w:type="pct"/>
            <w:vAlign w:val="center"/>
          </w:tcPr>
          <w:p w14:paraId="27E6CBB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68787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0B1B984E">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7</w:t>
            </w:r>
          </w:p>
        </w:tc>
        <w:tc>
          <w:tcPr>
            <w:tcW w:w="1633" w:type="pct"/>
            <w:vAlign w:val="center"/>
          </w:tcPr>
          <w:p w14:paraId="29E463E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氨氮</w:t>
            </w:r>
          </w:p>
        </w:tc>
        <w:tc>
          <w:tcPr>
            <w:tcW w:w="2444" w:type="pct"/>
            <w:vAlign w:val="center"/>
          </w:tcPr>
          <w:p w14:paraId="3F923F54">
            <w:pPr>
              <w:pStyle w:val="41"/>
              <w:rPr>
                <w:rFonts w:hint="default" w:ascii="Times New Roman" w:hAnsi="Times New Roman" w:cs="Times New Roman"/>
                <w:color w:val="auto"/>
                <w:u w:val="none"/>
              </w:rPr>
            </w:pPr>
            <w:r>
              <w:rPr>
                <w:rFonts w:hint="default" w:ascii="Times New Roman" w:hAnsi="Times New Roman" w:cs="Times New Roman"/>
                <w:color w:val="auto"/>
                <w:u w:val="none"/>
              </w:rPr>
              <w:t>≤0.50</w:t>
            </w:r>
          </w:p>
        </w:tc>
      </w:tr>
      <w:tr w14:paraId="20B7BF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4647B588">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8</w:t>
            </w:r>
          </w:p>
        </w:tc>
        <w:tc>
          <w:tcPr>
            <w:tcW w:w="1633" w:type="pct"/>
            <w:vAlign w:val="center"/>
          </w:tcPr>
          <w:p w14:paraId="6633DD09">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硝酸盐</w:t>
            </w:r>
          </w:p>
        </w:tc>
        <w:tc>
          <w:tcPr>
            <w:tcW w:w="2444" w:type="pct"/>
            <w:vAlign w:val="center"/>
          </w:tcPr>
          <w:p w14:paraId="0FAE63EC">
            <w:pPr>
              <w:pStyle w:val="41"/>
              <w:rPr>
                <w:rFonts w:hint="default" w:ascii="Times New Roman" w:hAnsi="Times New Roman" w:cs="Times New Roman"/>
                <w:color w:val="auto"/>
                <w:u w:val="none"/>
              </w:rPr>
            </w:pPr>
            <w:r>
              <w:rPr>
                <w:rFonts w:hint="default" w:ascii="Times New Roman" w:hAnsi="Times New Roman" w:cs="Times New Roman"/>
                <w:color w:val="auto"/>
                <w:u w:val="none"/>
              </w:rPr>
              <w:t>≤20.0</w:t>
            </w:r>
          </w:p>
        </w:tc>
      </w:tr>
      <w:tr w14:paraId="088E9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4D8C649F">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9</w:t>
            </w:r>
          </w:p>
        </w:tc>
        <w:tc>
          <w:tcPr>
            <w:tcW w:w="1633" w:type="pct"/>
            <w:vAlign w:val="center"/>
          </w:tcPr>
          <w:p w14:paraId="0537947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亚硝酸盐</w:t>
            </w:r>
          </w:p>
        </w:tc>
        <w:tc>
          <w:tcPr>
            <w:tcW w:w="2444" w:type="pct"/>
            <w:vAlign w:val="center"/>
          </w:tcPr>
          <w:p w14:paraId="12C306BB">
            <w:pPr>
              <w:pStyle w:val="41"/>
              <w:rPr>
                <w:rFonts w:hint="default" w:ascii="Times New Roman" w:hAnsi="Times New Roman" w:cs="Times New Roman"/>
                <w:color w:val="auto"/>
                <w:u w:val="none"/>
              </w:rPr>
            </w:pPr>
            <w:r>
              <w:rPr>
                <w:rFonts w:hint="default" w:ascii="Times New Roman" w:hAnsi="Times New Roman" w:cs="Times New Roman"/>
                <w:color w:val="auto"/>
                <w:u w:val="none"/>
              </w:rPr>
              <w:t>≤1.00</w:t>
            </w:r>
          </w:p>
        </w:tc>
      </w:tr>
      <w:tr w14:paraId="24F9E4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63E5E0E5">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w:t>
            </w:r>
          </w:p>
        </w:tc>
        <w:tc>
          <w:tcPr>
            <w:tcW w:w="1633" w:type="pct"/>
            <w:vAlign w:val="center"/>
          </w:tcPr>
          <w:p w14:paraId="1F3DD70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铬（六价）</w:t>
            </w:r>
          </w:p>
        </w:tc>
        <w:tc>
          <w:tcPr>
            <w:tcW w:w="2444" w:type="pct"/>
            <w:vAlign w:val="center"/>
          </w:tcPr>
          <w:p w14:paraId="3FC92ED8">
            <w:pPr>
              <w:pStyle w:val="41"/>
              <w:rPr>
                <w:rFonts w:hint="default" w:ascii="Times New Roman" w:hAnsi="Times New Roman" w:cs="Times New Roman"/>
                <w:color w:val="auto"/>
                <w:u w:val="none"/>
              </w:rPr>
            </w:pPr>
            <w:r>
              <w:rPr>
                <w:rFonts w:hint="default" w:ascii="Times New Roman" w:hAnsi="Times New Roman" w:cs="Times New Roman"/>
                <w:color w:val="auto"/>
                <w:u w:val="none"/>
              </w:rPr>
              <w:t>≤0.05</w:t>
            </w:r>
          </w:p>
        </w:tc>
      </w:tr>
      <w:tr w14:paraId="61BC8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60DE9D77">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1633" w:type="pct"/>
            <w:vAlign w:val="center"/>
          </w:tcPr>
          <w:p w14:paraId="616D21F5">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镍</w:t>
            </w:r>
          </w:p>
        </w:tc>
        <w:tc>
          <w:tcPr>
            <w:tcW w:w="2444" w:type="pct"/>
            <w:vAlign w:val="center"/>
          </w:tcPr>
          <w:p w14:paraId="1E0935B8">
            <w:pPr>
              <w:pStyle w:val="41"/>
              <w:rPr>
                <w:rFonts w:hint="default" w:ascii="Times New Roman" w:hAnsi="Times New Roman" w:cs="Times New Roman"/>
                <w:color w:val="auto"/>
                <w:u w:val="none"/>
              </w:rPr>
            </w:pPr>
            <w:r>
              <w:rPr>
                <w:rFonts w:hint="default" w:ascii="Times New Roman" w:hAnsi="Times New Roman" w:cs="Times New Roman"/>
                <w:color w:val="auto"/>
                <w:u w:val="none"/>
              </w:rPr>
              <w:t>≤0.02</w:t>
            </w:r>
          </w:p>
        </w:tc>
      </w:tr>
      <w:tr w14:paraId="3D86C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4ACFC4C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12</w:t>
            </w:r>
          </w:p>
        </w:tc>
        <w:tc>
          <w:tcPr>
            <w:tcW w:w="1633" w:type="pct"/>
            <w:vAlign w:val="center"/>
          </w:tcPr>
          <w:p w14:paraId="14C2D20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碳酸根</w:t>
            </w:r>
          </w:p>
        </w:tc>
        <w:tc>
          <w:tcPr>
            <w:tcW w:w="2444" w:type="pct"/>
            <w:vAlign w:val="center"/>
          </w:tcPr>
          <w:p w14:paraId="5C41EE6B">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655AE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4D917C4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13</w:t>
            </w:r>
          </w:p>
        </w:tc>
        <w:tc>
          <w:tcPr>
            <w:tcW w:w="1633" w:type="pct"/>
            <w:vAlign w:val="center"/>
          </w:tcPr>
          <w:p w14:paraId="3272A17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重碳酸根</w:t>
            </w:r>
          </w:p>
        </w:tc>
        <w:tc>
          <w:tcPr>
            <w:tcW w:w="2444" w:type="pct"/>
            <w:vAlign w:val="center"/>
          </w:tcPr>
          <w:p w14:paraId="3ED7742E">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4D4CB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59BF3611">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14</w:t>
            </w:r>
          </w:p>
        </w:tc>
        <w:tc>
          <w:tcPr>
            <w:tcW w:w="1633" w:type="pct"/>
            <w:vAlign w:val="center"/>
          </w:tcPr>
          <w:p w14:paraId="318BBBC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氯化物</w:t>
            </w:r>
          </w:p>
        </w:tc>
        <w:tc>
          <w:tcPr>
            <w:tcW w:w="2444" w:type="pct"/>
            <w:vAlign w:val="center"/>
          </w:tcPr>
          <w:p w14:paraId="5C7CFCC2">
            <w:pPr>
              <w:pStyle w:val="41"/>
              <w:rPr>
                <w:rFonts w:hint="default" w:ascii="Times New Roman" w:hAnsi="Times New Roman" w:cs="Times New Roman"/>
                <w:color w:val="auto"/>
                <w:u w:val="none"/>
              </w:rPr>
            </w:pPr>
            <w:r>
              <w:rPr>
                <w:rFonts w:hint="default" w:ascii="Times New Roman" w:hAnsi="Times New Roman" w:cs="Times New Roman"/>
                <w:color w:val="auto"/>
                <w:u w:val="none"/>
              </w:rPr>
              <w:t>≤250</w:t>
            </w:r>
          </w:p>
        </w:tc>
      </w:tr>
      <w:tr w14:paraId="7FEC4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5AC7332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w:t>
            </w:r>
          </w:p>
        </w:tc>
        <w:tc>
          <w:tcPr>
            <w:tcW w:w="1633" w:type="pct"/>
            <w:vAlign w:val="center"/>
          </w:tcPr>
          <w:p w14:paraId="2DE923C9">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硫酸盐</w:t>
            </w:r>
          </w:p>
        </w:tc>
        <w:tc>
          <w:tcPr>
            <w:tcW w:w="2444" w:type="pct"/>
            <w:vAlign w:val="center"/>
          </w:tcPr>
          <w:p w14:paraId="00EF8404">
            <w:pPr>
              <w:pStyle w:val="41"/>
              <w:rPr>
                <w:rFonts w:hint="default" w:ascii="Times New Roman" w:hAnsi="Times New Roman" w:cs="Times New Roman"/>
                <w:color w:val="auto"/>
                <w:u w:val="none"/>
              </w:rPr>
            </w:pPr>
            <w:r>
              <w:rPr>
                <w:rFonts w:hint="default" w:ascii="Times New Roman" w:hAnsi="Times New Roman" w:cs="Times New Roman"/>
                <w:color w:val="auto"/>
                <w:u w:val="none"/>
              </w:rPr>
              <w:t>≤250</w:t>
            </w:r>
          </w:p>
        </w:tc>
      </w:tr>
      <w:tr w14:paraId="1908C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32EFE61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w:t>
            </w:r>
          </w:p>
        </w:tc>
        <w:tc>
          <w:tcPr>
            <w:tcW w:w="1633" w:type="pct"/>
            <w:vAlign w:val="center"/>
          </w:tcPr>
          <w:p w14:paraId="3233BA2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高锰酸盐指数（耗氧量）</w:t>
            </w:r>
          </w:p>
        </w:tc>
        <w:tc>
          <w:tcPr>
            <w:tcW w:w="2444" w:type="pct"/>
            <w:vAlign w:val="center"/>
          </w:tcPr>
          <w:p w14:paraId="56245049">
            <w:pPr>
              <w:pStyle w:val="41"/>
              <w:rPr>
                <w:rFonts w:hint="default" w:ascii="Times New Roman" w:hAnsi="Times New Roman" w:cs="Times New Roman"/>
                <w:color w:val="auto"/>
                <w:u w:val="none"/>
              </w:rPr>
            </w:pPr>
            <w:r>
              <w:rPr>
                <w:rFonts w:hint="default" w:ascii="Times New Roman" w:hAnsi="Times New Roman" w:cs="Times New Roman"/>
                <w:color w:val="auto"/>
                <w:u w:val="none"/>
              </w:rPr>
              <w:t>≤3.0</w:t>
            </w:r>
          </w:p>
        </w:tc>
      </w:tr>
      <w:tr w14:paraId="5CB84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5F71858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17</w:t>
            </w:r>
          </w:p>
        </w:tc>
        <w:tc>
          <w:tcPr>
            <w:tcW w:w="1633" w:type="pct"/>
            <w:vAlign w:val="center"/>
          </w:tcPr>
          <w:p w14:paraId="744AC33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氟化物</w:t>
            </w:r>
          </w:p>
        </w:tc>
        <w:tc>
          <w:tcPr>
            <w:tcW w:w="2444" w:type="pct"/>
            <w:vAlign w:val="center"/>
          </w:tcPr>
          <w:p w14:paraId="1BE2EC4B">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53CF1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6BB3D66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w:t>
            </w:r>
          </w:p>
        </w:tc>
        <w:tc>
          <w:tcPr>
            <w:tcW w:w="1633" w:type="pct"/>
            <w:vAlign w:val="center"/>
          </w:tcPr>
          <w:p w14:paraId="4EC6A551">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铜</w:t>
            </w:r>
          </w:p>
        </w:tc>
        <w:tc>
          <w:tcPr>
            <w:tcW w:w="2444" w:type="pct"/>
            <w:vAlign w:val="center"/>
          </w:tcPr>
          <w:p w14:paraId="3C0F328D">
            <w:pPr>
              <w:pStyle w:val="41"/>
              <w:rPr>
                <w:rFonts w:hint="default" w:ascii="Times New Roman" w:hAnsi="Times New Roman" w:cs="Times New Roman"/>
                <w:color w:val="auto"/>
                <w:u w:val="none"/>
              </w:rPr>
            </w:pPr>
            <w:r>
              <w:rPr>
                <w:rFonts w:hint="default" w:ascii="Times New Roman" w:hAnsi="Times New Roman" w:cs="Times New Roman"/>
                <w:color w:val="auto"/>
                <w:u w:val="none"/>
              </w:rPr>
              <w:t>≤1.00</w:t>
            </w:r>
          </w:p>
        </w:tc>
      </w:tr>
      <w:tr w14:paraId="60447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3D3260A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19</w:t>
            </w:r>
          </w:p>
        </w:tc>
        <w:tc>
          <w:tcPr>
            <w:tcW w:w="1633" w:type="pct"/>
            <w:vAlign w:val="center"/>
          </w:tcPr>
          <w:p w14:paraId="3AF7EFD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铝</w:t>
            </w:r>
          </w:p>
        </w:tc>
        <w:tc>
          <w:tcPr>
            <w:tcW w:w="2444" w:type="pct"/>
            <w:vAlign w:val="center"/>
          </w:tcPr>
          <w:p w14:paraId="34C027EA">
            <w:pPr>
              <w:pStyle w:val="41"/>
              <w:rPr>
                <w:rFonts w:hint="default" w:ascii="Times New Roman" w:hAnsi="Times New Roman" w:cs="Times New Roman"/>
                <w:color w:val="auto"/>
                <w:u w:val="none"/>
              </w:rPr>
            </w:pPr>
            <w:r>
              <w:rPr>
                <w:rFonts w:hint="default" w:ascii="Times New Roman" w:hAnsi="Times New Roman" w:cs="Times New Roman"/>
                <w:color w:val="auto"/>
                <w:u w:val="none"/>
              </w:rPr>
              <w:t>≤0.20</w:t>
            </w:r>
          </w:p>
        </w:tc>
      </w:tr>
      <w:tr w14:paraId="52FFC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051B597A">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w:t>
            </w:r>
          </w:p>
        </w:tc>
        <w:tc>
          <w:tcPr>
            <w:tcW w:w="1633" w:type="pct"/>
            <w:vAlign w:val="center"/>
          </w:tcPr>
          <w:p w14:paraId="00E47A2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铁</w:t>
            </w:r>
          </w:p>
        </w:tc>
        <w:tc>
          <w:tcPr>
            <w:tcW w:w="2444" w:type="pct"/>
            <w:vAlign w:val="center"/>
          </w:tcPr>
          <w:p w14:paraId="0CA01EC1">
            <w:pPr>
              <w:pStyle w:val="41"/>
              <w:rPr>
                <w:rFonts w:hint="default" w:ascii="Times New Roman" w:hAnsi="Times New Roman" w:cs="Times New Roman"/>
                <w:color w:val="auto"/>
                <w:u w:val="none"/>
              </w:rPr>
            </w:pPr>
            <w:r>
              <w:rPr>
                <w:rFonts w:hint="default" w:ascii="Times New Roman" w:hAnsi="Times New Roman" w:cs="Times New Roman"/>
                <w:color w:val="auto"/>
                <w:u w:val="none"/>
              </w:rPr>
              <w:t>≤0.3</w:t>
            </w:r>
          </w:p>
        </w:tc>
      </w:tr>
      <w:tr w14:paraId="057C8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079712E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21</w:t>
            </w:r>
          </w:p>
        </w:tc>
        <w:tc>
          <w:tcPr>
            <w:tcW w:w="1633" w:type="pct"/>
            <w:vAlign w:val="center"/>
          </w:tcPr>
          <w:p w14:paraId="542B4848">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溶解性总固体</w:t>
            </w:r>
          </w:p>
        </w:tc>
        <w:tc>
          <w:tcPr>
            <w:tcW w:w="2444" w:type="pct"/>
            <w:vAlign w:val="center"/>
          </w:tcPr>
          <w:p w14:paraId="5AECD4B4">
            <w:pPr>
              <w:pStyle w:val="41"/>
              <w:rPr>
                <w:rFonts w:hint="default" w:ascii="Times New Roman" w:hAnsi="Times New Roman" w:cs="Times New Roman"/>
                <w:color w:val="auto"/>
                <w:u w:val="none"/>
              </w:rPr>
            </w:pPr>
            <w:r>
              <w:rPr>
                <w:rFonts w:hint="default" w:ascii="Times New Roman" w:hAnsi="Times New Roman" w:cs="Times New Roman"/>
                <w:color w:val="auto"/>
                <w:u w:val="none"/>
              </w:rPr>
              <w:t>≤1000</w:t>
            </w:r>
          </w:p>
        </w:tc>
      </w:tr>
      <w:tr w14:paraId="42510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26A58AA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22</w:t>
            </w:r>
          </w:p>
        </w:tc>
        <w:tc>
          <w:tcPr>
            <w:tcW w:w="1633" w:type="pct"/>
            <w:vAlign w:val="center"/>
          </w:tcPr>
          <w:p w14:paraId="4FD94802">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细菌总数</w:t>
            </w:r>
          </w:p>
        </w:tc>
        <w:tc>
          <w:tcPr>
            <w:tcW w:w="2444" w:type="pct"/>
            <w:vAlign w:val="center"/>
          </w:tcPr>
          <w:p w14:paraId="3DE3DDB1">
            <w:pPr>
              <w:pStyle w:val="41"/>
              <w:rPr>
                <w:rFonts w:hint="default" w:ascii="Times New Roman" w:hAnsi="Times New Roman" w:cs="Times New Roman"/>
                <w:color w:val="auto"/>
                <w:u w:val="none"/>
              </w:rPr>
            </w:pPr>
            <w:r>
              <w:rPr>
                <w:rFonts w:hint="default" w:ascii="Times New Roman" w:hAnsi="Times New Roman" w:cs="Times New Roman"/>
                <w:color w:val="auto"/>
                <w:u w:val="none"/>
              </w:rPr>
              <w:t>100CFU/ml</w:t>
            </w:r>
          </w:p>
        </w:tc>
      </w:tr>
      <w:tr w14:paraId="12505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2" w:type="pct"/>
            <w:vAlign w:val="center"/>
          </w:tcPr>
          <w:p w14:paraId="737D998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23</w:t>
            </w:r>
          </w:p>
        </w:tc>
        <w:tc>
          <w:tcPr>
            <w:tcW w:w="1633" w:type="pct"/>
            <w:vAlign w:val="center"/>
          </w:tcPr>
          <w:p w14:paraId="2274A15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总大肠菌群</w:t>
            </w:r>
          </w:p>
        </w:tc>
        <w:tc>
          <w:tcPr>
            <w:tcW w:w="2444" w:type="pct"/>
            <w:vAlign w:val="center"/>
          </w:tcPr>
          <w:p w14:paraId="701FD048">
            <w:pPr>
              <w:pStyle w:val="41"/>
              <w:rPr>
                <w:rFonts w:hint="default" w:ascii="Times New Roman" w:hAnsi="Times New Roman" w:cs="Times New Roman"/>
                <w:color w:val="auto"/>
                <w:u w:val="none"/>
              </w:rPr>
            </w:pPr>
            <w:r>
              <w:rPr>
                <w:rFonts w:hint="default" w:ascii="Times New Roman" w:hAnsi="Times New Roman" w:cs="Times New Roman"/>
                <w:color w:val="auto"/>
                <w:u w:val="none"/>
              </w:rPr>
              <w:t>≤3.0MPN</w:t>
            </w:r>
            <w:r>
              <w:rPr>
                <w:rFonts w:hint="default" w:ascii="Times New Roman" w:hAnsi="Times New Roman" w:cs="Times New Roman"/>
                <w:color w:val="auto"/>
                <w:u w:val="none"/>
                <w:vertAlign w:val="superscript"/>
              </w:rPr>
              <w:t>b</w:t>
            </w:r>
            <w:r>
              <w:rPr>
                <w:rFonts w:hint="default" w:ascii="Times New Roman" w:hAnsi="Times New Roman" w:cs="Times New Roman"/>
                <w:color w:val="auto"/>
                <w:u w:val="none"/>
              </w:rPr>
              <w:t>/100mL</w:t>
            </w:r>
          </w:p>
        </w:tc>
      </w:tr>
    </w:tbl>
    <w:p w14:paraId="3485F20C">
      <w:pPr>
        <w:pStyle w:val="6"/>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u w:val="none"/>
        </w:rPr>
      </w:pPr>
      <w:r>
        <w:rPr>
          <w:rFonts w:hint="default" w:ascii="Times New Roman" w:hAnsi="Times New Roman" w:cs="Times New Roman"/>
          <w:color w:val="auto"/>
          <w:u w:val="none"/>
        </w:rPr>
        <w:t>声环境质量标准</w:t>
      </w:r>
    </w:p>
    <w:p w14:paraId="1457E9B8">
      <w:pPr>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Style w:val="40"/>
          <w:rFonts w:hint="default" w:ascii="Times New Roman" w:hAnsi="Times New Roman" w:cs="Times New Roman"/>
          <w:b/>
          <w:bCs/>
          <w:color w:val="auto"/>
          <w:u w:val="none"/>
        </w:rPr>
      </w:pPr>
      <w:r>
        <w:rPr>
          <w:rFonts w:hint="default" w:ascii="Times New Roman" w:hAnsi="Times New Roman" w:cs="Times New Roman"/>
          <w:color w:val="auto"/>
          <w:u w:val="none"/>
        </w:rPr>
        <w:t>环境执行《声环境质量标准》（GB3096-2008）中的3类标准，具体限值详见表2.3-4。</w:t>
      </w:r>
      <w:r>
        <w:rPr>
          <w:rFonts w:hint="default" w:ascii="Times New Roman" w:hAnsi="Times New Roman" w:eastAsia="黑体" w:cs="Times New Roman"/>
          <w:b/>
          <w:bCs/>
          <w:color w:val="auto"/>
          <w:kern w:val="0"/>
          <w:sz w:val="24"/>
          <w:szCs w:val="20"/>
          <w:u w:val="none"/>
          <w:lang w:val="en-US" w:eastAsia="zh-CN" w:bidi="ar-SA"/>
        </w:rPr>
        <w:t>表2.3-4</w:t>
      </w:r>
      <w:r>
        <w:rPr>
          <w:rFonts w:hint="eastAsia" w:ascii="Times New Roman" w:hAnsi="Times New Roman" w:eastAsia="黑体" w:cs="Times New Roman"/>
          <w:b/>
          <w:bCs/>
          <w:color w:val="auto"/>
          <w:kern w:val="0"/>
          <w:sz w:val="24"/>
          <w:szCs w:val="20"/>
          <w:u w:val="none"/>
          <w:lang w:val="en-US" w:eastAsia="zh-CN" w:bidi="ar-SA"/>
        </w:rPr>
        <w:t xml:space="preserve">  </w:t>
      </w:r>
      <w:r>
        <w:rPr>
          <w:rFonts w:hint="default" w:ascii="Times New Roman" w:hAnsi="Times New Roman" w:eastAsia="黑体" w:cs="Times New Roman"/>
          <w:b/>
          <w:bCs/>
          <w:color w:val="auto"/>
          <w:kern w:val="0"/>
          <w:sz w:val="24"/>
          <w:szCs w:val="20"/>
          <w:u w:val="none"/>
          <w:lang w:val="en-US" w:eastAsia="zh-CN" w:bidi="ar-SA"/>
        </w:rPr>
        <w:t>声环境质量标准    单位：dB（A）</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66"/>
        <w:gridCol w:w="2312"/>
        <w:gridCol w:w="1874"/>
      </w:tblGrid>
      <w:tr w14:paraId="49B781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5" w:type="pct"/>
            <w:vAlign w:val="center"/>
          </w:tcPr>
          <w:p w14:paraId="626A599D">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类别</w:t>
            </w:r>
          </w:p>
        </w:tc>
        <w:tc>
          <w:tcPr>
            <w:tcW w:w="1173" w:type="pct"/>
            <w:vAlign w:val="center"/>
          </w:tcPr>
          <w:p w14:paraId="3F12D062">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昼间</w:t>
            </w:r>
          </w:p>
        </w:tc>
        <w:tc>
          <w:tcPr>
            <w:tcW w:w="951" w:type="pct"/>
            <w:vAlign w:val="center"/>
          </w:tcPr>
          <w:p w14:paraId="3D8980F1">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夜间</w:t>
            </w:r>
          </w:p>
        </w:tc>
      </w:tr>
      <w:tr w14:paraId="392528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75" w:type="pct"/>
            <w:vAlign w:val="center"/>
          </w:tcPr>
          <w:p w14:paraId="0016604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GB3096-2008中3类标准</w:t>
            </w:r>
          </w:p>
        </w:tc>
        <w:tc>
          <w:tcPr>
            <w:tcW w:w="1173" w:type="pct"/>
            <w:vAlign w:val="center"/>
          </w:tcPr>
          <w:p w14:paraId="4EF94B4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≤65</w:t>
            </w:r>
          </w:p>
        </w:tc>
        <w:tc>
          <w:tcPr>
            <w:tcW w:w="951" w:type="pct"/>
            <w:vAlign w:val="center"/>
          </w:tcPr>
          <w:p w14:paraId="33838BF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≤55</w:t>
            </w:r>
          </w:p>
        </w:tc>
      </w:tr>
    </w:tbl>
    <w:p w14:paraId="168EAA65">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土壤环境质量标准</w:t>
      </w:r>
    </w:p>
    <w:p w14:paraId="0EE578C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拟建地及厂外建设用地土壤执行《土壤环境质量建设用地土壤污染风险管控标准（试行）》（GB36600-2018）风险筛选值。</w:t>
      </w:r>
    </w:p>
    <w:p w14:paraId="265FF3B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表2.3-5  建设用地土壤污染风险筛选值     单位：mg/kg </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1942"/>
        <w:gridCol w:w="1363"/>
        <w:gridCol w:w="1479"/>
        <w:gridCol w:w="1495"/>
        <w:gridCol w:w="1420"/>
        <w:gridCol w:w="1513"/>
      </w:tblGrid>
      <w:tr w14:paraId="33CB69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vAlign w:val="center"/>
          </w:tcPr>
          <w:p w14:paraId="09AA9CCC">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序号</w:t>
            </w:r>
          </w:p>
        </w:tc>
        <w:tc>
          <w:tcPr>
            <w:tcW w:w="986" w:type="pct"/>
            <w:vMerge w:val="restart"/>
            <w:vAlign w:val="center"/>
          </w:tcPr>
          <w:p w14:paraId="757493CF">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污染物项目</w:t>
            </w:r>
          </w:p>
        </w:tc>
        <w:tc>
          <w:tcPr>
            <w:tcW w:w="692" w:type="pct"/>
            <w:vMerge w:val="restart"/>
            <w:vAlign w:val="center"/>
          </w:tcPr>
          <w:p w14:paraId="493F0692">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CAS编号</w:t>
            </w:r>
          </w:p>
        </w:tc>
        <w:tc>
          <w:tcPr>
            <w:tcW w:w="1510" w:type="pct"/>
            <w:gridSpan w:val="2"/>
            <w:vAlign w:val="center"/>
          </w:tcPr>
          <w:p w14:paraId="36353463">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筛选值</w:t>
            </w:r>
          </w:p>
        </w:tc>
        <w:tc>
          <w:tcPr>
            <w:tcW w:w="1486" w:type="pct"/>
            <w:gridSpan w:val="2"/>
            <w:vAlign w:val="center"/>
          </w:tcPr>
          <w:p w14:paraId="2E6333C7">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管制值</w:t>
            </w:r>
          </w:p>
        </w:tc>
      </w:tr>
      <w:tr w14:paraId="709A28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73BDF36A">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p>
        </w:tc>
        <w:tc>
          <w:tcPr>
            <w:tcW w:w="986" w:type="pct"/>
            <w:vMerge w:val="continue"/>
            <w:vAlign w:val="center"/>
          </w:tcPr>
          <w:p w14:paraId="5C9EEAEF">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p>
        </w:tc>
        <w:tc>
          <w:tcPr>
            <w:tcW w:w="692" w:type="pct"/>
            <w:vMerge w:val="continue"/>
            <w:vAlign w:val="center"/>
          </w:tcPr>
          <w:p w14:paraId="364763EC">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p>
        </w:tc>
        <w:tc>
          <w:tcPr>
            <w:tcW w:w="751" w:type="pct"/>
            <w:vAlign w:val="center"/>
          </w:tcPr>
          <w:p w14:paraId="5ED76580">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第一类用地</w:t>
            </w:r>
          </w:p>
        </w:tc>
        <w:tc>
          <w:tcPr>
            <w:tcW w:w="759" w:type="pct"/>
            <w:vAlign w:val="center"/>
          </w:tcPr>
          <w:p w14:paraId="58C80DB6">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第二类用地</w:t>
            </w:r>
          </w:p>
        </w:tc>
        <w:tc>
          <w:tcPr>
            <w:tcW w:w="721" w:type="pct"/>
            <w:vAlign w:val="center"/>
          </w:tcPr>
          <w:p w14:paraId="6BBFA0CA">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第一类用地</w:t>
            </w:r>
          </w:p>
        </w:tc>
        <w:tc>
          <w:tcPr>
            <w:tcW w:w="764" w:type="pct"/>
            <w:vAlign w:val="center"/>
          </w:tcPr>
          <w:p w14:paraId="32B32399">
            <w:pPr>
              <w:widowControl/>
              <w:snapToGrid w:val="0"/>
              <w:spacing w:line="240" w:lineRule="auto"/>
              <w:ind w:firstLine="0" w:firstLineChars="0"/>
              <w:jc w:val="center"/>
              <w:rPr>
                <w:rFonts w:hint="default" w:ascii="Times New Roman" w:hAnsi="Times New Roman" w:cs="Times New Roman"/>
                <w:b/>
                <w:bCs/>
                <w:color w:val="auto"/>
                <w:kern w:val="0"/>
                <w:sz w:val="21"/>
                <w:szCs w:val="21"/>
                <w:u w:val="none"/>
              </w:rPr>
            </w:pPr>
            <w:r>
              <w:rPr>
                <w:rFonts w:hint="default" w:ascii="Times New Roman" w:hAnsi="Times New Roman" w:cs="Times New Roman"/>
                <w:b/>
                <w:bCs/>
                <w:color w:val="auto"/>
                <w:kern w:val="0"/>
                <w:sz w:val="21"/>
                <w:szCs w:val="21"/>
                <w:u w:val="none"/>
              </w:rPr>
              <w:t>第二类用地</w:t>
            </w:r>
          </w:p>
        </w:tc>
      </w:tr>
      <w:tr w14:paraId="07213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3ACA9764">
            <w:pPr>
              <w:widowControl/>
              <w:snapToGrid w:val="0"/>
              <w:spacing w:line="240" w:lineRule="auto"/>
              <w:ind w:firstLine="0" w:firstLineChars="0"/>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重金属和无机物</w:t>
            </w:r>
          </w:p>
        </w:tc>
      </w:tr>
      <w:tr w14:paraId="75D0C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23" w:type="pct"/>
            <w:vAlign w:val="center"/>
          </w:tcPr>
          <w:p w14:paraId="2B421EE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w:t>
            </w:r>
          </w:p>
        </w:tc>
        <w:tc>
          <w:tcPr>
            <w:tcW w:w="986" w:type="pct"/>
            <w:vAlign w:val="center"/>
          </w:tcPr>
          <w:p w14:paraId="4249055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砷</w:t>
            </w:r>
          </w:p>
        </w:tc>
        <w:tc>
          <w:tcPr>
            <w:tcW w:w="692" w:type="pct"/>
            <w:vAlign w:val="center"/>
          </w:tcPr>
          <w:p w14:paraId="0E1A444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7440-38-2</w:t>
            </w:r>
          </w:p>
        </w:tc>
        <w:tc>
          <w:tcPr>
            <w:tcW w:w="751" w:type="pct"/>
            <w:vAlign w:val="center"/>
          </w:tcPr>
          <w:p w14:paraId="45FE33A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c>
          <w:tcPr>
            <w:tcW w:w="759" w:type="pct"/>
            <w:vAlign w:val="center"/>
          </w:tcPr>
          <w:p w14:paraId="27AC735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60</w:t>
            </w:r>
          </w:p>
        </w:tc>
        <w:tc>
          <w:tcPr>
            <w:tcW w:w="721" w:type="pct"/>
            <w:vAlign w:val="center"/>
          </w:tcPr>
          <w:p w14:paraId="135687D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120</w:t>
            </w:r>
          </w:p>
        </w:tc>
        <w:tc>
          <w:tcPr>
            <w:tcW w:w="764" w:type="pct"/>
            <w:vAlign w:val="center"/>
          </w:tcPr>
          <w:p w14:paraId="1E7226C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140</w:t>
            </w:r>
          </w:p>
        </w:tc>
      </w:tr>
      <w:tr w14:paraId="72D7A0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899A13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w:t>
            </w:r>
          </w:p>
        </w:tc>
        <w:tc>
          <w:tcPr>
            <w:tcW w:w="986" w:type="pct"/>
            <w:vAlign w:val="center"/>
          </w:tcPr>
          <w:p w14:paraId="409A78A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镉</w:t>
            </w:r>
          </w:p>
        </w:tc>
        <w:tc>
          <w:tcPr>
            <w:tcW w:w="692" w:type="pct"/>
            <w:vAlign w:val="center"/>
          </w:tcPr>
          <w:p w14:paraId="6028DDD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7440-43-9</w:t>
            </w:r>
          </w:p>
        </w:tc>
        <w:tc>
          <w:tcPr>
            <w:tcW w:w="751" w:type="pct"/>
            <w:vAlign w:val="center"/>
          </w:tcPr>
          <w:p w14:paraId="2F6103F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c>
          <w:tcPr>
            <w:tcW w:w="759" w:type="pct"/>
            <w:vAlign w:val="center"/>
          </w:tcPr>
          <w:p w14:paraId="6BAA97C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65</w:t>
            </w:r>
          </w:p>
        </w:tc>
        <w:tc>
          <w:tcPr>
            <w:tcW w:w="721" w:type="pct"/>
            <w:vAlign w:val="center"/>
          </w:tcPr>
          <w:p w14:paraId="2903433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47</w:t>
            </w:r>
          </w:p>
        </w:tc>
        <w:tc>
          <w:tcPr>
            <w:tcW w:w="764" w:type="pct"/>
            <w:vAlign w:val="center"/>
          </w:tcPr>
          <w:p w14:paraId="2BFF6CB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172</w:t>
            </w:r>
          </w:p>
        </w:tc>
      </w:tr>
      <w:tr w14:paraId="61277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32869DE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w:t>
            </w:r>
          </w:p>
        </w:tc>
        <w:tc>
          <w:tcPr>
            <w:tcW w:w="986" w:type="pct"/>
            <w:vAlign w:val="center"/>
          </w:tcPr>
          <w:p w14:paraId="6457573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铬（六价）</w:t>
            </w:r>
          </w:p>
        </w:tc>
        <w:tc>
          <w:tcPr>
            <w:tcW w:w="692" w:type="pct"/>
            <w:vAlign w:val="center"/>
          </w:tcPr>
          <w:p w14:paraId="17780DC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18540-29-9</w:t>
            </w:r>
          </w:p>
        </w:tc>
        <w:tc>
          <w:tcPr>
            <w:tcW w:w="751" w:type="pct"/>
            <w:vAlign w:val="center"/>
          </w:tcPr>
          <w:p w14:paraId="7BED1E6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3.0</w:t>
            </w:r>
          </w:p>
        </w:tc>
        <w:tc>
          <w:tcPr>
            <w:tcW w:w="759" w:type="pct"/>
            <w:vAlign w:val="center"/>
          </w:tcPr>
          <w:p w14:paraId="1745DCB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5.7</w:t>
            </w:r>
          </w:p>
        </w:tc>
        <w:tc>
          <w:tcPr>
            <w:tcW w:w="721" w:type="pct"/>
            <w:vAlign w:val="center"/>
          </w:tcPr>
          <w:p w14:paraId="250767E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30</w:t>
            </w:r>
          </w:p>
        </w:tc>
        <w:tc>
          <w:tcPr>
            <w:tcW w:w="764" w:type="pct"/>
            <w:vAlign w:val="center"/>
          </w:tcPr>
          <w:p w14:paraId="3162940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78</w:t>
            </w:r>
          </w:p>
        </w:tc>
      </w:tr>
      <w:tr w14:paraId="64EC5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04E21A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w:t>
            </w:r>
          </w:p>
        </w:tc>
        <w:tc>
          <w:tcPr>
            <w:tcW w:w="986" w:type="pct"/>
            <w:vAlign w:val="center"/>
          </w:tcPr>
          <w:p w14:paraId="71036C6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铜</w:t>
            </w:r>
          </w:p>
        </w:tc>
        <w:tc>
          <w:tcPr>
            <w:tcW w:w="692" w:type="pct"/>
            <w:vAlign w:val="center"/>
          </w:tcPr>
          <w:p w14:paraId="5DEB35A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7440-50-8</w:t>
            </w:r>
          </w:p>
        </w:tc>
        <w:tc>
          <w:tcPr>
            <w:tcW w:w="751" w:type="pct"/>
            <w:vAlign w:val="center"/>
          </w:tcPr>
          <w:p w14:paraId="7759090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2000</w:t>
            </w:r>
          </w:p>
        </w:tc>
        <w:tc>
          <w:tcPr>
            <w:tcW w:w="759" w:type="pct"/>
            <w:vAlign w:val="center"/>
          </w:tcPr>
          <w:p w14:paraId="15B6ECD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18000</w:t>
            </w:r>
          </w:p>
        </w:tc>
        <w:tc>
          <w:tcPr>
            <w:tcW w:w="721" w:type="pct"/>
            <w:vAlign w:val="center"/>
          </w:tcPr>
          <w:p w14:paraId="1259A91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8000</w:t>
            </w:r>
          </w:p>
        </w:tc>
        <w:tc>
          <w:tcPr>
            <w:tcW w:w="764" w:type="pct"/>
            <w:vAlign w:val="center"/>
          </w:tcPr>
          <w:p w14:paraId="0AE2BC7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36000</w:t>
            </w:r>
          </w:p>
        </w:tc>
      </w:tr>
      <w:tr w14:paraId="2E864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199BE2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c>
          <w:tcPr>
            <w:tcW w:w="986" w:type="pct"/>
            <w:vAlign w:val="center"/>
          </w:tcPr>
          <w:p w14:paraId="4590534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铅</w:t>
            </w:r>
          </w:p>
        </w:tc>
        <w:tc>
          <w:tcPr>
            <w:tcW w:w="692" w:type="pct"/>
            <w:vAlign w:val="center"/>
          </w:tcPr>
          <w:p w14:paraId="33067B0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7439-92-1</w:t>
            </w:r>
          </w:p>
        </w:tc>
        <w:tc>
          <w:tcPr>
            <w:tcW w:w="751" w:type="pct"/>
            <w:vAlign w:val="center"/>
          </w:tcPr>
          <w:p w14:paraId="6FDFBD0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400</w:t>
            </w:r>
          </w:p>
        </w:tc>
        <w:tc>
          <w:tcPr>
            <w:tcW w:w="759" w:type="pct"/>
            <w:vAlign w:val="center"/>
          </w:tcPr>
          <w:p w14:paraId="595CF1D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800</w:t>
            </w:r>
          </w:p>
        </w:tc>
        <w:tc>
          <w:tcPr>
            <w:tcW w:w="721" w:type="pct"/>
            <w:vAlign w:val="center"/>
          </w:tcPr>
          <w:p w14:paraId="0C37957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800</w:t>
            </w:r>
          </w:p>
        </w:tc>
        <w:tc>
          <w:tcPr>
            <w:tcW w:w="764" w:type="pct"/>
            <w:vAlign w:val="center"/>
          </w:tcPr>
          <w:p w14:paraId="391744B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2500</w:t>
            </w:r>
          </w:p>
        </w:tc>
      </w:tr>
      <w:tr w14:paraId="54FA1D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3DEAE9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w:t>
            </w:r>
          </w:p>
        </w:tc>
        <w:tc>
          <w:tcPr>
            <w:tcW w:w="986" w:type="pct"/>
            <w:vAlign w:val="center"/>
          </w:tcPr>
          <w:p w14:paraId="79CA4A0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汞</w:t>
            </w:r>
          </w:p>
        </w:tc>
        <w:tc>
          <w:tcPr>
            <w:tcW w:w="692" w:type="pct"/>
            <w:vAlign w:val="center"/>
          </w:tcPr>
          <w:p w14:paraId="4C056EB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7439-97-6</w:t>
            </w:r>
          </w:p>
        </w:tc>
        <w:tc>
          <w:tcPr>
            <w:tcW w:w="751" w:type="pct"/>
            <w:vAlign w:val="center"/>
          </w:tcPr>
          <w:p w14:paraId="49352AF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w:t>
            </w:r>
          </w:p>
        </w:tc>
        <w:tc>
          <w:tcPr>
            <w:tcW w:w="759" w:type="pct"/>
            <w:vAlign w:val="center"/>
          </w:tcPr>
          <w:p w14:paraId="6311F4C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38</w:t>
            </w:r>
          </w:p>
        </w:tc>
        <w:tc>
          <w:tcPr>
            <w:tcW w:w="721" w:type="pct"/>
            <w:vAlign w:val="center"/>
          </w:tcPr>
          <w:p w14:paraId="0E06B39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33</w:t>
            </w:r>
          </w:p>
        </w:tc>
        <w:tc>
          <w:tcPr>
            <w:tcW w:w="764" w:type="pct"/>
            <w:vAlign w:val="center"/>
          </w:tcPr>
          <w:p w14:paraId="076E906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82</w:t>
            </w:r>
          </w:p>
        </w:tc>
      </w:tr>
      <w:tr w14:paraId="03A0D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FF5BF4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w:t>
            </w:r>
          </w:p>
        </w:tc>
        <w:tc>
          <w:tcPr>
            <w:tcW w:w="986" w:type="pct"/>
            <w:vAlign w:val="center"/>
          </w:tcPr>
          <w:p w14:paraId="6A7B2F5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镍</w:t>
            </w:r>
          </w:p>
        </w:tc>
        <w:tc>
          <w:tcPr>
            <w:tcW w:w="692" w:type="pct"/>
            <w:vAlign w:val="center"/>
          </w:tcPr>
          <w:p w14:paraId="6F13A09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7440-02-0</w:t>
            </w:r>
          </w:p>
        </w:tc>
        <w:tc>
          <w:tcPr>
            <w:tcW w:w="751" w:type="pct"/>
            <w:vAlign w:val="center"/>
          </w:tcPr>
          <w:p w14:paraId="13BCB98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150</w:t>
            </w:r>
          </w:p>
        </w:tc>
        <w:tc>
          <w:tcPr>
            <w:tcW w:w="759" w:type="pct"/>
            <w:vAlign w:val="center"/>
          </w:tcPr>
          <w:p w14:paraId="092D10E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900</w:t>
            </w:r>
          </w:p>
        </w:tc>
        <w:tc>
          <w:tcPr>
            <w:tcW w:w="721" w:type="pct"/>
            <w:vAlign w:val="center"/>
          </w:tcPr>
          <w:p w14:paraId="05C7348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600</w:t>
            </w:r>
          </w:p>
        </w:tc>
        <w:tc>
          <w:tcPr>
            <w:tcW w:w="764" w:type="pct"/>
            <w:vAlign w:val="center"/>
          </w:tcPr>
          <w:p w14:paraId="4A9CED1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2000</w:t>
            </w:r>
          </w:p>
        </w:tc>
      </w:tr>
      <w:tr w14:paraId="2D539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47964C6E">
            <w:pPr>
              <w:widowControl/>
              <w:snapToGrid w:val="0"/>
              <w:spacing w:line="240" w:lineRule="auto"/>
              <w:ind w:firstLine="0" w:firstLineChars="0"/>
              <w:jc w:val="left"/>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挥发性有机物</w:t>
            </w:r>
          </w:p>
        </w:tc>
      </w:tr>
      <w:tr w14:paraId="09B40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855477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w:t>
            </w:r>
          </w:p>
        </w:tc>
        <w:tc>
          <w:tcPr>
            <w:tcW w:w="986" w:type="pct"/>
            <w:vAlign w:val="center"/>
          </w:tcPr>
          <w:p w14:paraId="5D281DB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四氯化碳</w:t>
            </w:r>
          </w:p>
        </w:tc>
        <w:tc>
          <w:tcPr>
            <w:tcW w:w="692" w:type="pct"/>
            <w:vAlign w:val="center"/>
          </w:tcPr>
          <w:p w14:paraId="4A2F61B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56-23-5</w:t>
            </w:r>
          </w:p>
        </w:tc>
        <w:tc>
          <w:tcPr>
            <w:tcW w:w="751" w:type="pct"/>
            <w:vAlign w:val="center"/>
          </w:tcPr>
          <w:p w14:paraId="4A6CED4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0.9</w:t>
            </w:r>
          </w:p>
        </w:tc>
        <w:tc>
          <w:tcPr>
            <w:tcW w:w="759" w:type="pct"/>
            <w:vAlign w:val="center"/>
          </w:tcPr>
          <w:p w14:paraId="489B299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w:t>
            </w:r>
          </w:p>
        </w:tc>
        <w:tc>
          <w:tcPr>
            <w:tcW w:w="721" w:type="pct"/>
            <w:vAlign w:val="center"/>
          </w:tcPr>
          <w:p w14:paraId="22EBB4E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w:t>
            </w:r>
          </w:p>
        </w:tc>
        <w:tc>
          <w:tcPr>
            <w:tcW w:w="764" w:type="pct"/>
            <w:vAlign w:val="center"/>
          </w:tcPr>
          <w:p w14:paraId="6D777B9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36</w:t>
            </w:r>
          </w:p>
        </w:tc>
      </w:tr>
      <w:tr w14:paraId="37408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C28C8E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w:t>
            </w:r>
          </w:p>
        </w:tc>
        <w:tc>
          <w:tcPr>
            <w:tcW w:w="986" w:type="pct"/>
            <w:vAlign w:val="center"/>
          </w:tcPr>
          <w:p w14:paraId="533F066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氯仿</w:t>
            </w:r>
          </w:p>
        </w:tc>
        <w:tc>
          <w:tcPr>
            <w:tcW w:w="692" w:type="pct"/>
            <w:vAlign w:val="center"/>
          </w:tcPr>
          <w:p w14:paraId="6E95120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67-66-3</w:t>
            </w:r>
          </w:p>
        </w:tc>
        <w:tc>
          <w:tcPr>
            <w:tcW w:w="751" w:type="pct"/>
            <w:vAlign w:val="center"/>
          </w:tcPr>
          <w:p w14:paraId="636C675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0.3</w:t>
            </w:r>
          </w:p>
        </w:tc>
        <w:tc>
          <w:tcPr>
            <w:tcW w:w="759" w:type="pct"/>
            <w:vAlign w:val="center"/>
          </w:tcPr>
          <w:p w14:paraId="64363EB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0.9</w:t>
            </w:r>
          </w:p>
        </w:tc>
        <w:tc>
          <w:tcPr>
            <w:tcW w:w="721" w:type="pct"/>
            <w:vAlign w:val="center"/>
          </w:tcPr>
          <w:p w14:paraId="352945E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c>
          <w:tcPr>
            <w:tcW w:w="764" w:type="pct"/>
            <w:vAlign w:val="center"/>
          </w:tcPr>
          <w:p w14:paraId="5529303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w:t>
            </w:r>
          </w:p>
        </w:tc>
      </w:tr>
      <w:tr w14:paraId="2E7008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CBEEB6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w:t>
            </w:r>
          </w:p>
        </w:tc>
        <w:tc>
          <w:tcPr>
            <w:tcW w:w="986" w:type="pct"/>
            <w:vAlign w:val="center"/>
          </w:tcPr>
          <w:p w14:paraId="6D8F875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氯甲烷</w:t>
            </w:r>
          </w:p>
        </w:tc>
        <w:tc>
          <w:tcPr>
            <w:tcW w:w="692" w:type="pct"/>
            <w:vAlign w:val="center"/>
          </w:tcPr>
          <w:p w14:paraId="0A94393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74-87-3</w:t>
            </w:r>
          </w:p>
        </w:tc>
        <w:tc>
          <w:tcPr>
            <w:tcW w:w="751" w:type="pct"/>
            <w:vAlign w:val="center"/>
          </w:tcPr>
          <w:p w14:paraId="6619805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w:t>
            </w:r>
          </w:p>
        </w:tc>
        <w:tc>
          <w:tcPr>
            <w:tcW w:w="759" w:type="pct"/>
            <w:vAlign w:val="center"/>
          </w:tcPr>
          <w:p w14:paraId="68125FA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37</w:t>
            </w:r>
          </w:p>
        </w:tc>
        <w:tc>
          <w:tcPr>
            <w:tcW w:w="721" w:type="pct"/>
            <w:vAlign w:val="center"/>
          </w:tcPr>
          <w:p w14:paraId="13E55E5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21</w:t>
            </w:r>
          </w:p>
        </w:tc>
        <w:tc>
          <w:tcPr>
            <w:tcW w:w="764" w:type="pct"/>
            <w:vAlign w:val="center"/>
          </w:tcPr>
          <w:p w14:paraId="61FF236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120</w:t>
            </w:r>
          </w:p>
        </w:tc>
      </w:tr>
      <w:tr w14:paraId="76A2A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C3C802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w:t>
            </w:r>
          </w:p>
        </w:tc>
        <w:tc>
          <w:tcPr>
            <w:tcW w:w="986" w:type="pct"/>
            <w:vAlign w:val="center"/>
          </w:tcPr>
          <w:p w14:paraId="76CF8AF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1,1-二氯乙烷</w:t>
            </w:r>
          </w:p>
        </w:tc>
        <w:tc>
          <w:tcPr>
            <w:tcW w:w="692" w:type="pct"/>
            <w:vAlign w:val="center"/>
          </w:tcPr>
          <w:p w14:paraId="6C71A05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75-34-3</w:t>
            </w:r>
          </w:p>
        </w:tc>
        <w:tc>
          <w:tcPr>
            <w:tcW w:w="751" w:type="pct"/>
            <w:vAlign w:val="center"/>
          </w:tcPr>
          <w:p w14:paraId="4F7DC24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w:t>
            </w:r>
          </w:p>
        </w:tc>
        <w:tc>
          <w:tcPr>
            <w:tcW w:w="759" w:type="pct"/>
            <w:vAlign w:val="center"/>
          </w:tcPr>
          <w:p w14:paraId="592B55B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w:t>
            </w:r>
          </w:p>
        </w:tc>
        <w:tc>
          <w:tcPr>
            <w:tcW w:w="721" w:type="pct"/>
            <w:vAlign w:val="center"/>
          </w:tcPr>
          <w:p w14:paraId="1A67EE2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c>
          <w:tcPr>
            <w:tcW w:w="764" w:type="pct"/>
            <w:vAlign w:val="center"/>
          </w:tcPr>
          <w:p w14:paraId="2692112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100</w:t>
            </w:r>
          </w:p>
        </w:tc>
      </w:tr>
      <w:tr w14:paraId="54B36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5DE369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w:t>
            </w:r>
          </w:p>
        </w:tc>
        <w:tc>
          <w:tcPr>
            <w:tcW w:w="986" w:type="pct"/>
            <w:vAlign w:val="center"/>
          </w:tcPr>
          <w:p w14:paraId="40D5DDB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1,2-二氯乙烷</w:t>
            </w:r>
          </w:p>
        </w:tc>
        <w:tc>
          <w:tcPr>
            <w:tcW w:w="692" w:type="pct"/>
            <w:vAlign w:val="center"/>
          </w:tcPr>
          <w:p w14:paraId="7676951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107-06-2</w:t>
            </w:r>
          </w:p>
        </w:tc>
        <w:tc>
          <w:tcPr>
            <w:tcW w:w="751" w:type="pct"/>
            <w:vAlign w:val="center"/>
          </w:tcPr>
          <w:p w14:paraId="52699C2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0.52</w:t>
            </w:r>
          </w:p>
        </w:tc>
        <w:tc>
          <w:tcPr>
            <w:tcW w:w="759" w:type="pct"/>
            <w:vAlign w:val="center"/>
          </w:tcPr>
          <w:p w14:paraId="3C59DB6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c>
          <w:tcPr>
            <w:tcW w:w="721" w:type="pct"/>
            <w:vAlign w:val="center"/>
          </w:tcPr>
          <w:p w14:paraId="051C19D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w:t>
            </w:r>
          </w:p>
        </w:tc>
        <w:tc>
          <w:tcPr>
            <w:tcW w:w="764" w:type="pct"/>
            <w:vAlign w:val="center"/>
          </w:tcPr>
          <w:p w14:paraId="0DD09BE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21</w:t>
            </w:r>
          </w:p>
        </w:tc>
      </w:tr>
      <w:tr w14:paraId="3BF7B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D2D438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13</w:t>
            </w:r>
          </w:p>
        </w:tc>
        <w:tc>
          <w:tcPr>
            <w:tcW w:w="986" w:type="pct"/>
            <w:vAlign w:val="center"/>
          </w:tcPr>
          <w:p w14:paraId="29D4369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1，1-二氯乙烯</w:t>
            </w:r>
          </w:p>
        </w:tc>
        <w:tc>
          <w:tcPr>
            <w:tcW w:w="692" w:type="pct"/>
            <w:vAlign w:val="center"/>
          </w:tcPr>
          <w:p w14:paraId="61434BD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75-35-4</w:t>
            </w:r>
          </w:p>
        </w:tc>
        <w:tc>
          <w:tcPr>
            <w:tcW w:w="751" w:type="pct"/>
            <w:vAlign w:val="center"/>
          </w:tcPr>
          <w:p w14:paraId="57987A4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w:t>
            </w:r>
          </w:p>
        </w:tc>
        <w:tc>
          <w:tcPr>
            <w:tcW w:w="759" w:type="pct"/>
            <w:vAlign w:val="center"/>
          </w:tcPr>
          <w:p w14:paraId="544D850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66</w:t>
            </w:r>
          </w:p>
        </w:tc>
        <w:tc>
          <w:tcPr>
            <w:tcW w:w="721" w:type="pct"/>
            <w:vAlign w:val="center"/>
          </w:tcPr>
          <w:p w14:paraId="0E4D10A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40</w:t>
            </w:r>
          </w:p>
        </w:tc>
        <w:tc>
          <w:tcPr>
            <w:tcW w:w="764" w:type="pct"/>
            <w:vAlign w:val="center"/>
          </w:tcPr>
          <w:p w14:paraId="0E4761D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w:t>
            </w:r>
          </w:p>
        </w:tc>
      </w:tr>
      <w:tr w14:paraId="15974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921A4F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14</w:t>
            </w:r>
          </w:p>
        </w:tc>
        <w:tc>
          <w:tcPr>
            <w:tcW w:w="986" w:type="pct"/>
            <w:vAlign w:val="center"/>
          </w:tcPr>
          <w:p w14:paraId="43CA420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顺-1，2-二氯乙烯</w:t>
            </w:r>
          </w:p>
        </w:tc>
        <w:tc>
          <w:tcPr>
            <w:tcW w:w="692" w:type="pct"/>
            <w:vAlign w:val="center"/>
          </w:tcPr>
          <w:p w14:paraId="1714046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156-59-2</w:t>
            </w:r>
          </w:p>
        </w:tc>
        <w:tc>
          <w:tcPr>
            <w:tcW w:w="751" w:type="pct"/>
            <w:vAlign w:val="center"/>
          </w:tcPr>
          <w:p w14:paraId="423AE47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66</w:t>
            </w:r>
          </w:p>
        </w:tc>
        <w:tc>
          <w:tcPr>
            <w:tcW w:w="759" w:type="pct"/>
            <w:vAlign w:val="center"/>
          </w:tcPr>
          <w:p w14:paraId="4EA7F5F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596</w:t>
            </w:r>
          </w:p>
        </w:tc>
        <w:tc>
          <w:tcPr>
            <w:tcW w:w="721" w:type="pct"/>
            <w:vAlign w:val="center"/>
          </w:tcPr>
          <w:p w14:paraId="5ED1575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w:t>
            </w:r>
          </w:p>
        </w:tc>
        <w:tc>
          <w:tcPr>
            <w:tcW w:w="764" w:type="pct"/>
            <w:vAlign w:val="center"/>
          </w:tcPr>
          <w:p w14:paraId="3D1A41A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2000</w:t>
            </w:r>
          </w:p>
        </w:tc>
      </w:tr>
      <w:tr w14:paraId="34BC01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7AA92B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986" w:type="pct"/>
            <w:vAlign w:val="center"/>
          </w:tcPr>
          <w:p w14:paraId="4631F20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反-1，2-二氯乙烯</w:t>
            </w:r>
          </w:p>
        </w:tc>
        <w:tc>
          <w:tcPr>
            <w:tcW w:w="692" w:type="pct"/>
            <w:vAlign w:val="center"/>
          </w:tcPr>
          <w:p w14:paraId="063B9D4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156-60-5</w:t>
            </w:r>
          </w:p>
        </w:tc>
        <w:tc>
          <w:tcPr>
            <w:tcW w:w="751" w:type="pct"/>
            <w:vAlign w:val="center"/>
          </w:tcPr>
          <w:p w14:paraId="0BEF722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w:t>
            </w:r>
          </w:p>
        </w:tc>
        <w:tc>
          <w:tcPr>
            <w:tcW w:w="759" w:type="pct"/>
            <w:vAlign w:val="center"/>
          </w:tcPr>
          <w:p w14:paraId="2A701AD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54</w:t>
            </w:r>
          </w:p>
        </w:tc>
        <w:tc>
          <w:tcPr>
            <w:tcW w:w="721" w:type="pct"/>
            <w:vAlign w:val="center"/>
          </w:tcPr>
          <w:p w14:paraId="0439850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31</w:t>
            </w:r>
          </w:p>
        </w:tc>
        <w:tc>
          <w:tcPr>
            <w:tcW w:w="764" w:type="pct"/>
            <w:vAlign w:val="center"/>
          </w:tcPr>
          <w:p w14:paraId="5094250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163</w:t>
            </w:r>
          </w:p>
        </w:tc>
      </w:tr>
      <w:tr w14:paraId="37101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11FED4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16</w:t>
            </w:r>
          </w:p>
        </w:tc>
        <w:tc>
          <w:tcPr>
            <w:tcW w:w="986" w:type="pct"/>
            <w:vAlign w:val="center"/>
          </w:tcPr>
          <w:p w14:paraId="6E81470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二氯甲烷</w:t>
            </w:r>
          </w:p>
        </w:tc>
        <w:tc>
          <w:tcPr>
            <w:tcW w:w="692" w:type="pct"/>
            <w:vAlign w:val="center"/>
          </w:tcPr>
          <w:p w14:paraId="603B869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75-09-2</w:t>
            </w:r>
          </w:p>
        </w:tc>
        <w:tc>
          <w:tcPr>
            <w:tcW w:w="751" w:type="pct"/>
            <w:vAlign w:val="center"/>
          </w:tcPr>
          <w:p w14:paraId="1A7E72E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94</w:t>
            </w:r>
          </w:p>
        </w:tc>
        <w:tc>
          <w:tcPr>
            <w:tcW w:w="759" w:type="pct"/>
            <w:vAlign w:val="center"/>
          </w:tcPr>
          <w:p w14:paraId="3F33B77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616</w:t>
            </w:r>
          </w:p>
        </w:tc>
        <w:tc>
          <w:tcPr>
            <w:tcW w:w="721" w:type="pct"/>
            <w:vAlign w:val="center"/>
          </w:tcPr>
          <w:p w14:paraId="30C7B26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300</w:t>
            </w:r>
          </w:p>
        </w:tc>
        <w:tc>
          <w:tcPr>
            <w:tcW w:w="764" w:type="pct"/>
            <w:vAlign w:val="center"/>
          </w:tcPr>
          <w:p w14:paraId="5AFDDF9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2000</w:t>
            </w:r>
          </w:p>
        </w:tc>
      </w:tr>
      <w:tr w14:paraId="3829C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78FCE2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17</w:t>
            </w:r>
          </w:p>
        </w:tc>
        <w:tc>
          <w:tcPr>
            <w:tcW w:w="986" w:type="pct"/>
            <w:vAlign w:val="center"/>
          </w:tcPr>
          <w:p w14:paraId="1E80F08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1,2-二氯丙烷</w:t>
            </w:r>
          </w:p>
        </w:tc>
        <w:tc>
          <w:tcPr>
            <w:tcW w:w="692" w:type="pct"/>
            <w:vAlign w:val="center"/>
          </w:tcPr>
          <w:p w14:paraId="5BEA442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78-87-5</w:t>
            </w:r>
          </w:p>
        </w:tc>
        <w:tc>
          <w:tcPr>
            <w:tcW w:w="751" w:type="pct"/>
            <w:vAlign w:val="center"/>
          </w:tcPr>
          <w:p w14:paraId="65B2777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w:t>
            </w:r>
          </w:p>
        </w:tc>
        <w:tc>
          <w:tcPr>
            <w:tcW w:w="759" w:type="pct"/>
            <w:vAlign w:val="center"/>
          </w:tcPr>
          <w:p w14:paraId="4779EA5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c>
          <w:tcPr>
            <w:tcW w:w="721" w:type="pct"/>
            <w:vAlign w:val="center"/>
          </w:tcPr>
          <w:p w14:paraId="4E95D3F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c>
          <w:tcPr>
            <w:tcW w:w="764" w:type="pct"/>
            <w:vAlign w:val="center"/>
          </w:tcPr>
          <w:p w14:paraId="335AFA9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47</w:t>
            </w:r>
          </w:p>
        </w:tc>
      </w:tr>
      <w:tr w14:paraId="41A37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21975E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18</w:t>
            </w:r>
          </w:p>
        </w:tc>
        <w:tc>
          <w:tcPr>
            <w:tcW w:w="986" w:type="pct"/>
            <w:vAlign w:val="center"/>
          </w:tcPr>
          <w:p w14:paraId="307A02F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1,1,1,2-四氯乙烷</w:t>
            </w:r>
          </w:p>
        </w:tc>
        <w:tc>
          <w:tcPr>
            <w:tcW w:w="692" w:type="pct"/>
            <w:vAlign w:val="center"/>
          </w:tcPr>
          <w:p w14:paraId="171DC79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630-20-6</w:t>
            </w:r>
          </w:p>
        </w:tc>
        <w:tc>
          <w:tcPr>
            <w:tcW w:w="751" w:type="pct"/>
            <w:vAlign w:val="center"/>
          </w:tcPr>
          <w:p w14:paraId="009D314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2.6</w:t>
            </w:r>
          </w:p>
        </w:tc>
        <w:tc>
          <w:tcPr>
            <w:tcW w:w="759" w:type="pct"/>
            <w:vAlign w:val="center"/>
          </w:tcPr>
          <w:p w14:paraId="3400F1C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w:t>
            </w:r>
          </w:p>
        </w:tc>
        <w:tc>
          <w:tcPr>
            <w:tcW w:w="721" w:type="pct"/>
            <w:vAlign w:val="center"/>
          </w:tcPr>
          <w:p w14:paraId="521033A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26</w:t>
            </w:r>
          </w:p>
        </w:tc>
        <w:tc>
          <w:tcPr>
            <w:tcW w:w="764" w:type="pct"/>
            <w:vAlign w:val="center"/>
          </w:tcPr>
          <w:p w14:paraId="0A840D5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100</w:t>
            </w:r>
          </w:p>
        </w:tc>
      </w:tr>
      <w:tr w14:paraId="7519E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38E5A95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19</w:t>
            </w:r>
          </w:p>
        </w:tc>
        <w:tc>
          <w:tcPr>
            <w:tcW w:w="986" w:type="pct"/>
            <w:vAlign w:val="center"/>
          </w:tcPr>
          <w:p w14:paraId="462A992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1,1,2,2-四氯乙烷</w:t>
            </w:r>
          </w:p>
        </w:tc>
        <w:tc>
          <w:tcPr>
            <w:tcW w:w="692" w:type="pct"/>
            <w:vAlign w:val="center"/>
          </w:tcPr>
          <w:p w14:paraId="725E4CC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79-34-5</w:t>
            </w:r>
          </w:p>
        </w:tc>
        <w:tc>
          <w:tcPr>
            <w:tcW w:w="751" w:type="pct"/>
            <w:vAlign w:val="center"/>
          </w:tcPr>
          <w:p w14:paraId="1530B5F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1.6</w:t>
            </w:r>
          </w:p>
        </w:tc>
        <w:tc>
          <w:tcPr>
            <w:tcW w:w="759" w:type="pct"/>
            <w:vAlign w:val="center"/>
          </w:tcPr>
          <w:p w14:paraId="226468A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6.8</w:t>
            </w:r>
          </w:p>
        </w:tc>
        <w:tc>
          <w:tcPr>
            <w:tcW w:w="721" w:type="pct"/>
            <w:vAlign w:val="center"/>
          </w:tcPr>
          <w:p w14:paraId="62108B5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14</w:t>
            </w:r>
          </w:p>
        </w:tc>
        <w:tc>
          <w:tcPr>
            <w:tcW w:w="764" w:type="pct"/>
            <w:vAlign w:val="center"/>
          </w:tcPr>
          <w:p w14:paraId="0685A57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50</w:t>
            </w:r>
          </w:p>
        </w:tc>
      </w:tr>
      <w:tr w14:paraId="78276A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EFD509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c>
          <w:tcPr>
            <w:tcW w:w="986" w:type="pct"/>
            <w:vAlign w:val="center"/>
          </w:tcPr>
          <w:p w14:paraId="68B85DF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四氯乙烯</w:t>
            </w:r>
          </w:p>
        </w:tc>
        <w:tc>
          <w:tcPr>
            <w:tcW w:w="692" w:type="pct"/>
            <w:vAlign w:val="center"/>
          </w:tcPr>
          <w:p w14:paraId="0B1CF54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127-18-4</w:t>
            </w:r>
          </w:p>
        </w:tc>
        <w:tc>
          <w:tcPr>
            <w:tcW w:w="751" w:type="pct"/>
            <w:vAlign w:val="center"/>
          </w:tcPr>
          <w:p w14:paraId="22F479A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w:t>
            </w:r>
          </w:p>
        </w:tc>
        <w:tc>
          <w:tcPr>
            <w:tcW w:w="759" w:type="pct"/>
            <w:vAlign w:val="center"/>
          </w:tcPr>
          <w:p w14:paraId="6124426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53</w:t>
            </w:r>
          </w:p>
        </w:tc>
        <w:tc>
          <w:tcPr>
            <w:tcW w:w="721" w:type="pct"/>
            <w:vAlign w:val="center"/>
          </w:tcPr>
          <w:p w14:paraId="7582152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34</w:t>
            </w:r>
          </w:p>
        </w:tc>
        <w:tc>
          <w:tcPr>
            <w:tcW w:w="764" w:type="pct"/>
            <w:vAlign w:val="center"/>
          </w:tcPr>
          <w:p w14:paraId="35110CC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183</w:t>
            </w:r>
          </w:p>
        </w:tc>
      </w:tr>
      <w:tr w14:paraId="7C86A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1D0D63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21</w:t>
            </w:r>
          </w:p>
        </w:tc>
        <w:tc>
          <w:tcPr>
            <w:tcW w:w="986" w:type="pct"/>
            <w:vAlign w:val="center"/>
          </w:tcPr>
          <w:p w14:paraId="02ABC68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1,1,1-三氯乙烷</w:t>
            </w:r>
          </w:p>
        </w:tc>
        <w:tc>
          <w:tcPr>
            <w:tcW w:w="692" w:type="pct"/>
            <w:vAlign w:val="center"/>
          </w:tcPr>
          <w:p w14:paraId="69F4DC4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71-55-6</w:t>
            </w:r>
          </w:p>
        </w:tc>
        <w:tc>
          <w:tcPr>
            <w:tcW w:w="751" w:type="pct"/>
            <w:vAlign w:val="center"/>
          </w:tcPr>
          <w:p w14:paraId="7B8C2D3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701</w:t>
            </w:r>
          </w:p>
        </w:tc>
        <w:tc>
          <w:tcPr>
            <w:tcW w:w="759" w:type="pct"/>
            <w:vAlign w:val="center"/>
          </w:tcPr>
          <w:p w14:paraId="4D16C49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840</w:t>
            </w:r>
          </w:p>
        </w:tc>
        <w:tc>
          <w:tcPr>
            <w:tcW w:w="721" w:type="pct"/>
            <w:vAlign w:val="center"/>
          </w:tcPr>
          <w:p w14:paraId="34CF86D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840</w:t>
            </w:r>
          </w:p>
        </w:tc>
        <w:tc>
          <w:tcPr>
            <w:tcW w:w="764" w:type="pct"/>
            <w:vAlign w:val="center"/>
          </w:tcPr>
          <w:p w14:paraId="22EF028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840</w:t>
            </w:r>
          </w:p>
        </w:tc>
      </w:tr>
      <w:tr w14:paraId="22C92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23D600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22</w:t>
            </w:r>
          </w:p>
        </w:tc>
        <w:tc>
          <w:tcPr>
            <w:tcW w:w="986" w:type="pct"/>
            <w:vAlign w:val="center"/>
          </w:tcPr>
          <w:p w14:paraId="1275301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1,1,2-三氯乙烷</w:t>
            </w:r>
          </w:p>
        </w:tc>
        <w:tc>
          <w:tcPr>
            <w:tcW w:w="692" w:type="pct"/>
            <w:vAlign w:val="center"/>
          </w:tcPr>
          <w:p w14:paraId="7ABE08A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79-00-5</w:t>
            </w:r>
          </w:p>
        </w:tc>
        <w:tc>
          <w:tcPr>
            <w:tcW w:w="751" w:type="pct"/>
            <w:vAlign w:val="center"/>
          </w:tcPr>
          <w:p w14:paraId="59218AD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0.6</w:t>
            </w:r>
          </w:p>
        </w:tc>
        <w:tc>
          <w:tcPr>
            <w:tcW w:w="759" w:type="pct"/>
            <w:vAlign w:val="center"/>
          </w:tcPr>
          <w:p w14:paraId="5836F53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w:t>
            </w:r>
          </w:p>
        </w:tc>
        <w:tc>
          <w:tcPr>
            <w:tcW w:w="721" w:type="pct"/>
            <w:vAlign w:val="center"/>
          </w:tcPr>
          <w:p w14:paraId="2A3EDDE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c>
          <w:tcPr>
            <w:tcW w:w="764" w:type="pct"/>
            <w:vAlign w:val="center"/>
          </w:tcPr>
          <w:p w14:paraId="3C1C4E0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r>
      <w:tr w14:paraId="27C8E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3549116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23</w:t>
            </w:r>
          </w:p>
        </w:tc>
        <w:tc>
          <w:tcPr>
            <w:tcW w:w="986" w:type="pct"/>
            <w:vAlign w:val="center"/>
          </w:tcPr>
          <w:p w14:paraId="5D2A2D7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三氯乙烯</w:t>
            </w:r>
          </w:p>
        </w:tc>
        <w:tc>
          <w:tcPr>
            <w:tcW w:w="692" w:type="pct"/>
            <w:vAlign w:val="center"/>
          </w:tcPr>
          <w:p w14:paraId="2CD1D89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79-01-6</w:t>
            </w:r>
          </w:p>
        </w:tc>
        <w:tc>
          <w:tcPr>
            <w:tcW w:w="751" w:type="pct"/>
            <w:vAlign w:val="center"/>
          </w:tcPr>
          <w:p w14:paraId="0B70853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0.7</w:t>
            </w:r>
          </w:p>
        </w:tc>
        <w:tc>
          <w:tcPr>
            <w:tcW w:w="759" w:type="pct"/>
            <w:vAlign w:val="center"/>
          </w:tcPr>
          <w:p w14:paraId="5CB8C5C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w:t>
            </w:r>
          </w:p>
        </w:tc>
        <w:tc>
          <w:tcPr>
            <w:tcW w:w="721" w:type="pct"/>
            <w:vAlign w:val="center"/>
          </w:tcPr>
          <w:p w14:paraId="7696F83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w:t>
            </w:r>
          </w:p>
        </w:tc>
        <w:tc>
          <w:tcPr>
            <w:tcW w:w="764" w:type="pct"/>
            <w:vAlign w:val="center"/>
          </w:tcPr>
          <w:p w14:paraId="2A89E7E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r>
      <w:tr w14:paraId="7A6FF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46057D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24</w:t>
            </w:r>
          </w:p>
        </w:tc>
        <w:tc>
          <w:tcPr>
            <w:tcW w:w="986" w:type="pct"/>
            <w:vAlign w:val="center"/>
          </w:tcPr>
          <w:p w14:paraId="64127A6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1,2,3-三氯丙烷</w:t>
            </w:r>
          </w:p>
        </w:tc>
        <w:tc>
          <w:tcPr>
            <w:tcW w:w="692" w:type="pct"/>
            <w:vAlign w:val="center"/>
          </w:tcPr>
          <w:p w14:paraId="16BCC53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96-18-4</w:t>
            </w:r>
          </w:p>
        </w:tc>
        <w:tc>
          <w:tcPr>
            <w:tcW w:w="751" w:type="pct"/>
            <w:vAlign w:val="center"/>
          </w:tcPr>
          <w:p w14:paraId="78C8547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0.05</w:t>
            </w:r>
          </w:p>
        </w:tc>
        <w:tc>
          <w:tcPr>
            <w:tcW w:w="759" w:type="pct"/>
            <w:vAlign w:val="center"/>
          </w:tcPr>
          <w:p w14:paraId="3F125DC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0.5</w:t>
            </w:r>
          </w:p>
        </w:tc>
        <w:tc>
          <w:tcPr>
            <w:tcW w:w="721" w:type="pct"/>
            <w:vAlign w:val="center"/>
          </w:tcPr>
          <w:p w14:paraId="58F6CC6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0.5</w:t>
            </w:r>
          </w:p>
        </w:tc>
        <w:tc>
          <w:tcPr>
            <w:tcW w:w="764" w:type="pct"/>
            <w:vAlign w:val="center"/>
          </w:tcPr>
          <w:p w14:paraId="0E05B62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w:t>
            </w:r>
          </w:p>
        </w:tc>
      </w:tr>
      <w:tr w14:paraId="54367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6ADC9C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25</w:t>
            </w:r>
          </w:p>
        </w:tc>
        <w:tc>
          <w:tcPr>
            <w:tcW w:w="986" w:type="pct"/>
            <w:vAlign w:val="center"/>
          </w:tcPr>
          <w:p w14:paraId="1349DD4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氯乙烯</w:t>
            </w:r>
          </w:p>
        </w:tc>
        <w:tc>
          <w:tcPr>
            <w:tcW w:w="692" w:type="pct"/>
            <w:vAlign w:val="center"/>
          </w:tcPr>
          <w:p w14:paraId="1F589FD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75-01-4</w:t>
            </w:r>
          </w:p>
        </w:tc>
        <w:tc>
          <w:tcPr>
            <w:tcW w:w="751" w:type="pct"/>
            <w:vAlign w:val="center"/>
          </w:tcPr>
          <w:p w14:paraId="62CB5C2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0.12</w:t>
            </w:r>
          </w:p>
        </w:tc>
        <w:tc>
          <w:tcPr>
            <w:tcW w:w="759" w:type="pct"/>
            <w:vAlign w:val="center"/>
          </w:tcPr>
          <w:p w14:paraId="2E47EDF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0.43</w:t>
            </w:r>
          </w:p>
        </w:tc>
        <w:tc>
          <w:tcPr>
            <w:tcW w:w="721" w:type="pct"/>
            <w:vAlign w:val="center"/>
          </w:tcPr>
          <w:p w14:paraId="0DF5ABD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w:t>
            </w:r>
          </w:p>
        </w:tc>
        <w:tc>
          <w:tcPr>
            <w:tcW w:w="764" w:type="pct"/>
            <w:vAlign w:val="center"/>
          </w:tcPr>
          <w:p w14:paraId="676997F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4.3</w:t>
            </w:r>
          </w:p>
        </w:tc>
      </w:tr>
      <w:tr w14:paraId="242A1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C60FB5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26</w:t>
            </w:r>
          </w:p>
        </w:tc>
        <w:tc>
          <w:tcPr>
            <w:tcW w:w="986" w:type="pct"/>
            <w:vAlign w:val="center"/>
          </w:tcPr>
          <w:p w14:paraId="7B5338B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w:t>
            </w:r>
          </w:p>
        </w:tc>
        <w:tc>
          <w:tcPr>
            <w:tcW w:w="692" w:type="pct"/>
            <w:vAlign w:val="center"/>
          </w:tcPr>
          <w:p w14:paraId="142D2D1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71-43-2</w:t>
            </w:r>
          </w:p>
        </w:tc>
        <w:tc>
          <w:tcPr>
            <w:tcW w:w="751" w:type="pct"/>
            <w:vAlign w:val="center"/>
          </w:tcPr>
          <w:p w14:paraId="087E256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w:t>
            </w:r>
          </w:p>
        </w:tc>
        <w:tc>
          <w:tcPr>
            <w:tcW w:w="759" w:type="pct"/>
            <w:vAlign w:val="center"/>
          </w:tcPr>
          <w:p w14:paraId="0CFD969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w:t>
            </w:r>
          </w:p>
        </w:tc>
        <w:tc>
          <w:tcPr>
            <w:tcW w:w="721" w:type="pct"/>
            <w:vAlign w:val="center"/>
          </w:tcPr>
          <w:p w14:paraId="219BF44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w:t>
            </w:r>
          </w:p>
        </w:tc>
        <w:tc>
          <w:tcPr>
            <w:tcW w:w="764" w:type="pct"/>
            <w:vAlign w:val="center"/>
          </w:tcPr>
          <w:p w14:paraId="14C64CC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40</w:t>
            </w:r>
          </w:p>
        </w:tc>
      </w:tr>
      <w:tr w14:paraId="48EB8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E8E7C2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27</w:t>
            </w:r>
          </w:p>
        </w:tc>
        <w:tc>
          <w:tcPr>
            <w:tcW w:w="986" w:type="pct"/>
            <w:vAlign w:val="center"/>
          </w:tcPr>
          <w:p w14:paraId="399B2B2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氯苯</w:t>
            </w:r>
          </w:p>
        </w:tc>
        <w:tc>
          <w:tcPr>
            <w:tcW w:w="692" w:type="pct"/>
            <w:vAlign w:val="center"/>
          </w:tcPr>
          <w:p w14:paraId="1FA109E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108-90-7</w:t>
            </w:r>
          </w:p>
        </w:tc>
        <w:tc>
          <w:tcPr>
            <w:tcW w:w="751" w:type="pct"/>
            <w:vAlign w:val="center"/>
          </w:tcPr>
          <w:p w14:paraId="7C1561A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68</w:t>
            </w:r>
          </w:p>
        </w:tc>
        <w:tc>
          <w:tcPr>
            <w:tcW w:w="759" w:type="pct"/>
            <w:vAlign w:val="center"/>
          </w:tcPr>
          <w:p w14:paraId="2E5B0FC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270</w:t>
            </w:r>
          </w:p>
        </w:tc>
        <w:tc>
          <w:tcPr>
            <w:tcW w:w="721" w:type="pct"/>
            <w:vAlign w:val="center"/>
          </w:tcPr>
          <w:p w14:paraId="0E543EA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w:t>
            </w:r>
          </w:p>
        </w:tc>
        <w:tc>
          <w:tcPr>
            <w:tcW w:w="764" w:type="pct"/>
            <w:vAlign w:val="center"/>
          </w:tcPr>
          <w:p w14:paraId="5F5B5BE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1000</w:t>
            </w:r>
          </w:p>
        </w:tc>
      </w:tr>
      <w:tr w14:paraId="3E5A7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6EFAD8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w:t>
            </w:r>
          </w:p>
        </w:tc>
        <w:tc>
          <w:tcPr>
            <w:tcW w:w="986" w:type="pct"/>
            <w:vAlign w:val="center"/>
          </w:tcPr>
          <w:p w14:paraId="5C29880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1,2-二氯苯</w:t>
            </w:r>
          </w:p>
        </w:tc>
        <w:tc>
          <w:tcPr>
            <w:tcW w:w="692" w:type="pct"/>
            <w:vAlign w:val="center"/>
          </w:tcPr>
          <w:p w14:paraId="0830817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95-50-1</w:t>
            </w:r>
          </w:p>
        </w:tc>
        <w:tc>
          <w:tcPr>
            <w:tcW w:w="751" w:type="pct"/>
            <w:vAlign w:val="center"/>
          </w:tcPr>
          <w:p w14:paraId="61A6E40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560</w:t>
            </w:r>
          </w:p>
        </w:tc>
        <w:tc>
          <w:tcPr>
            <w:tcW w:w="759" w:type="pct"/>
            <w:vAlign w:val="center"/>
          </w:tcPr>
          <w:p w14:paraId="64AB839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560</w:t>
            </w:r>
          </w:p>
        </w:tc>
        <w:tc>
          <w:tcPr>
            <w:tcW w:w="721" w:type="pct"/>
            <w:vAlign w:val="center"/>
          </w:tcPr>
          <w:p w14:paraId="3733C8C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560</w:t>
            </w:r>
          </w:p>
        </w:tc>
        <w:tc>
          <w:tcPr>
            <w:tcW w:w="764" w:type="pct"/>
            <w:vAlign w:val="center"/>
          </w:tcPr>
          <w:p w14:paraId="674EE69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560</w:t>
            </w:r>
          </w:p>
        </w:tc>
      </w:tr>
      <w:tr w14:paraId="634352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FFD708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29</w:t>
            </w:r>
          </w:p>
        </w:tc>
        <w:tc>
          <w:tcPr>
            <w:tcW w:w="986" w:type="pct"/>
            <w:vAlign w:val="center"/>
          </w:tcPr>
          <w:p w14:paraId="609356B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1,4-二氯苯</w:t>
            </w:r>
          </w:p>
        </w:tc>
        <w:tc>
          <w:tcPr>
            <w:tcW w:w="692" w:type="pct"/>
            <w:vAlign w:val="center"/>
          </w:tcPr>
          <w:p w14:paraId="2DA9930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106-46-7</w:t>
            </w:r>
          </w:p>
        </w:tc>
        <w:tc>
          <w:tcPr>
            <w:tcW w:w="751" w:type="pct"/>
            <w:vAlign w:val="center"/>
          </w:tcPr>
          <w:p w14:paraId="60CED0C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w:t>
            </w:r>
          </w:p>
        </w:tc>
        <w:tc>
          <w:tcPr>
            <w:tcW w:w="759" w:type="pct"/>
            <w:vAlign w:val="center"/>
          </w:tcPr>
          <w:p w14:paraId="476B76E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w:t>
            </w:r>
          </w:p>
        </w:tc>
        <w:tc>
          <w:tcPr>
            <w:tcW w:w="721" w:type="pct"/>
            <w:vAlign w:val="center"/>
          </w:tcPr>
          <w:p w14:paraId="77F6AFC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w:t>
            </w:r>
          </w:p>
        </w:tc>
        <w:tc>
          <w:tcPr>
            <w:tcW w:w="764" w:type="pct"/>
            <w:vAlign w:val="center"/>
          </w:tcPr>
          <w:p w14:paraId="570B5B0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200</w:t>
            </w:r>
          </w:p>
        </w:tc>
      </w:tr>
      <w:tr w14:paraId="6865E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675F9E9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30</w:t>
            </w:r>
          </w:p>
        </w:tc>
        <w:tc>
          <w:tcPr>
            <w:tcW w:w="986" w:type="pct"/>
            <w:vAlign w:val="center"/>
          </w:tcPr>
          <w:p w14:paraId="7CB8FF7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乙苯</w:t>
            </w:r>
          </w:p>
        </w:tc>
        <w:tc>
          <w:tcPr>
            <w:tcW w:w="692" w:type="pct"/>
            <w:vAlign w:val="center"/>
          </w:tcPr>
          <w:p w14:paraId="3370680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100-41-4</w:t>
            </w:r>
          </w:p>
        </w:tc>
        <w:tc>
          <w:tcPr>
            <w:tcW w:w="751" w:type="pct"/>
            <w:vAlign w:val="center"/>
          </w:tcPr>
          <w:p w14:paraId="3623448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7.2</w:t>
            </w:r>
          </w:p>
        </w:tc>
        <w:tc>
          <w:tcPr>
            <w:tcW w:w="759" w:type="pct"/>
            <w:vAlign w:val="center"/>
          </w:tcPr>
          <w:p w14:paraId="77CB55D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w:t>
            </w:r>
          </w:p>
        </w:tc>
        <w:tc>
          <w:tcPr>
            <w:tcW w:w="721" w:type="pct"/>
            <w:vAlign w:val="center"/>
          </w:tcPr>
          <w:p w14:paraId="782F620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72</w:t>
            </w:r>
          </w:p>
        </w:tc>
        <w:tc>
          <w:tcPr>
            <w:tcW w:w="764" w:type="pct"/>
            <w:vAlign w:val="center"/>
          </w:tcPr>
          <w:p w14:paraId="3299A7B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280</w:t>
            </w:r>
          </w:p>
        </w:tc>
      </w:tr>
      <w:tr w14:paraId="7CE19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097D4D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31</w:t>
            </w:r>
          </w:p>
        </w:tc>
        <w:tc>
          <w:tcPr>
            <w:tcW w:w="986" w:type="pct"/>
            <w:vAlign w:val="center"/>
          </w:tcPr>
          <w:p w14:paraId="02ACA85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苯乙烯</w:t>
            </w:r>
          </w:p>
        </w:tc>
        <w:tc>
          <w:tcPr>
            <w:tcW w:w="692" w:type="pct"/>
            <w:vAlign w:val="center"/>
          </w:tcPr>
          <w:p w14:paraId="6D0879C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100-42-5</w:t>
            </w:r>
          </w:p>
        </w:tc>
        <w:tc>
          <w:tcPr>
            <w:tcW w:w="751" w:type="pct"/>
            <w:vAlign w:val="center"/>
          </w:tcPr>
          <w:p w14:paraId="05D50DC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1290</w:t>
            </w:r>
          </w:p>
        </w:tc>
        <w:tc>
          <w:tcPr>
            <w:tcW w:w="759" w:type="pct"/>
            <w:vAlign w:val="center"/>
          </w:tcPr>
          <w:p w14:paraId="4C1303E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1290</w:t>
            </w:r>
          </w:p>
        </w:tc>
        <w:tc>
          <w:tcPr>
            <w:tcW w:w="721" w:type="pct"/>
            <w:vAlign w:val="center"/>
          </w:tcPr>
          <w:p w14:paraId="487CF5E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1290</w:t>
            </w:r>
          </w:p>
        </w:tc>
        <w:tc>
          <w:tcPr>
            <w:tcW w:w="764" w:type="pct"/>
            <w:vAlign w:val="center"/>
          </w:tcPr>
          <w:p w14:paraId="5B1C2CA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1290</w:t>
            </w:r>
          </w:p>
        </w:tc>
      </w:tr>
      <w:tr w14:paraId="4B3F63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D3E176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32</w:t>
            </w:r>
          </w:p>
        </w:tc>
        <w:tc>
          <w:tcPr>
            <w:tcW w:w="986" w:type="pct"/>
            <w:vAlign w:val="center"/>
          </w:tcPr>
          <w:p w14:paraId="637B484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甲苯</w:t>
            </w:r>
          </w:p>
        </w:tc>
        <w:tc>
          <w:tcPr>
            <w:tcW w:w="692" w:type="pct"/>
            <w:vAlign w:val="center"/>
          </w:tcPr>
          <w:p w14:paraId="593DDE4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108-88-3</w:t>
            </w:r>
          </w:p>
        </w:tc>
        <w:tc>
          <w:tcPr>
            <w:tcW w:w="751" w:type="pct"/>
            <w:vAlign w:val="center"/>
          </w:tcPr>
          <w:p w14:paraId="5E8D10A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1200</w:t>
            </w:r>
          </w:p>
        </w:tc>
        <w:tc>
          <w:tcPr>
            <w:tcW w:w="759" w:type="pct"/>
            <w:vAlign w:val="center"/>
          </w:tcPr>
          <w:p w14:paraId="719FF90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1200</w:t>
            </w:r>
          </w:p>
        </w:tc>
        <w:tc>
          <w:tcPr>
            <w:tcW w:w="721" w:type="pct"/>
            <w:vAlign w:val="center"/>
          </w:tcPr>
          <w:p w14:paraId="35878C6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1200</w:t>
            </w:r>
          </w:p>
        </w:tc>
        <w:tc>
          <w:tcPr>
            <w:tcW w:w="764" w:type="pct"/>
            <w:vAlign w:val="center"/>
          </w:tcPr>
          <w:p w14:paraId="58654F7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1200</w:t>
            </w:r>
          </w:p>
        </w:tc>
      </w:tr>
      <w:tr w14:paraId="500BC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FC20B2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33</w:t>
            </w:r>
          </w:p>
        </w:tc>
        <w:tc>
          <w:tcPr>
            <w:tcW w:w="986" w:type="pct"/>
            <w:vAlign w:val="center"/>
          </w:tcPr>
          <w:p w14:paraId="51BD64F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间二甲苯+对二甲苯</w:t>
            </w:r>
          </w:p>
        </w:tc>
        <w:tc>
          <w:tcPr>
            <w:tcW w:w="692" w:type="pct"/>
            <w:vAlign w:val="center"/>
          </w:tcPr>
          <w:p w14:paraId="26789AC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108-38-3，106-42-3</w:t>
            </w:r>
          </w:p>
        </w:tc>
        <w:tc>
          <w:tcPr>
            <w:tcW w:w="751" w:type="pct"/>
            <w:vAlign w:val="center"/>
          </w:tcPr>
          <w:p w14:paraId="1B1ADBE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163</w:t>
            </w:r>
          </w:p>
        </w:tc>
        <w:tc>
          <w:tcPr>
            <w:tcW w:w="759" w:type="pct"/>
            <w:vAlign w:val="center"/>
          </w:tcPr>
          <w:p w14:paraId="0B7607F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570</w:t>
            </w:r>
          </w:p>
        </w:tc>
        <w:tc>
          <w:tcPr>
            <w:tcW w:w="721" w:type="pct"/>
            <w:vAlign w:val="center"/>
          </w:tcPr>
          <w:p w14:paraId="50380AA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500</w:t>
            </w:r>
          </w:p>
        </w:tc>
        <w:tc>
          <w:tcPr>
            <w:tcW w:w="764" w:type="pct"/>
            <w:vAlign w:val="center"/>
          </w:tcPr>
          <w:p w14:paraId="6C54B0C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570</w:t>
            </w:r>
          </w:p>
        </w:tc>
      </w:tr>
      <w:tr w14:paraId="5B7AD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4945AF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34</w:t>
            </w:r>
          </w:p>
        </w:tc>
        <w:tc>
          <w:tcPr>
            <w:tcW w:w="986" w:type="pct"/>
            <w:vAlign w:val="center"/>
          </w:tcPr>
          <w:p w14:paraId="537CCA3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邻二甲苯</w:t>
            </w:r>
          </w:p>
        </w:tc>
        <w:tc>
          <w:tcPr>
            <w:tcW w:w="692" w:type="pct"/>
            <w:vAlign w:val="center"/>
          </w:tcPr>
          <w:p w14:paraId="4AED6FF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95-47-6</w:t>
            </w:r>
          </w:p>
        </w:tc>
        <w:tc>
          <w:tcPr>
            <w:tcW w:w="751" w:type="pct"/>
            <w:vAlign w:val="center"/>
          </w:tcPr>
          <w:p w14:paraId="1382134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222</w:t>
            </w:r>
          </w:p>
        </w:tc>
        <w:tc>
          <w:tcPr>
            <w:tcW w:w="759" w:type="pct"/>
            <w:vAlign w:val="center"/>
          </w:tcPr>
          <w:p w14:paraId="252198C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640</w:t>
            </w:r>
          </w:p>
        </w:tc>
        <w:tc>
          <w:tcPr>
            <w:tcW w:w="721" w:type="pct"/>
            <w:vAlign w:val="center"/>
          </w:tcPr>
          <w:p w14:paraId="694D4A1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640</w:t>
            </w:r>
          </w:p>
        </w:tc>
        <w:tc>
          <w:tcPr>
            <w:tcW w:w="764" w:type="pct"/>
            <w:vAlign w:val="center"/>
          </w:tcPr>
          <w:p w14:paraId="3EEADE5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640</w:t>
            </w:r>
          </w:p>
        </w:tc>
      </w:tr>
      <w:tr w14:paraId="6C5B9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01FD7A6C">
            <w:pPr>
              <w:widowControl/>
              <w:snapToGrid w:val="0"/>
              <w:spacing w:line="240" w:lineRule="auto"/>
              <w:ind w:firstLine="0" w:firstLineChars="0"/>
              <w:jc w:val="left"/>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半挥发性有机物</w:t>
            </w:r>
          </w:p>
        </w:tc>
      </w:tr>
      <w:tr w14:paraId="62058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C37FA7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35</w:t>
            </w:r>
          </w:p>
        </w:tc>
        <w:tc>
          <w:tcPr>
            <w:tcW w:w="986" w:type="pct"/>
            <w:vAlign w:val="center"/>
          </w:tcPr>
          <w:p w14:paraId="14F54A6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硝基苯</w:t>
            </w:r>
          </w:p>
        </w:tc>
        <w:tc>
          <w:tcPr>
            <w:tcW w:w="692" w:type="pct"/>
            <w:vAlign w:val="center"/>
          </w:tcPr>
          <w:p w14:paraId="50DF676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98-95-3</w:t>
            </w:r>
          </w:p>
        </w:tc>
        <w:tc>
          <w:tcPr>
            <w:tcW w:w="751" w:type="pct"/>
            <w:vAlign w:val="center"/>
          </w:tcPr>
          <w:p w14:paraId="06CFCFE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34</w:t>
            </w:r>
          </w:p>
        </w:tc>
        <w:tc>
          <w:tcPr>
            <w:tcW w:w="759" w:type="pct"/>
            <w:vAlign w:val="center"/>
          </w:tcPr>
          <w:p w14:paraId="577536D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76</w:t>
            </w:r>
          </w:p>
        </w:tc>
        <w:tc>
          <w:tcPr>
            <w:tcW w:w="721" w:type="pct"/>
            <w:vAlign w:val="center"/>
          </w:tcPr>
          <w:p w14:paraId="1066A95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190</w:t>
            </w:r>
          </w:p>
        </w:tc>
        <w:tc>
          <w:tcPr>
            <w:tcW w:w="764" w:type="pct"/>
            <w:vAlign w:val="center"/>
          </w:tcPr>
          <w:p w14:paraId="1B9498C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760</w:t>
            </w:r>
          </w:p>
        </w:tc>
      </w:tr>
      <w:tr w14:paraId="74DFF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7B76C8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36</w:t>
            </w:r>
          </w:p>
        </w:tc>
        <w:tc>
          <w:tcPr>
            <w:tcW w:w="986" w:type="pct"/>
            <w:vAlign w:val="center"/>
          </w:tcPr>
          <w:p w14:paraId="6D470FD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苯胺</w:t>
            </w:r>
          </w:p>
        </w:tc>
        <w:tc>
          <w:tcPr>
            <w:tcW w:w="692" w:type="pct"/>
            <w:vAlign w:val="center"/>
          </w:tcPr>
          <w:p w14:paraId="10C6E47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62-53-3</w:t>
            </w:r>
          </w:p>
        </w:tc>
        <w:tc>
          <w:tcPr>
            <w:tcW w:w="751" w:type="pct"/>
            <w:vAlign w:val="center"/>
          </w:tcPr>
          <w:p w14:paraId="4B33938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92</w:t>
            </w:r>
          </w:p>
        </w:tc>
        <w:tc>
          <w:tcPr>
            <w:tcW w:w="759" w:type="pct"/>
            <w:vAlign w:val="center"/>
          </w:tcPr>
          <w:p w14:paraId="0282DD7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260</w:t>
            </w:r>
          </w:p>
        </w:tc>
        <w:tc>
          <w:tcPr>
            <w:tcW w:w="721" w:type="pct"/>
            <w:vAlign w:val="center"/>
          </w:tcPr>
          <w:p w14:paraId="4894B3B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211</w:t>
            </w:r>
          </w:p>
        </w:tc>
        <w:tc>
          <w:tcPr>
            <w:tcW w:w="764" w:type="pct"/>
            <w:vAlign w:val="center"/>
          </w:tcPr>
          <w:p w14:paraId="5D580416">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663</w:t>
            </w:r>
          </w:p>
        </w:tc>
      </w:tr>
      <w:tr w14:paraId="777690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6E5696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37</w:t>
            </w:r>
          </w:p>
        </w:tc>
        <w:tc>
          <w:tcPr>
            <w:tcW w:w="986" w:type="pct"/>
            <w:vAlign w:val="center"/>
          </w:tcPr>
          <w:p w14:paraId="43C2383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2-氯酚</w:t>
            </w:r>
          </w:p>
        </w:tc>
        <w:tc>
          <w:tcPr>
            <w:tcW w:w="692" w:type="pct"/>
            <w:vAlign w:val="center"/>
          </w:tcPr>
          <w:p w14:paraId="2FE6AC7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95-57-8</w:t>
            </w:r>
          </w:p>
        </w:tc>
        <w:tc>
          <w:tcPr>
            <w:tcW w:w="751" w:type="pct"/>
            <w:vAlign w:val="center"/>
          </w:tcPr>
          <w:p w14:paraId="352664A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250</w:t>
            </w:r>
          </w:p>
        </w:tc>
        <w:tc>
          <w:tcPr>
            <w:tcW w:w="759" w:type="pct"/>
            <w:vAlign w:val="center"/>
          </w:tcPr>
          <w:p w14:paraId="3D219A2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2256</w:t>
            </w:r>
          </w:p>
        </w:tc>
        <w:tc>
          <w:tcPr>
            <w:tcW w:w="721" w:type="pct"/>
            <w:vAlign w:val="center"/>
          </w:tcPr>
          <w:p w14:paraId="2AFE0C6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500</w:t>
            </w:r>
          </w:p>
        </w:tc>
        <w:tc>
          <w:tcPr>
            <w:tcW w:w="764" w:type="pct"/>
            <w:vAlign w:val="center"/>
          </w:tcPr>
          <w:p w14:paraId="71C5C46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4500</w:t>
            </w:r>
          </w:p>
        </w:tc>
      </w:tr>
      <w:tr w14:paraId="54F25E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21E3E48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38</w:t>
            </w:r>
          </w:p>
        </w:tc>
        <w:tc>
          <w:tcPr>
            <w:tcW w:w="986" w:type="pct"/>
            <w:vAlign w:val="center"/>
          </w:tcPr>
          <w:p w14:paraId="3A722E73">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苯并[a]蒽</w:t>
            </w:r>
          </w:p>
        </w:tc>
        <w:tc>
          <w:tcPr>
            <w:tcW w:w="692" w:type="pct"/>
            <w:vAlign w:val="center"/>
          </w:tcPr>
          <w:p w14:paraId="40013FE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56-55-3</w:t>
            </w:r>
          </w:p>
        </w:tc>
        <w:tc>
          <w:tcPr>
            <w:tcW w:w="751" w:type="pct"/>
            <w:vAlign w:val="center"/>
          </w:tcPr>
          <w:p w14:paraId="084F856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59" w:type="pct"/>
            <w:vAlign w:val="center"/>
          </w:tcPr>
          <w:p w14:paraId="3471ED0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721" w:type="pct"/>
            <w:vAlign w:val="center"/>
          </w:tcPr>
          <w:p w14:paraId="7DDE60D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64" w:type="pct"/>
            <w:vAlign w:val="center"/>
          </w:tcPr>
          <w:p w14:paraId="2D0B473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151</w:t>
            </w:r>
          </w:p>
        </w:tc>
      </w:tr>
      <w:tr w14:paraId="0639BC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68E3A1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39</w:t>
            </w:r>
          </w:p>
        </w:tc>
        <w:tc>
          <w:tcPr>
            <w:tcW w:w="986" w:type="pct"/>
            <w:vAlign w:val="center"/>
          </w:tcPr>
          <w:p w14:paraId="7FEA89F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苯并[a]芘</w:t>
            </w:r>
          </w:p>
        </w:tc>
        <w:tc>
          <w:tcPr>
            <w:tcW w:w="692" w:type="pct"/>
            <w:vAlign w:val="center"/>
          </w:tcPr>
          <w:p w14:paraId="1926A2E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50-32-8</w:t>
            </w:r>
          </w:p>
        </w:tc>
        <w:tc>
          <w:tcPr>
            <w:tcW w:w="751" w:type="pct"/>
            <w:vAlign w:val="center"/>
          </w:tcPr>
          <w:p w14:paraId="5B762FC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0.55</w:t>
            </w:r>
          </w:p>
        </w:tc>
        <w:tc>
          <w:tcPr>
            <w:tcW w:w="759" w:type="pct"/>
            <w:vAlign w:val="center"/>
          </w:tcPr>
          <w:p w14:paraId="38A187D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721" w:type="pct"/>
            <w:vAlign w:val="center"/>
          </w:tcPr>
          <w:p w14:paraId="6117425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64" w:type="pct"/>
            <w:vAlign w:val="center"/>
          </w:tcPr>
          <w:p w14:paraId="35A00FD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r>
      <w:tr w14:paraId="27004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019C59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40</w:t>
            </w:r>
          </w:p>
        </w:tc>
        <w:tc>
          <w:tcPr>
            <w:tcW w:w="986" w:type="pct"/>
            <w:vAlign w:val="center"/>
          </w:tcPr>
          <w:p w14:paraId="79D7FDA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苯并[b]荧蒽</w:t>
            </w:r>
          </w:p>
        </w:tc>
        <w:tc>
          <w:tcPr>
            <w:tcW w:w="692" w:type="pct"/>
            <w:vAlign w:val="center"/>
          </w:tcPr>
          <w:p w14:paraId="1EE7CE5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205-99-2</w:t>
            </w:r>
          </w:p>
        </w:tc>
        <w:tc>
          <w:tcPr>
            <w:tcW w:w="751" w:type="pct"/>
            <w:vAlign w:val="center"/>
          </w:tcPr>
          <w:p w14:paraId="26DACF0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59" w:type="pct"/>
            <w:vAlign w:val="center"/>
          </w:tcPr>
          <w:p w14:paraId="56CE197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721" w:type="pct"/>
            <w:vAlign w:val="center"/>
          </w:tcPr>
          <w:p w14:paraId="3BB49FC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64" w:type="pct"/>
            <w:vAlign w:val="center"/>
          </w:tcPr>
          <w:p w14:paraId="2A5D1A4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151</w:t>
            </w:r>
          </w:p>
        </w:tc>
      </w:tr>
      <w:tr w14:paraId="6FAD0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5743EBB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41</w:t>
            </w:r>
          </w:p>
        </w:tc>
        <w:tc>
          <w:tcPr>
            <w:tcW w:w="986" w:type="pct"/>
            <w:vAlign w:val="center"/>
          </w:tcPr>
          <w:p w14:paraId="6513F49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苯并[k]荧蒽</w:t>
            </w:r>
          </w:p>
        </w:tc>
        <w:tc>
          <w:tcPr>
            <w:tcW w:w="692" w:type="pct"/>
            <w:vAlign w:val="center"/>
          </w:tcPr>
          <w:p w14:paraId="20162AA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207-08-9</w:t>
            </w:r>
          </w:p>
        </w:tc>
        <w:tc>
          <w:tcPr>
            <w:tcW w:w="751" w:type="pct"/>
            <w:vAlign w:val="center"/>
          </w:tcPr>
          <w:p w14:paraId="1D1FBEF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59" w:type="pct"/>
            <w:vAlign w:val="center"/>
          </w:tcPr>
          <w:p w14:paraId="6710C77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151</w:t>
            </w:r>
          </w:p>
        </w:tc>
        <w:tc>
          <w:tcPr>
            <w:tcW w:w="721" w:type="pct"/>
            <w:vAlign w:val="center"/>
          </w:tcPr>
          <w:p w14:paraId="2EFB0BD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550</w:t>
            </w:r>
          </w:p>
        </w:tc>
        <w:tc>
          <w:tcPr>
            <w:tcW w:w="764" w:type="pct"/>
            <w:vAlign w:val="center"/>
          </w:tcPr>
          <w:p w14:paraId="1DDB61D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1500</w:t>
            </w:r>
          </w:p>
        </w:tc>
      </w:tr>
      <w:tr w14:paraId="7B884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7CF023D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42</w:t>
            </w:r>
          </w:p>
        </w:tc>
        <w:tc>
          <w:tcPr>
            <w:tcW w:w="986" w:type="pct"/>
            <w:vAlign w:val="center"/>
          </w:tcPr>
          <w:p w14:paraId="40AD6DE4">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䓛</w:t>
            </w:r>
          </w:p>
        </w:tc>
        <w:tc>
          <w:tcPr>
            <w:tcW w:w="692" w:type="pct"/>
            <w:vAlign w:val="center"/>
          </w:tcPr>
          <w:p w14:paraId="3756DE7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218-01-9</w:t>
            </w:r>
          </w:p>
        </w:tc>
        <w:tc>
          <w:tcPr>
            <w:tcW w:w="751" w:type="pct"/>
            <w:vAlign w:val="center"/>
          </w:tcPr>
          <w:p w14:paraId="1EE7D8A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490</w:t>
            </w:r>
          </w:p>
        </w:tc>
        <w:tc>
          <w:tcPr>
            <w:tcW w:w="759" w:type="pct"/>
            <w:vAlign w:val="center"/>
          </w:tcPr>
          <w:p w14:paraId="7687CAD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1293</w:t>
            </w:r>
          </w:p>
        </w:tc>
        <w:tc>
          <w:tcPr>
            <w:tcW w:w="721" w:type="pct"/>
            <w:vAlign w:val="center"/>
          </w:tcPr>
          <w:p w14:paraId="7DD587FD">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4900</w:t>
            </w:r>
          </w:p>
        </w:tc>
        <w:tc>
          <w:tcPr>
            <w:tcW w:w="764" w:type="pct"/>
            <w:vAlign w:val="center"/>
          </w:tcPr>
          <w:p w14:paraId="5D8CF22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12900</w:t>
            </w:r>
          </w:p>
        </w:tc>
      </w:tr>
      <w:tr w14:paraId="2A766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84561C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43</w:t>
            </w:r>
          </w:p>
        </w:tc>
        <w:tc>
          <w:tcPr>
            <w:tcW w:w="986" w:type="pct"/>
            <w:vAlign w:val="center"/>
          </w:tcPr>
          <w:p w14:paraId="2D3D0BB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二苯并[a,h]蒽</w:t>
            </w:r>
          </w:p>
        </w:tc>
        <w:tc>
          <w:tcPr>
            <w:tcW w:w="692" w:type="pct"/>
            <w:vAlign w:val="center"/>
          </w:tcPr>
          <w:p w14:paraId="2C7E074B">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53-70-3</w:t>
            </w:r>
          </w:p>
        </w:tc>
        <w:tc>
          <w:tcPr>
            <w:tcW w:w="751" w:type="pct"/>
            <w:vAlign w:val="center"/>
          </w:tcPr>
          <w:p w14:paraId="33F72CC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0.55</w:t>
            </w:r>
          </w:p>
        </w:tc>
        <w:tc>
          <w:tcPr>
            <w:tcW w:w="759" w:type="pct"/>
            <w:vAlign w:val="center"/>
          </w:tcPr>
          <w:p w14:paraId="3343458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721" w:type="pct"/>
            <w:vAlign w:val="center"/>
          </w:tcPr>
          <w:p w14:paraId="7E502CC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64" w:type="pct"/>
            <w:vAlign w:val="center"/>
          </w:tcPr>
          <w:p w14:paraId="0D60A83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r>
      <w:tr w14:paraId="51C4F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0996675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44</w:t>
            </w:r>
          </w:p>
        </w:tc>
        <w:tc>
          <w:tcPr>
            <w:tcW w:w="986" w:type="pct"/>
            <w:vAlign w:val="center"/>
          </w:tcPr>
          <w:p w14:paraId="0D04857A">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茚并[1,2,3-cd]芘</w:t>
            </w:r>
          </w:p>
        </w:tc>
        <w:tc>
          <w:tcPr>
            <w:tcW w:w="692" w:type="pct"/>
            <w:vAlign w:val="center"/>
          </w:tcPr>
          <w:p w14:paraId="734B938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193-39-5</w:t>
            </w:r>
          </w:p>
        </w:tc>
        <w:tc>
          <w:tcPr>
            <w:tcW w:w="751" w:type="pct"/>
            <w:vAlign w:val="center"/>
          </w:tcPr>
          <w:p w14:paraId="460DBE89">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59" w:type="pct"/>
            <w:vAlign w:val="center"/>
          </w:tcPr>
          <w:p w14:paraId="0E39810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w:t>
            </w:r>
          </w:p>
        </w:tc>
        <w:tc>
          <w:tcPr>
            <w:tcW w:w="721" w:type="pct"/>
            <w:vAlign w:val="center"/>
          </w:tcPr>
          <w:p w14:paraId="10A222C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55</w:t>
            </w:r>
          </w:p>
        </w:tc>
        <w:tc>
          <w:tcPr>
            <w:tcW w:w="764" w:type="pct"/>
            <w:vAlign w:val="center"/>
          </w:tcPr>
          <w:p w14:paraId="4FBE4A5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151</w:t>
            </w:r>
          </w:p>
        </w:tc>
      </w:tr>
      <w:tr w14:paraId="07D2C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4C8236C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45</w:t>
            </w:r>
          </w:p>
        </w:tc>
        <w:tc>
          <w:tcPr>
            <w:tcW w:w="986" w:type="pct"/>
            <w:vAlign w:val="center"/>
          </w:tcPr>
          <w:p w14:paraId="4B926EE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萘</w:t>
            </w:r>
          </w:p>
        </w:tc>
        <w:tc>
          <w:tcPr>
            <w:tcW w:w="692" w:type="pct"/>
            <w:vAlign w:val="center"/>
          </w:tcPr>
          <w:p w14:paraId="7C90C382">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91-20-3</w:t>
            </w:r>
          </w:p>
        </w:tc>
        <w:tc>
          <w:tcPr>
            <w:tcW w:w="751" w:type="pct"/>
            <w:vAlign w:val="center"/>
          </w:tcPr>
          <w:p w14:paraId="4BF13F87">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25</w:t>
            </w:r>
          </w:p>
        </w:tc>
        <w:tc>
          <w:tcPr>
            <w:tcW w:w="759" w:type="pct"/>
            <w:vAlign w:val="center"/>
          </w:tcPr>
          <w:p w14:paraId="6EBA48CF">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70</w:t>
            </w:r>
          </w:p>
        </w:tc>
        <w:tc>
          <w:tcPr>
            <w:tcW w:w="721" w:type="pct"/>
            <w:vAlign w:val="center"/>
          </w:tcPr>
          <w:p w14:paraId="08A431F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255</w:t>
            </w:r>
          </w:p>
        </w:tc>
        <w:tc>
          <w:tcPr>
            <w:tcW w:w="764" w:type="pct"/>
            <w:vAlign w:val="center"/>
          </w:tcPr>
          <w:p w14:paraId="31D3DD6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700</w:t>
            </w:r>
          </w:p>
        </w:tc>
      </w:tr>
      <w:tr w14:paraId="776D9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542E1245">
            <w:pPr>
              <w:widowControl/>
              <w:snapToGrid w:val="0"/>
              <w:spacing w:line="240" w:lineRule="auto"/>
              <w:ind w:firstLine="0" w:firstLineChars="0"/>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石油烃类</w:t>
            </w:r>
          </w:p>
        </w:tc>
      </w:tr>
      <w:tr w14:paraId="15B49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Align w:val="center"/>
          </w:tcPr>
          <w:p w14:paraId="1B05669E">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46</w:t>
            </w:r>
          </w:p>
        </w:tc>
        <w:tc>
          <w:tcPr>
            <w:tcW w:w="986" w:type="pct"/>
            <w:vAlign w:val="center"/>
          </w:tcPr>
          <w:p w14:paraId="56CC80D8">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石油烃（C</w:t>
            </w:r>
            <w:r>
              <w:rPr>
                <w:rFonts w:hint="default" w:ascii="Times New Roman" w:hAnsi="Times New Roman" w:cs="Times New Roman"/>
                <w:color w:val="auto"/>
                <w:kern w:val="0"/>
                <w:sz w:val="21"/>
                <w:szCs w:val="21"/>
                <w:u w:val="none"/>
                <w:vertAlign w:val="subscript"/>
              </w:rPr>
              <w:t>10</w:t>
            </w:r>
            <w:r>
              <w:rPr>
                <w:rFonts w:hint="default" w:ascii="Times New Roman" w:hAnsi="Times New Roman" w:cs="Times New Roman"/>
                <w:color w:val="auto"/>
                <w:kern w:val="0"/>
                <w:sz w:val="21"/>
                <w:szCs w:val="21"/>
                <w:u w:val="none"/>
              </w:rPr>
              <w:t>-C</w:t>
            </w:r>
            <w:r>
              <w:rPr>
                <w:rFonts w:hint="default" w:ascii="Times New Roman" w:hAnsi="Times New Roman" w:cs="Times New Roman"/>
                <w:color w:val="auto"/>
                <w:kern w:val="0"/>
                <w:sz w:val="21"/>
                <w:szCs w:val="21"/>
                <w:u w:val="none"/>
                <w:vertAlign w:val="subscript"/>
              </w:rPr>
              <w:t>40</w:t>
            </w:r>
            <w:r>
              <w:rPr>
                <w:rFonts w:hint="default" w:ascii="Times New Roman" w:hAnsi="Times New Roman" w:cs="Times New Roman"/>
                <w:color w:val="auto"/>
                <w:kern w:val="0"/>
                <w:sz w:val="21"/>
                <w:szCs w:val="21"/>
                <w:u w:val="none"/>
              </w:rPr>
              <w:t>）</w:t>
            </w:r>
          </w:p>
        </w:tc>
        <w:tc>
          <w:tcPr>
            <w:tcW w:w="692" w:type="pct"/>
            <w:vAlign w:val="center"/>
          </w:tcPr>
          <w:p w14:paraId="3394A280">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w:t>
            </w:r>
          </w:p>
        </w:tc>
        <w:tc>
          <w:tcPr>
            <w:tcW w:w="751" w:type="pct"/>
            <w:vAlign w:val="center"/>
          </w:tcPr>
          <w:p w14:paraId="231A1C55">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826</w:t>
            </w:r>
          </w:p>
        </w:tc>
        <w:tc>
          <w:tcPr>
            <w:tcW w:w="759" w:type="pct"/>
            <w:vAlign w:val="center"/>
          </w:tcPr>
          <w:p w14:paraId="609E5A1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4500</w:t>
            </w:r>
          </w:p>
        </w:tc>
        <w:tc>
          <w:tcPr>
            <w:tcW w:w="721" w:type="pct"/>
            <w:vAlign w:val="center"/>
          </w:tcPr>
          <w:p w14:paraId="5093FF6C">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5000</w:t>
            </w:r>
          </w:p>
        </w:tc>
        <w:tc>
          <w:tcPr>
            <w:tcW w:w="764" w:type="pct"/>
            <w:vAlign w:val="center"/>
          </w:tcPr>
          <w:p w14:paraId="799DA1A1">
            <w:pPr>
              <w:widowControl/>
              <w:snapToGrid w:val="0"/>
              <w:spacing w:line="240" w:lineRule="auto"/>
              <w:ind w:firstLine="0" w:firstLineChars="0"/>
              <w:jc w:val="center"/>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9000</w:t>
            </w:r>
          </w:p>
        </w:tc>
      </w:tr>
      <w:tr w14:paraId="2E24B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7"/>
            <w:vAlign w:val="center"/>
          </w:tcPr>
          <w:p w14:paraId="2F1304CD">
            <w:pPr>
              <w:widowControl/>
              <w:snapToGrid w:val="0"/>
              <w:spacing w:line="240" w:lineRule="auto"/>
              <w:ind w:firstLine="0" w:firstLineChars="0"/>
              <w:jc w:val="left"/>
              <w:rPr>
                <w:rFonts w:hint="default" w:ascii="Times New Roman" w:hAnsi="Times New Roman" w:cs="Times New Roman"/>
                <w:color w:val="auto"/>
                <w:kern w:val="0"/>
                <w:sz w:val="21"/>
                <w:szCs w:val="21"/>
                <w:u w:val="none"/>
              </w:rPr>
            </w:pPr>
            <w:r>
              <w:rPr>
                <w:rFonts w:hint="default" w:ascii="Times New Roman" w:hAnsi="Times New Roman" w:cs="Times New Roman"/>
                <w:color w:val="auto"/>
                <w:kern w:val="0"/>
                <w:sz w:val="21"/>
                <w:szCs w:val="21"/>
                <w:u w:val="none"/>
              </w:rPr>
              <w:t>注：①具体地块土壤中污染物检测含量超过筛选值，但等于或者低于土壤环境背景值（见3.6）水平的，不纳入污染地块管理。土壤环境背景值可参见附录A。</w:t>
            </w:r>
          </w:p>
        </w:tc>
      </w:tr>
    </w:tbl>
    <w:p w14:paraId="3BD612BE">
      <w:pPr>
        <w:pStyle w:val="5"/>
        <w:rPr>
          <w:rFonts w:hint="default" w:ascii="Times New Roman" w:hAnsi="Times New Roman" w:cs="Times New Roman"/>
          <w:color w:val="auto"/>
          <w:u w:val="none"/>
        </w:rPr>
      </w:pPr>
      <w:r>
        <w:rPr>
          <w:rFonts w:hint="default" w:ascii="Times New Roman" w:hAnsi="Times New Roman" w:cs="Times New Roman"/>
          <w:color w:val="auto"/>
          <w:u w:val="none"/>
        </w:rPr>
        <w:t>污染物排放标准</w:t>
      </w:r>
    </w:p>
    <w:p w14:paraId="42AAF34C">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大气污染物排放标准</w:t>
      </w:r>
    </w:p>
    <w:p w14:paraId="2854C53B">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废气</w:t>
      </w:r>
      <w:r>
        <w:rPr>
          <w:rFonts w:hint="default" w:ascii="Times New Roman" w:hAnsi="Times New Roman" w:cs="Times New Roman"/>
          <w:color w:val="auto"/>
          <w:u w:val="none"/>
        </w:rPr>
        <w:t>执行《电镀污染物排放标准》（GB21900-2008）表5和表6标准，厂界</w:t>
      </w:r>
      <w:r>
        <w:rPr>
          <w:rFonts w:hint="eastAsia" w:ascii="Times New Roman" w:hAnsi="Times New Roman" w:cs="Times New Roman"/>
          <w:color w:val="auto"/>
          <w:u w:val="none"/>
          <w:lang w:val="en-US" w:eastAsia="zh-CN"/>
        </w:rPr>
        <w:t>无组织废气</w:t>
      </w:r>
      <w:r>
        <w:rPr>
          <w:rFonts w:hint="default" w:ascii="Times New Roman" w:hAnsi="Times New Roman" w:cs="Times New Roman"/>
          <w:color w:val="auto"/>
          <w:u w:val="none"/>
        </w:rPr>
        <w:t>执行《大气污染物综合排放标准》（GB16297-1996）表2的无组织排放浓度限值；</w:t>
      </w:r>
    </w:p>
    <w:p w14:paraId="359AA1B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Cs w:val="21"/>
          <w:u w:val="none"/>
        </w:rPr>
      </w:pPr>
      <w:r>
        <w:rPr>
          <w:rFonts w:hint="default" w:ascii="Times New Roman" w:hAnsi="Times New Roman" w:cs="Times New Roman"/>
          <w:b/>
          <w:bCs/>
          <w:color w:val="auto"/>
          <w:u w:val="none"/>
        </w:rPr>
        <w:t>表2.3-6  《大气污染物综合排放标准》（GB16297-1996）</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960"/>
        <w:gridCol w:w="2149"/>
        <w:gridCol w:w="863"/>
        <w:gridCol w:w="1556"/>
        <w:gridCol w:w="2100"/>
      </w:tblGrid>
      <w:tr w14:paraId="1C5B7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restart"/>
            <w:vAlign w:val="center"/>
          </w:tcPr>
          <w:p w14:paraId="5ABFB2DD">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污染物</w:t>
            </w:r>
          </w:p>
        </w:tc>
        <w:tc>
          <w:tcPr>
            <w:tcW w:w="995" w:type="pct"/>
            <w:vMerge w:val="restart"/>
            <w:vAlign w:val="center"/>
          </w:tcPr>
          <w:p w14:paraId="6C52BEE9">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最高允许排放浓度（mg/</w:t>
            </w:r>
            <w:r>
              <w:rPr>
                <w:rFonts w:hint="default" w:ascii="Times New Roman" w:hAnsi="Times New Roman" w:cs="Times New Roman"/>
                <w:b/>
                <w:bCs/>
                <w:color w:val="auto"/>
                <w:sz w:val="21"/>
                <w:szCs w:val="21"/>
                <w:u w:val="none"/>
              </w:rPr>
              <w:t>m</w:t>
            </w:r>
            <w:r>
              <w:rPr>
                <w:rFonts w:hint="default" w:ascii="Times New Roman" w:hAnsi="Times New Roman" w:cs="Times New Roman"/>
                <w:b/>
                <w:bCs/>
                <w:color w:val="auto"/>
                <w:sz w:val="21"/>
                <w:szCs w:val="21"/>
                <w:u w:val="none"/>
                <w:vertAlign w:val="superscript"/>
              </w:rPr>
              <w:t>3</w:t>
            </w:r>
            <w:r>
              <w:rPr>
                <w:rFonts w:hint="default" w:ascii="Times New Roman" w:hAnsi="Times New Roman" w:eastAsia="Calibri" w:cs="Times New Roman"/>
                <w:b/>
                <w:bCs/>
                <w:color w:val="auto"/>
                <w:sz w:val="21"/>
                <w:szCs w:val="21"/>
                <w:u w:val="none"/>
              </w:rPr>
              <w:t>）</w:t>
            </w:r>
          </w:p>
        </w:tc>
        <w:tc>
          <w:tcPr>
            <w:tcW w:w="1529" w:type="pct"/>
            <w:gridSpan w:val="2"/>
            <w:vAlign w:val="center"/>
          </w:tcPr>
          <w:p w14:paraId="5FC7B49D">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最高允许排放速率（kg/h）</w:t>
            </w:r>
          </w:p>
        </w:tc>
        <w:tc>
          <w:tcPr>
            <w:tcW w:w="1853" w:type="pct"/>
            <w:gridSpan w:val="2"/>
            <w:vAlign w:val="center"/>
          </w:tcPr>
          <w:p w14:paraId="5F6CD445">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无组织排放监控浓度限值</w:t>
            </w:r>
          </w:p>
        </w:tc>
      </w:tr>
      <w:tr w14:paraId="1A2A8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Merge w:val="continue"/>
            <w:vAlign w:val="center"/>
          </w:tcPr>
          <w:p w14:paraId="793D50A8">
            <w:pPr>
              <w:spacing w:line="240" w:lineRule="auto"/>
              <w:ind w:firstLine="0" w:firstLineChars="0"/>
              <w:jc w:val="center"/>
              <w:rPr>
                <w:rFonts w:hint="default" w:ascii="Times New Roman" w:hAnsi="Times New Roman" w:eastAsia="Calibri" w:cs="Times New Roman"/>
                <w:b/>
                <w:bCs/>
                <w:color w:val="auto"/>
                <w:sz w:val="21"/>
                <w:szCs w:val="21"/>
                <w:u w:val="none"/>
              </w:rPr>
            </w:pPr>
          </w:p>
        </w:tc>
        <w:tc>
          <w:tcPr>
            <w:tcW w:w="995" w:type="pct"/>
            <w:vMerge w:val="continue"/>
            <w:vAlign w:val="center"/>
          </w:tcPr>
          <w:p w14:paraId="5E5C8356">
            <w:pPr>
              <w:spacing w:line="240" w:lineRule="auto"/>
              <w:ind w:firstLine="0" w:firstLineChars="0"/>
              <w:jc w:val="center"/>
              <w:rPr>
                <w:rFonts w:hint="default" w:ascii="Times New Roman" w:hAnsi="Times New Roman" w:eastAsia="Calibri" w:cs="Times New Roman"/>
                <w:b/>
                <w:bCs/>
                <w:color w:val="auto"/>
                <w:sz w:val="21"/>
                <w:szCs w:val="21"/>
                <w:u w:val="none"/>
              </w:rPr>
            </w:pPr>
          </w:p>
        </w:tc>
        <w:tc>
          <w:tcPr>
            <w:tcW w:w="1091" w:type="pct"/>
            <w:vAlign w:val="center"/>
          </w:tcPr>
          <w:p w14:paraId="4305F7E9">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排气筒高度（m）</w:t>
            </w:r>
          </w:p>
        </w:tc>
        <w:tc>
          <w:tcPr>
            <w:tcW w:w="438" w:type="pct"/>
            <w:vAlign w:val="center"/>
          </w:tcPr>
          <w:p w14:paraId="2D0C887E">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二级</w:t>
            </w:r>
          </w:p>
        </w:tc>
        <w:tc>
          <w:tcPr>
            <w:tcW w:w="790" w:type="pct"/>
            <w:vAlign w:val="center"/>
          </w:tcPr>
          <w:p w14:paraId="094640CF">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监控点</w:t>
            </w:r>
          </w:p>
        </w:tc>
        <w:tc>
          <w:tcPr>
            <w:tcW w:w="1062" w:type="pct"/>
            <w:vAlign w:val="center"/>
          </w:tcPr>
          <w:p w14:paraId="4ABE90F8">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浓度（mg/</w:t>
            </w:r>
            <w:r>
              <w:rPr>
                <w:rFonts w:hint="default" w:ascii="Times New Roman" w:hAnsi="Times New Roman" w:cs="Times New Roman"/>
                <w:b/>
                <w:bCs/>
                <w:color w:val="auto"/>
                <w:sz w:val="21"/>
                <w:szCs w:val="21"/>
                <w:u w:val="none"/>
              </w:rPr>
              <w:t>m</w:t>
            </w:r>
            <w:r>
              <w:rPr>
                <w:rFonts w:hint="default" w:ascii="Times New Roman" w:hAnsi="Times New Roman" w:cs="Times New Roman"/>
                <w:b/>
                <w:bCs/>
                <w:color w:val="auto"/>
                <w:sz w:val="21"/>
                <w:szCs w:val="21"/>
                <w:u w:val="none"/>
                <w:vertAlign w:val="superscript"/>
              </w:rPr>
              <w:t>3</w:t>
            </w:r>
            <w:r>
              <w:rPr>
                <w:rFonts w:hint="default" w:ascii="Times New Roman" w:hAnsi="Times New Roman" w:eastAsia="Calibri" w:cs="Times New Roman"/>
                <w:b/>
                <w:bCs/>
                <w:color w:val="auto"/>
                <w:sz w:val="21"/>
                <w:szCs w:val="21"/>
                <w:u w:val="none"/>
              </w:rPr>
              <w:t>）</w:t>
            </w:r>
          </w:p>
        </w:tc>
      </w:tr>
      <w:tr w14:paraId="21498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14:paraId="095B4748">
            <w:pPr>
              <w:spacing w:line="240" w:lineRule="auto"/>
              <w:ind w:firstLine="0" w:firstLineChars="0"/>
              <w:jc w:val="center"/>
              <w:rPr>
                <w:rFonts w:hint="eastAsia" w:ascii="Times New Roman" w:hAnsi="Times New Roman" w:eastAsia="宋体" w:cs="Times New Roman"/>
                <w:color w:val="auto"/>
                <w:sz w:val="21"/>
                <w:szCs w:val="21"/>
                <w:u w:val="none"/>
                <w:lang w:eastAsia="zh-CN"/>
              </w:rPr>
            </w:pPr>
            <w:r>
              <w:rPr>
                <w:rFonts w:hint="eastAsia" w:ascii="Times New Roman" w:hAnsi="Times New Roman" w:cs="Times New Roman"/>
                <w:color w:val="auto"/>
                <w:sz w:val="21"/>
                <w:szCs w:val="21"/>
                <w:u w:val="none"/>
                <w:lang w:val="en-US" w:eastAsia="zh-CN"/>
              </w:rPr>
              <w:t>硫酸雾</w:t>
            </w:r>
          </w:p>
        </w:tc>
        <w:tc>
          <w:tcPr>
            <w:tcW w:w="995" w:type="pct"/>
            <w:vAlign w:val="center"/>
          </w:tcPr>
          <w:p w14:paraId="3C4D607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091" w:type="pct"/>
            <w:vAlign w:val="center"/>
          </w:tcPr>
          <w:p w14:paraId="08BF3744">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38" w:type="pct"/>
            <w:vAlign w:val="center"/>
          </w:tcPr>
          <w:p w14:paraId="105393ED">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790" w:type="pct"/>
            <w:vMerge w:val="restart"/>
            <w:vAlign w:val="center"/>
          </w:tcPr>
          <w:p w14:paraId="5BE48699">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周界外浓度最高点</w:t>
            </w:r>
          </w:p>
        </w:tc>
        <w:tc>
          <w:tcPr>
            <w:tcW w:w="1062" w:type="pct"/>
            <w:vAlign w:val="center"/>
          </w:tcPr>
          <w:p w14:paraId="73297ADD">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1.2</w:t>
            </w:r>
          </w:p>
        </w:tc>
      </w:tr>
      <w:tr w14:paraId="13CCB2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14:paraId="1DFA34EB">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氮氧化物</w:t>
            </w:r>
          </w:p>
        </w:tc>
        <w:tc>
          <w:tcPr>
            <w:tcW w:w="995" w:type="pct"/>
            <w:vAlign w:val="center"/>
          </w:tcPr>
          <w:p w14:paraId="7B4C8738">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91" w:type="pct"/>
            <w:vAlign w:val="center"/>
          </w:tcPr>
          <w:p w14:paraId="2FB17CBA">
            <w:pPr>
              <w:spacing w:line="240" w:lineRule="auto"/>
              <w:ind w:firstLine="420" w:firstLineChars="20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38" w:type="pct"/>
            <w:vAlign w:val="center"/>
          </w:tcPr>
          <w:p w14:paraId="4BCB6A13">
            <w:pPr>
              <w:spacing w:line="240" w:lineRule="auto"/>
              <w:ind w:firstLine="420" w:firstLineChars="20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790" w:type="pct"/>
            <w:vMerge w:val="continue"/>
            <w:vAlign w:val="center"/>
          </w:tcPr>
          <w:p w14:paraId="70CC80D5">
            <w:pPr>
              <w:spacing w:line="240" w:lineRule="auto"/>
              <w:ind w:firstLine="0" w:firstLineChars="0"/>
              <w:jc w:val="center"/>
              <w:rPr>
                <w:rFonts w:hint="default" w:ascii="Times New Roman" w:hAnsi="Times New Roman" w:eastAsia="Calibri" w:cs="Times New Roman"/>
                <w:color w:val="auto"/>
                <w:sz w:val="21"/>
                <w:szCs w:val="21"/>
                <w:u w:val="none"/>
              </w:rPr>
            </w:pPr>
          </w:p>
        </w:tc>
        <w:tc>
          <w:tcPr>
            <w:tcW w:w="1062" w:type="pct"/>
            <w:vAlign w:val="center"/>
          </w:tcPr>
          <w:p w14:paraId="30CC0DFE">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0.12</w:t>
            </w:r>
          </w:p>
        </w:tc>
      </w:tr>
      <w:tr w14:paraId="45F7B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14:paraId="2C658F3B">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铬酸雾</w:t>
            </w:r>
          </w:p>
        </w:tc>
        <w:tc>
          <w:tcPr>
            <w:tcW w:w="995" w:type="pct"/>
            <w:vAlign w:val="center"/>
          </w:tcPr>
          <w:p w14:paraId="113304C1">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w:t>
            </w:r>
          </w:p>
        </w:tc>
        <w:tc>
          <w:tcPr>
            <w:tcW w:w="1091" w:type="pct"/>
            <w:vAlign w:val="center"/>
          </w:tcPr>
          <w:p w14:paraId="789DD7C2">
            <w:pPr>
              <w:spacing w:line="240" w:lineRule="auto"/>
              <w:ind w:firstLine="420" w:firstLineChars="20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38" w:type="pct"/>
            <w:vAlign w:val="center"/>
          </w:tcPr>
          <w:p w14:paraId="31BFD9AF">
            <w:pPr>
              <w:spacing w:line="240" w:lineRule="auto"/>
              <w:ind w:firstLine="420" w:firstLineChars="20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790" w:type="pct"/>
            <w:vMerge w:val="continue"/>
            <w:vAlign w:val="center"/>
          </w:tcPr>
          <w:p w14:paraId="65119B64">
            <w:pPr>
              <w:spacing w:line="240" w:lineRule="auto"/>
              <w:ind w:firstLine="0" w:firstLineChars="0"/>
              <w:jc w:val="center"/>
              <w:rPr>
                <w:rFonts w:hint="default" w:ascii="Times New Roman" w:hAnsi="Times New Roman" w:eastAsia="Calibri" w:cs="Times New Roman"/>
                <w:color w:val="auto"/>
                <w:sz w:val="21"/>
                <w:szCs w:val="21"/>
                <w:u w:val="none"/>
              </w:rPr>
            </w:pPr>
          </w:p>
        </w:tc>
        <w:tc>
          <w:tcPr>
            <w:tcW w:w="1062" w:type="pct"/>
            <w:vAlign w:val="center"/>
          </w:tcPr>
          <w:p w14:paraId="2F3032EB">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0.006</w:t>
            </w:r>
          </w:p>
        </w:tc>
      </w:tr>
      <w:tr w14:paraId="59403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0CEC68B9">
            <w:pPr>
              <w:spacing w:line="240" w:lineRule="auto"/>
              <w:ind w:firstLine="0" w:firstLineChars="0"/>
              <w:jc w:val="center"/>
              <w:rPr>
                <w:rFonts w:hint="default" w:ascii="Times New Roman" w:hAnsi="Times New Roman" w:cs="Times New Roman"/>
                <w:color w:val="auto"/>
                <w:sz w:val="21"/>
                <w:u w:val="none"/>
              </w:rPr>
            </w:pPr>
            <w:r>
              <w:rPr>
                <w:rFonts w:hint="default" w:ascii="Times New Roman" w:hAnsi="Times New Roman" w:cs="Times New Roman"/>
                <w:color w:val="auto"/>
                <w:sz w:val="21"/>
                <w:u w:val="none"/>
              </w:rPr>
              <w:t>*</w:t>
            </w:r>
            <w:r>
              <w:rPr>
                <w:rFonts w:hint="default" w:ascii="Times New Roman" w:hAnsi="Times New Roman" w:eastAsia="Calibri" w:cs="Times New Roman"/>
                <w:color w:val="auto"/>
                <w:sz w:val="21"/>
                <w:szCs w:val="21"/>
                <w:u w:val="none"/>
              </w:rPr>
              <w:t>最高允许排放速率</w:t>
            </w:r>
            <w:r>
              <w:rPr>
                <w:rFonts w:hint="default" w:ascii="Times New Roman" w:hAnsi="Times New Roman" w:cs="Times New Roman"/>
                <w:color w:val="auto"/>
                <w:sz w:val="21"/>
                <w:szCs w:val="21"/>
                <w:u w:val="none"/>
              </w:rPr>
              <w:t>采用内插法计算得出</w:t>
            </w:r>
          </w:p>
        </w:tc>
      </w:tr>
    </w:tbl>
    <w:p w14:paraId="7B56FFD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w:t>
      </w:r>
      <w:r>
        <w:rPr>
          <w:rFonts w:hint="eastAsia" w:ascii="Times New Roman" w:hAnsi="Times New Roman" w:cs="Times New Roman"/>
          <w:b/>
          <w:bCs/>
          <w:color w:val="auto"/>
          <w:u w:val="none"/>
          <w:lang w:val="en-US" w:eastAsia="zh-CN"/>
        </w:rPr>
        <w:t xml:space="preserve">7 </w:t>
      </w:r>
      <w:r>
        <w:rPr>
          <w:rFonts w:hint="default" w:ascii="Times New Roman" w:hAnsi="Times New Roman" w:cs="Times New Roman"/>
          <w:b/>
          <w:bCs/>
          <w:color w:val="auto"/>
          <w:u w:val="none"/>
        </w:rPr>
        <w:t xml:space="preserve"> 《电镀污染物排放标准》（GB21900-2008）</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35"/>
        <w:gridCol w:w="4719"/>
      </w:tblGrid>
      <w:tr w14:paraId="2E582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9" w:type="dxa"/>
            <w:vMerge w:val="restart"/>
            <w:vAlign w:val="center"/>
          </w:tcPr>
          <w:p w14:paraId="56EA7486">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污染物</w:t>
            </w:r>
          </w:p>
        </w:tc>
        <w:tc>
          <w:tcPr>
            <w:tcW w:w="4447" w:type="dxa"/>
            <w:vMerge w:val="restart"/>
            <w:vAlign w:val="center"/>
          </w:tcPr>
          <w:p w14:paraId="6C050891">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最高允许排放浓度（mg/</w:t>
            </w:r>
            <w:r>
              <w:rPr>
                <w:rFonts w:hint="default" w:ascii="Times New Roman" w:hAnsi="Times New Roman" w:cs="Times New Roman"/>
                <w:b/>
                <w:bCs/>
                <w:color w:val="auto"/>
                <w:sz w:val="21"/>
                <w:szCs w:val="21"/>
                <w:u w:val="none"/>
              </w:rPr>
              <w:t>m</w:t>
            </w:r>
            <w:r>
              <w:rPr>
                <w:rFonts w:hint="default" w:ascii="Times New Roman" w:hAnsi="Times New Roman" w:cs="Times New Roman"/>
                <w:b/>
                <w:bCs/>
                <w:color w:val="auto"/>
                <w:sz w:val="21"/>
                <w:szCs w:val="21"/>
                <w:u w:val="none"/>
                <w:vertAlign w:val="superscript"/>
              </w:rPr>
              <w:t>3</w:t>
            </w:r>
            <w:r>
              <w:rPr>
                <w:rFonts w:hint="default" w:ascii="Times New Roman" w:hAnsi="Times New Roman" w:eastAsia="Calibri" w:cs="Times New Roman"/>
                <w:b/>
                <w:bCs/>
                <w:color w:val="auto"/>
                <w:sz w:val="21"/>
                <w:szCs w:val="21"/>
                <w:u w:val="none"/>
              </w:rPr>
              <w:t>）</w:t>
            </w:r>
          </w:p>
        </w:tc>
      </w:tr>
      <w:tr w14:paraId="2D8E9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9" w:type="dxa"/>
            <w:vMerge w:val="continue"/>
            <w:vAlign w:val="center"/>
          </w:tcPr>
          <w:p w14:paraId="7D44CED9">
            <w:pPr>
              <w:spacing w:line="240" w:lineRule="auto"/>
              <w:ind w:firstLine="0" w:firstLineChars="0"/>
              <w:jc w:val="center"/>
              <w:rPr>
                <w:rFonts w:hint="default" w:ascii="Times New Roman" w:hAnsi="Times New Roman" w:eastAsia="Calibri" w:cs="Times New Roman"/>
                <w:color w:val="auto"/>
                <w:sz w:val="21"/>
                <w:szCs w:val="21"/>
                <w:u w:val="none"/>
              </w:rPr>
            </w:pPr>
          </w:p>
        </w:tc>
        <w:tc>
          <w:tcPr>
            <w:tcW w:w="4447" w:type="dxa"/>
            <w:vMerge w:val="continue"/>
            <w:vAlign w:val="center"/>
          </w:tcPr>
          <w:p w14:paraId="438308D8">
            <w:pPr>
              <w:spacing w:line="240" w:lineRule="auto"/>
              <w:ind w:firstLine="0" w:firstLineChars="0"/>
              <w:jc w:val="center"/>
              <w:rPr>
                <w:rFonts w:hint="default" w:ascii="Times New Roman" w:hAnsi="Times New Roman" w:eastAsia="Calibri" w:cs="Times New Roman"/>
                <w:color w:val="auto"/>
                <w:sz w:val="21"/>
                <w:szCs w:val="21"/>
                <w:u w:val="none"/>
              </w:rPr>
            </w:pPr>
          </w:p>
        </w:tc>
      </w:tr>
      <w:tr w14:paraId="2E695A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39" w:type="dxa"/>
            <w:vAlign w:val="center"/>
          </w:tcPr>
          <w:p w14:paraId="1A57703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硫酸</w:t>
            </w:r>
          </w:p>
        </w:tc>
        <w:tc>
          <w:tcPr>
            <w:tcW w:w="4447" w:type="dxa"/>
            <w:vAlign w:val="center"/>
          </w:tcPr>
          <w:p w14:paraId="6FE33620">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30</w:t>
            </w:r>
          </w:p>
        </w:tc>
      </w:tr>
      <w:tr w14:paraId="78DF6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39" w:type="dxa"/>
            <w:vAlign w:val="center"/>
          </w:tcPr>
          <w:p w14:paraId="0762A7C5">
            <w:pPr>
              <w:spacing w:line="240" w:lineRule="auto"/>
              <w:ind w:firstLine="0" w:firstLineChars="0"/>
              <w:jc w:val="center"/>
              <w:rPr>
                <w:rFonts w:hint="eastAsia"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氮氧化物</w:t>
            </w:r>
          </w:p>
        </w:tc>
        <w:tc>
          <w:tcPr>
            <w:tcW w:w="4447" w:type="dxa"/>
            <w:vAlign w:val="center"/>
          </w:tcPr>
          <w:p w14:paraId="6658AE34">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200</w:t>
            </w:r>
          </w:p>
        </w:tc>
      </w:tr>
      <w:tr w14:paraId="45576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39" w:type="dxa"/>
            <w:vAlign w:val="center"/>
          </w:tcPr>
          <w:p w14:paraId="0A335C4A">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铬酸雾</w:t>
            </w:r>
          </w:p>
        </w:tc>
        <w:tc>
          <w:tcPr>
            <w:tcW w:w="4447" w:type="dxa"/>
            <w:vAlign w:val="center"/>
          </w:tcPr>
          <w:p w14:paraId="0FC7002A">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0.05</w:t>
            </w:r>
          </w:p>
        </w:tc>
      </w:tr>
    </w:tbl>
    <w:p w14:paraId="168A2DF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单位产品基准排气量执行《电镀污染物排放标准》(GB21900-2008)表6中的标准，具体数值详见下表。</w:t>
      </w:r>
    </w:p>
    <w:p w14:paraId="20930FAB">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w:t>
      </w:r>
      <w:r>
        <w:rPr>
          <w:rFonts w:hint="eastAsia" w:ascii="Times New Roman" w:hAnsi="Times New Roman" w:cs="Times New Roman"/>
          <w:b/>
          <w:bCs/>
          <w:color w:val="auto"/>
          <w:u w:val="none"/>
          <w:lang w:val="en-US" w:eastAsia="zh-CN"/>
        </w:rPr>
        <w:t xml:space="preserve">8 </w:t>
      </w:r>
      <w:r>
        <w:rPr>
          <w:rFonts w:hint="default" w:ascii="Times New Roman" w:hAnsi="Times New Roman" w:cs="Times New Roman"/>
          <w:b/>
          <w:bCs/>
          <w:color w:val="auto"/>
          <w:u w:val="none"/>
        </w:rPr>
        <w:t xml:space="preserve"> 电镀单位产品基准排气量</w:t>
      </w:r>
    </w:p>
    <w:tbl>
      <w:tblPr>
        <w:tblStyle w:val="59"/>
        <w:tblW w:w="5150" w:type="pct"/>
        <w:tblInd w:w="-1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77"/>
        <w:gridCol w:w="1643"/>
        <w:gridCol w:w="4119"/>
        <w:gridCol w:w="3019"/>
      </w:tblGrid>
      <w:tr w14:paraId="3A02A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48" w:hRule="atLeast"/>
        </w:trPr>
        <w:tc>
          <w:tcPr>
            <w:tcW w:w="591" w:type="pct"/>
            <w:tcBorders>
              <w:tl2br w:val="nil"/>
              <w:tr2bl w:val="nil"/>
            </w:tcBorders>
            <w:vAlign w:val="center"/>
          </w:tcPr>
          <w:p w14:paraId="613E23E7">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825" w:type="pct"/>
            <w:tcBorders>
              <w:tl2br w:val="nil"/>
              <w:tr2bl w:val="nil"/>
            </w:tcBorders>
            <w:vAlign w:val="center"/>
          </w:tcPr>
          <w:p w14:paraId="791804CB">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工艺种类</w:t>
            </w:r>
          </w:p>
        </w:tc>
        <w:tc>
          <w:tcPr>
            <w:tcW w:w="2068" w:type="pct"/>
            <w:tcBorders>
              <w:tl2br w:val="nil"/>
              <w:tr2bl w:val="nil"/>
            </w:tcBorders>
            <w:vAlign w:val="center"/>
          </w:tcPr>
          <w:p w14:paraId="5235DAC8">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基准排气量，m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 xml:space="preserve">   (镀件镀层)</w:t>
            </w:r>
          </w:p>
        </w:tc>
        <w:tc>
          <w:tcPr>
            <w:tcW w:w="1515" w:type="pct"/>
            <w:tcBorders>
              <w:tl2br w:val="nil"/>
              <w:tr2bl w:val="nil"/>
            </w:tcBorders>
            <w:vAlign w:val="center"/>
          </w:tcPr>
          <w:p w14:paraId="761D9EF2">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排气量计量位置</w:t>
            </w:r>
          </w:p>
        </w:tc>
      </w:tr>
      <w:tr w14:paraId="4CCD70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591" w:type="pct"/>
            <w:tcBorders>
              <w:tl2br w:val="nil"/>
              <w:tr2bl w:val="nil"/>
            </w:tcBorders>
            <w:vAlign w:val="center"/>
          </w:tcPr>
          <w:p w14:paraId="3CE49F3A">
            <w:pPr>
              <w:pStyle w:val="39"/>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825" w:type="pct"/>
            <w:tcBorders>
              <w:tl2br w:val="nil"/>
              <w:tr2bl w:val="nil"/>
            </w:tcBorders>
            <w:vAlign w:val="center"/>
          </w:tcPr>
          <w:p w14:paraId="6D07E5C0">
            <w:pPr>
              <w:pStyle w:val="39"/>
              <w:rPr>
                <w:rFonts w:hint="default" w:ascii="Times New Roman" w:hAnsi="Times New Roman" w:cs="Times New Roman"/>
                <w:color w:val="auto"/>
                <w:u w:val="none"/>
              </w:rPr>
            </w:pPr>
            <w:r>
              <w:rPr>
                <w:rFonts w:hint="default" w:ascii="Times New Roman" w:hAnsi="Times New Roman" w:cs="Times New Roman"/>
                <w:color w:val="auto"/>
                <w:u w:val="none"/>
              </w:rPr>
              <w:t>阳极氧化</w:t>
            </w:r>
          </w:p>
        </w:tc>
        <w:tc>
          <w:tcPr>
            <w:tcW w:w="2068" w:type="pct"/>
            <w:tcBorders>
              <w:tl2br w:val="nil"/>
              <w:tr2bl w:val="nil"/>
            </w:tcBorders>
            <w:vAlign w:val="center"/>
          </w:tcPr>
          <w:p w14:paraId="77DD2292">
            <w:pPr>
              <w:pStyle w:val="39"/>
              <w:rPr>
                <w:rFonts w:hint="default" w:ascii="Times New Roman" w:hAnsi="Times New Roman" w:cs="Times New Roman"/>
                <w:color w:val="auto"/>
                <w:u w:val="none"/>
              </w:rPr>
            </w:pPr>
            <w:r>
              <w:rPr>
                <w:rFonts w:hint="default" w:ascii="Times New Roman" w:hAnsi="Times New Roman" w:cs="Times New Roman"/>
                <w:color w:val="auto"/>
                <w:u w:val="none"/>
              </w:rPr>
              <w:t>18.6</w:t>
            </w:r>
          </w:p>
        </w:tc>
        <w:tc>
          <w:tcPr>
            <w:tcW w:w="1515" w:type="pct"/>
            <w:tcBorders>
              <w:tl2br w:val="nil"/>
              <w:tr2bl w:val="nil"/>
            </w:tcBorders>
            <w:vAlign w:val="center"/>
          </w:tcPr>
          <w:p w14:paraId="5957D8F0">
            <w:pPr>
              <w:pStyle w:val="39"/>
              <w:rPr>
                <w:rFonts w:hint="default" w:ascii="Times New Roman" w:hAnsi="Times New Roman" w:cs="Times New Roman"/>
                <w:color w:val="auto"/>
                <w:u w:val="none"/>
              </w:rPr>
            </w:pPr>
            <w:r>
              <w:rPr>
                <w:rFonts w:hint="default" w:ascii="Times New Roman" w:hAnsi="Times New Roman" w:cs="Times New Roman"/>
                <w:color w:val="auto"/>
                <w:u w:val="none"/>
              </w:rPr>
              <w:t>车间或生产设施排气筒</w:t>
            </w:r>
          </w:p>
        </w:tc>
      </w:tr>
    </w:tbl>
    <w:p w14:paraId="3F15E7E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电镀污染物排放标准》（GB21900-2008）规定“4.2.5产生空气污染物的生产工艺装置必须设立局部气体收集系统和集中净化处理装置，净化后的气体由排气简排放。排气筒高度不低于15m，排放含氰化氢气体的排气简高度不低于25m。目前项目周围200m范围内最高的建筑低于50m，排气筒DA0</w:t>
      </w:r>
      <w:r>
        <w:rPr>
          <w:rFonts w:hint="eastAsia" w:ascii="Times New Roman" w:hAnsi="Times New Roman" w:cs="Times New Roman"/>
          <w:color w:val="auto"/>
          <w:u w:val="none"/>
          <w:lang w:val="en-US" w:eastAsia="zh-CN"/>
        </w:rPr>
        <w:t>01</w:t>
      </w:r>
      <w:r>
        <w:rPr>
          <w:rFonts w:hint="default" w:ascii="Times New Roman" w:hAnsi="Times New Roman" w:cs="Times New Roman"/>
          <w:color w:val="auto"/>
          <w:u w:val="none"/>
        </w:rPr>
        <w:t>设置高度为25.5m，应按排放浓度限值的50%执行。”故本项目硫酸执行标准如下：</w:t>
      </w:r>
    </w:p>
    <w:p w14:paraId="737859EB">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w:t>
      </w:r>
      <w:r>
        <w:rPr>
          <w:rFonts w:hint="eastAsia" w:ascii="Times New Roman" w:hAnsi="Times New Roman" w:cs="Times New Roman"/>
          <w:b/>
          <w:bCs/>
          <w:color w:val="auto"/>
          <w:u w:val="none"/>
          <w:lang w:val="en-US" w:eastAsia="zh-CN"/>
        </w:rPr>
        <w:t xml:space="preserve">9 </w:t>
      </w:r>
      <w:r>
        <w:rPr>
          <w:rFonts w:hint="default" w:ascii="Times New Roman" w:hAnsi="Times New Roman" w:cs="Times New Roman"/>
          <w:b/>
          <w:bCs/>
          <w:color w:val="auto"/>
          <w:u w:val="none"/>
        </w:rPr>
        <w:t xml:space="preserve"> 《大气污染物综合排放标准》（GB16297-1996）</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1965"/>
        <w:gridCol w:w="2153"/>
        <w:gridCol w:w="862"/>
        <w:gridCol w:w="1560"/>
        <w:gridCol w:w="2089"/>
      </w:tblGrid>
      <w:tr w14:paraId="474C5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dxa"/>
            <w:vMerge w:val="restart"/>
            <w:vAlign w:val="center"/>
          </w:tcPr>
          <w:p w14:paraId="6B5339B1">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污染物</w:t>
            </w:r>
          </w:p>
        </w:tc>
        <w:tc>
          <w:tcPr>
            <w:tcW w:w="1965" w:type="dxa"/>
            <w:vMerge w:val="restart"/>
            <w:vAlign w:val="center"/>
          </w:tcPr>
          <w:p w14:paraId="6E6ED731">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最高允许排放浓度（mg/</w:t>
            </w:r>
            <w:r>
              <w:rPr>
                <w:rFonts w:hint="default" w:ascii="Times New Roman" w:hAnsi="Times New Roman" w:cs="Times New Roman"/>
                <w:b/>
                <w:bCs/>
                <w:color w:val="auto"/>
                <w:sz w:val="21"/>
                <w:szCs w:val="21"/>
                <w:u w:val="none"/>
              </w:rPr>
              <w:t>m</w:t>
            </w:r>
            <w:r>
              <w:rPr>
                <w:rFonts w:hint="default" w:ascii="Times New Roman" w:hAnsi="Times New Roman" w:cs="Times New Roman"/>
                <w:b/>
                <w:bCs/>
                <w:color w:val="auto"/>
                <w:sz w:val="21"/>
                <w:szCs w:val="21"/>
                <w:u w:val="none"/>
                <w:vertAlign w:val="superscript"/>
              </w:rPr>
              <w:t>3</w:t>
            </w:r>
            <w:r>
              <w:rPr>
                <w:rFonts w:hint="default" w:ascii="Times New Roman" w:hAnsi="Times New Roman" w:eastAsia="Calibri" w:cs="Times New Roman"/>
                <w:b/>
                <w:bCs/>
                <w:color w:val="auto"/>
                <w:sz w:val="21"/>
                <w:szCs w:val="21"/>
                <w:u w:val="none"/>
              </w:rPr>
              <w:t>）</w:t>
            </w:r>
          </w:p>
        </w:tc>
        <w:tc>
          <w:tcPr>
            <w:tcW w:w="3015" w:type="dxa"/>
            <w:gridSpan w:val="2"/>
            <w:vAlign w:val="center"/>
          </w:tcPr>
          <w:p w14:paraId="78C92C97">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最高允许排放速率（kg/h）</w:t>
            </w:r>
          </w:p>
        </w:tc>
        <w:tc>
          <w:tcPr>
            <w:tcW w:w="3649" w:type="dxa"/>
            <w:gridSpan w:val="2"/>
            <w:vAlign w:val="center"/>
          </w:tcPr>
          <w:p w14:paraId="1EE7FEE3">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无组织排放监控浓度限值</w:t>
            </w:r>
          </w:p>
        </w:tc>
      </w:tr>
      <w:tr w14:paraId="7D9494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5" w:type="dxa"/>
            <w:vMerge w:val="continue"/>
            <w:vAlign w:val="center"/>
          </w:tcPr>
          <w:p w14:paraId="48BD1B70">
            <w:pPr>
              <w:spacing w:line="240" w:lineRule="auto"/>
              <w:ind w:firstLine="0" w:firstLineChars="0"/>
              <w:jc w:val="center"/>
              <w:rPr>
                <w:rFonts w:hint="default" w:ascii="Times New Roman" w:hAnsi="Times New Roman" w:eastAsia="Calibri" w:cs="Times New Roman"/>
                <w:b/>
                <w:bCs/>
                <w:color w:val="auto"/>
                <w:sz w:val="21"/>
                <w:szCs w:val="21"/>
                <w:u w:val="none"/>
              </w:rPr>
            </w:pPr>
          </w:p>
        </w:tc>
        <w:tc>
          <w:tcPr>
            <w:tcW w:w="1965" w:type="dxa"/>
            <w:vMerge w:val="continue"/>
            <w:vAlign w:val="center"/>
          </w:tcPr>
          <w:p w14:paraId="0B61ED1E">
            <w:pPr>
              <w:spacing w:line="240" w:lineRule="auto"/>
              <w:ind w:firstLine="0" w:firstLineChars="0"/>
              <w:jc w:val="center"/>
              <w:rPr>
                <w:rFonts w:hint="default" w:ascii="Times New Roman" w:hAnsi="Times New Roman" w:eastAsia="Calibri" w:cs="Times New Roman"/>
                <w:b/>
                <w:bCs/>
                <w:color w:val="auto"/>
                <w:sz w:val="21"/>
                <w:szCs w:val="21"/>
                <w:u w:val="none"/>
              </w:rPr>
            </w:pPr>
          </w:p>
        </w:tc>
        <w:tc>
          <w:tcPr>
            <w:tcW w:w="2153" w:type="dxa"/>
            <w:vAlign w:val="center"/>
          </w:tcPr>
          <w:p w14:paraId="618C6C7E">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排气筒高度（m）</w:t>
            </w:r>
          </w:p>
        </w:tc>
        <w:tc>
          <w:tcPr>
            <w:tcW w:w="862" w:type="dxa"/>
            <w:vAlign w:val="center"/>
          </w:tcPr>
          <w:p w14:paraId="1B801B92">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二级</w:t>
            </w:r>
          </w:p>
        </w:tc>
        <w:tc>
          <w:tcPr>
            <w:tcW w:w="1560" w:type="dxa"/>
            <w:vAlign w:val="center"/>
          </w:tcPr>
          <w:p w14:paraId="6CC67B5F">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监控点</w:t>
            </w:r>
          </w:p>
        </w:tc>
        <w:tc>
          <w:tcPr>
            <w:tcW w:w="2089" w:type="dxa"/>
            <w:vAlign w:val="center"/>
          </w:tcPr>
          <w:p w14:paraId="596A3B6B">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浓度（mg/</w:t>
            </w:r>
            <w:r>
              <w:rPr>
                <w:rFonts w:hint="default" w:ascii="Times New Roman" w:hAnsi="Times New Roman" w:cs="Times New Roman"/>
                <w:b/>
                <w:bCs/>
                <w:color w:val="auto"/>
                <w:sz w:val="21"/>
                <w:szCs w:val="21"/>
                <w:u w:val="none"/>
              </w:rPr>
              <w:t>m</w:t>
            </w:r>
            <w:r>
              <w:rPr>
                <w:rFonts w:hint="default" w:ascii="Times New Roman" w:hAnsi="Times New Roman" w:cs="Times New Roman"/>
                <w:b/>
                <w:bCs/>
                <w:color w:val="auto"/>
                <w:sz w:val="21"/>
                <w:szCs w:val="21"/>
                <w:u w:val="none"/>
                <w:vertAlign w:val="superscript"/>
              </w:rPr>
              <w:t>3</w:t>
            </w:r>
            <w:r>
              <w:rPr>
                <w:rFonts w:hint="default" w:ascii="Times New Roman" w:hAnsi="Times New Roman" w:eastAsia="Calibri" w:cs="Times New Roman"/>
                <w:b/>
                <w:bCs/>
                <w:color w:val="auto"/>
                <w:sz w:val="21"/>
                <w:szCs w:val="21"/>
                <w:u w:val="none"/>
              </w:rPr>
              <w:t>）</w:t>
            </w:r>
          </w:p>
        </w:tc>
      </w:tr>
      <w:tr w14:paraId="595C29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25" w:type="dxa"/>
            <w:vAlign w:val="center"/>
          </w:tcPr>
          <w:p w14:paraId="24954364">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硫酸</w:t>
            </w:r>
          </w:p>
        </w:tc>
        <w:tc>
          <w:tcPr>
            <w:tcW w:w="1965" w:type="dxa"/>
            <w:vAlign w:val="center"/>
          </w:tcPr>
          <w:p w14:paraId="45C48125">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w:t>
            </w:r>
          </w:p>
        </w:tc>
        <w:tc>
          <w:tcPr>
            <w:tcW w:w="2153" w:type="dxa"/>
            <w:vAlign w:val="center"/>
          </w:tcPr>
          <w:p w14:paraId="3995A0F9">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862" w:type="dxa"/>
            <w:vAlign w:val="center"/>
          </w:tcPr>
          <w:p w14:paraId="434800CA">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1560" w:type="dxa"/>
            <w:vMerge w:val="restart"/>
            <w:vAlign w:val="center"/>
          </w:tcPr>
          <w:p w14:paraId="21858B2E">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周界外浓度最高点</w:t>
            </w:r>
          </w:p>
        </w:tc>
        <w:tc>
          <w:tcPr>
            <w:tcW w:w="2089" w:type="dxa"/>
            <w:vAlign w:val="center"/>
          </w:tcPr>
          <w:p w14:paraId="2C3F2B38">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1.2</w:t>
            </w:r>
          </w:p>
        </w:tc>
      </w:tr>
      <w:tr w14:paraId="43563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225" w:type="dxa"/>
            <w:vAlign w:val="center"/>
          </w:tcPr>
          <w:p w14:paraId="334FF606">
            <w:pPr>
              <w:spacing w:line="240" w:lineRule="auto"/>
              <w:ind w:firstLine="0" w:firstLineChars="0"/>
              <w:jc w:val="center"/>
              <w:rPr>
                <w:rFonts w:hint="default" w:ascii="Times New Roman" w:hAnsi="Times New Roman" w:cs="Times New Roman"/>
                <w:color w:val="auto"/>
                <w:sz w:val="21"/>
                <w:szCs w:val="21"/>
                <w:u w:val="none"/>
              </w:rPr>
            </w:pPr>
            <w:r>
              <w:rPr>
                <w:rFonts w:ascii="Times New Roman" w:hAnsi="Times New Roman"/>
                <w:sz w:val="21"/>
                <w:szCs w:val="21"/>
                <w:u w:val="none"/>
              </w:rPr>
              <w:t>氮氧化物</w:t>
            </w:r>
          </w:p>
        </w:tc>
        <w:tc>
          <w:tcPr>
            <w:tcW w:w="1965" w:type="dxa"/>
            <w:vAlign w:val="center"/>
          </w:tcPr>
          <w:p w14:paraId="69846117">
            <w:pPr>
              <w:spacing w:line="240" w:lineRule="auto"/>
              <w:ind w:firstLine="0" w:firstLineChars="0"/>
              <w:jc w:val="center"/>
              <w:rPr>
                <w:rFonts w:hint="default" w:ascii="Times New Roman" w:hAnsi="Times New Roman" w:cs="Times New Roman"/>
                <w:color w:val="auto"/>
                <w:sz w:val="21"/>
                <w:szCs w:val="21"/>
                <w:u w:val="none"/>
              </w:rPr>
            </w:pPr>
            <w:r>
              <w:rPr>
                <w:rFonts w:ascii="Times New Roman" w:hAnsi="Times New Roman"/>
                <w:sz w:val="21"/>
                <w:szCs w:val="21"/>
                <w:u w:val="none"/>
              </w:rPr>
              <w:t>/</w:t>
            </w:r>
          </w:p>
        </w:tc>
        <w:tc>
          <w:tcPr>
            <w:tcW w:w="2153" w:type="dxa"/>
            <w:vAlign w:val="center"/>
          </w:tcPr>
          <w:p w14:paraId="2E40113A">
            <w:pPr>
              <w:spacing w:line="240" w:lineRule="auto"/>
              <w:ind w:firstLine="0" w:firstLineChars="0"/>
              <w:jc w:val="center"/>
              <w:rPr>
                <w:rFonts w:hint="default" w:ascii="Times New Roman" w:hAnsi="Times New Roman" w:cs="Times New Roman"/>
                <w:color w:val="auto"/>
                <w:sz w:val="21"/>
                <w:szCs w:val="21"/>
                <w:u w:val="none"/>
              </w:rPr>
            </w:pPr>
            <w:r>
              <w:rPr>
                <w:rFonts w:ascii="Times New Roman" w:hAnsi="Times New Roman"/>
                <w:sz w:val="21"/>
                <w:szCs w:val="21"/>
                <w:u w:val="none"/>
              </w:rPr>
              <w:t>/</w:t>
            </w:r>
          </w:p>
        </w:tc>
        <w:tc>
          <w:tcPr>
            <w:tcW w:w="862" w:type="dxa"/>
            <w:vAlign w:val="center"/>
          </w:tcPr>
          <w:p w14:paraId="4EA710BB">
            <w:pPr>
              <w:spacing w:line="240" w:lineRule="auto"/>
              <w:ind w:firstLine="0" w:firstLineChars="0"/>
              <w:jc w:val="center"/>
              <w:rPr>
                <w:rFonts w:hint="default" w:ascii="Times New Roman" w:hAnsi="Times New Roman" w:cs="Times New Roman"/>
                <w:color w:val="auto"/>
                <w:sz w:val="21"/>
                <w:szCs w:val="21"/>
                <w:u w:val="none"/>
              </w:rPr>
            </w:pPr>
            <w:r>
              <w:rPr>
                <w:rFonts w:ascii="Times New Roman" w:hAnsi="Times New Roman"/>
                <w:sz w:val="21"/>
                <w:szCs w:val="21"/>
                <w:u w:val="none"/>
              </w:rPr>
              <w:t>/</w:t>
            </w:r>
          </w:p>
        </w:tc>
        <w:tc>
          <w:tcPr>
            <w:tcW w:w="1560" w:type="dxa"/>
            <w:vMerge w:val="continue"/>
            <w:vAlign w:val="center"/>
          </w:tcPr>
          <w:p w14:paraId="060BCC91">
            <w:pPr>
              <w:spacing w:line="240" w:lineRule="auto"/>
              <w:ind w:firstLine="0" w:firstLineChars="0"/>
              <w:jc w:val="center"/>
              <w:rPr>
                <w:rFonts w:hint="default" w:ascii="Times New Roman" w:hAnsi="Times New Roman" w:eastAsia="Calibri" w:cs="Times New Roman"/>
                <w:color w:val="auto"/>
                <w:sz w:val="21"/>
                <w:szCs w:val="21"/>
                <w:u w:val="none"/>
              </w:rPr>
            </w:pPr>
          </w:p>
        </w:tc>
        <w:tc>
          <w:tcPr>
            <w:tcW w:w="2089" w:type="dxa"/>
            <w:vAlign w:val="center"/>
          </w:tcPr>
          <w:p w14:paraId="50932418">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0.12</w:t>
            </w:r>
          </w:p>
        </w:tc>
      </w:tr>
      <w:tr w14:paraId="32E59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54" w:type="dxa"/>
            <w:gridSpan w:val="6"/>
            <w:vAlign w:val="center"/>
          </w:tcPr>
          <w:p w14:paraId="230903A1">
            <w:pPr>
              <w:spacing w:line="240" w:lineRule="auto"/>
              <w:ind w:firstLine="0" w:firstLineChars="0"/>
              <w:jc w:val="center"/>
              <w:rPr>
                <w:rFonts w:hint="default" w:ascii="Times New Roman" w:hAnsi="Times New Roman" w:cs="Times New Roman"/>
                <w:color w:val="auto"/>
                <w:sz w:val="21"/>
                <w:u w:val="none"/>
              </w:rPr>
            </w:pPr>
            <w:r>
              <w:rPr>
                <w:rFonts w:hint="default" w:ascii="Times New Roman" w:hAnsi="Times New Roman" w:cs="Times New Roman"/>
                <w:color w:val="auto"/>
                <w:sz w:val="21"/>
                <w:u w:val="none"/>
              </w:rPr>
              <w:t>*</w:t>
            </w:r>
            <w:r>
              <w:rPr>
                <w:rFonts w:hint="default" w:ascii="Times New Roman" w:hAnsi="Times New Roman" w:eastAsia="Calibri" w:cs="Times New Roman"/>
                <w:color w:val="auto"/>
                <w:sz w:val="21"/>
                <w:szCs w:val="21"/>
                <w:u w:val="none"/>
              </w:rPr>
              <w:t>最高允许排放速率</w:t>
            </w:r>
            <w:r>
              <w:rPr>
                <w:rFonts w:hint="default" w:ascii="Times New Roman" w:hAnsi="Times New Roman" w:cs="Times New Roman"/>
                <w:color w:val="auto"/>
                <w:sz w:val="21"/>
                <w:szCs w:val="21"/>
                <w:u w:val="none"/>
              </w:rPr>
              <w:t>采用内插法计算得出</w:t>
            </w:r>
          </w:p>
        </w:tc>
      </w:tr>
    </w:tbl>
    <w:p w14:paraId="564C198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表2.3-1</w:t>
      </w:r>
      <w:r>
        <w:rPr>
          <w:rFonts w:hint="eastAsia" w:ascii="Times New Roman" w:hAnsi="Times New Roman" w:cs="Times New Roman"/>
          <w:b/>
          <w:bCs/>
          <w:color w:val="auto"/>
          <w:u w:val="none"/>
          <w:lang w:val="en-US" w:eastAsia="zh-CN"/>
        </w:rPr>
        <w:t>0</w:t>
      </w:r>
      <w:r>
        <w:rPr>
          <w:rFonts w:hint="default" w:ascii="Times New Roman" w:hAnsi="Times New Roman" w:cs="Times New Roman"/>
          <w:b/>
          <w:bCs/>
          <w:color w:val="auto"/>
          <w:u w:val="none"/>
        </w:rPr>
        <w:t xml:space="preserve"> 《电镀污染物排放标准》（GB21900-2008）</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35"/>
        <w:gridCol w:w="4719"/>
      </w:tblGrid>
      <w:tr w14:paraId="4DC20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39" w:type="dxa"/>
            <w:vMerge w:val="restart"/>
            <w:vAlign w:val="center"/>
          </w:tcPr>
          <w:p w14:paraId="5B6D3184">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污染物</w:t>
            </w:r>
          </w:p>
        </w:tc>
        <w:tc>
          <w:tcPr>
            <w:tcW w:w="4447" w:type="dxa"/>
            <w:vMerge w:val="restart"/>
            <w:vAlign w:val="center"/>
          </w:tcPr>
          <w:p w14:paraId="41F01E51">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最高允许排放浓度（mg/</w:t>
            </w:r>
            <w:r>
              <w:rPr>
                <w:rFonts w:hint="default" w:ascii="Times New Roman" w:hAnsi="Times New Roman" w:cs="Times New Roman"/>
                <w:b/>
                <w:bCs/>
                <w:color w:val="auto"/>
                <w:sz w:val="21"/>
                <w:szCs w:val="21"/>
                <w:u w:val="none"/>
              </w:rPr>
              <w:t>m</w:t>
            </w:r>
            <w:r>
              <w:rPr>
                <w:rFonts w:hint="default" w:ascii="Times New Roman" w:hAnsi="Times New Roman" w:cs="Times New Roman"/>
                <w:b/>
                <w:bCs/>
                <w:color w:val="auto"/>
                <w:sz w:val="21"/>
                <w:szCs w:val="21"/>
                <w:u w:val="none"/>
                <w:vertAlign w:val="superscript"/>
              </w:rPr>
              <w:t>3</w:t>
            </w:r>
            <w:r>
              <w:rPr>
                <w:rFonts w:hint="default" w:ascii="Times New Roman" w:hAnsi="Times New Roman" w:eastAsia="Calibri" w:cs="Times New Roman"/>
                <w:b/>
                <w:bCs/>
                <w:color w:val="auto"/>
                <w:sz w:val="21"/>
                <w:szCs w:val="21"/>
                <w:u w:val="none"/>
              </w:rPr>
              <w:t>）</w:t>
            </w:r>
          </w:p>
        </w:tc>
      </w:tr>
      <w:tr w14:paraId="19F29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9" w:type="dxa"/>
            <w:vMerge w:val="continue"/>
            <w:vAlign w:val="center"/>
          </w:tcPr>
          <w:p w14:paraId="78A5F9AA">
            <w:pPr>
              <w:spacing w:line="240" w:lineRule="auto"/>
              <w:ind w:firstLine="0" w:firstLineChars="0"/>
              <w:jc w:val="center"/>
              <w:rPr>
                <w:rFonts w:hint="default" w:ascii="Times New Roman" w:hAnsi="Times New Roman" w:eastAsia="Calibri" w:cs="Times New Roman"/>
                <w:color w:val="auto"/>
                <w:sz w:val="21"/>
                <w:szCs w:val="21"/>
                <w:u w:val="none"/>
              </w:rPr>
            </w:pPr>
          </w:p>
        </w:tc>
        <w:tc>
          <w:tcPr>
            <w:tcW w:w="4447" w:type="dxa"/>
            <w:vMerge w:val="continue"/>
            <w:vAlign w:val="center"/>
          </w:tcPr>
          <w:p w14:paraId="3E8EF322">
            <w:pPr>
              <w:spacing w:line="240" w:lineRule="auto"/>
              <w:ind w:firstLine="0" w:firstLineChars="0"/>
              <w:jc w:val="center"/>
              <w:rPr>
                <w:rFonts w:hint="default" w:ascii="Times New Roman" w:hAnsi="Times New Roman" w:eastAsia="Calibri" w:cs="Times New Roman"/>
                <w:color w:val="auto"/>
                <w:sz w:val="21"/>
                <w:szCs w:val="21"/>
                <w:u w:val="none"/>
              </w:rPr>
            </w:pPr>
          </w:p>
        </w:tc>
      </w:tr>
      <w:tr w14:paraId="22A48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39" w:type="dxa"/>
            <w:vAlign w:val="center"/>
          </w:tcPr>
          <w:p w14:paraId="00B15346">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硫酸</w:t>
            </w:r>
          </w:p>
        </w:tc>
        <w:tc>
          <w:tcPr>
            <w:tcW w:w="4447" w:type="dxa"/>
            <w:vAlign w:val="center"/>
          </w:tcPr>
          <w:p w14:paraId="552C98A0">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w:t>
            </w:r>
          </w:p>
        </w:tc>
      </w:tr>
      <w:tr w14:paraId="09AB5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39" w:type="dxa"/>
            <w:vAlign w:val="center"/>
          </w:tcPr>
          <w:p w14:paraId="72DBCDBB">
            <w:pPr>
              <w:spacing w:line="240" w:lineRule="auto"/>
              <w:ind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氮氧化物</w:t>
            </w:r>
          </w:p>
        </w:tc>
        <w:tc>
          <w:tcPr>
            <w:tcW w:w="4447" w:type="dxa"/>
            <w:vAlign w:val="center"/>
          </w:tcPr>
          <w:p w14:paraId="0C2439DF">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100</w:t>
            </w:r>
          </w:p>
        </w:tc>
      </w:tr>
      <w:tr w14:paraId="5E99B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839" w:type="dxa"/>
            <w:vAlign w:val="center"/>
          </w:tcPr>
          <w:p w14:paraId="693FA25B">
            <w:pPr>
              <w:spacing w:line="240" w:lineRule="auto"/>
              <w:ind w:firstLine="0" w:firstLineChars="0"/>
              <w:jc w:val="center"/>
              <w:rPr>
                <w:rFonts w:hint="default" w:ascii="Times New Roman" w:hAnsi="Times New Roman" w:cs="Times New Roman"/>
                <w:color w:val="auto"/>
                <w:sz w:val="21"/>
                <w:szCs w:val="21"/>
                <w:u w:val="none"/>
              </w:rPr>
            </w:pPr>
            <w:r>
              <w:rPr>
                <w:rFonts w:hint="eastAsia" w:ascii="Times New Roman" w:hAnsi="Times New Roman" w:cs="Times New Roman"/>
                <w:color w:val="auto"/>
                <w:sz w:val="21"/>
                <w:szCs w:val="21"/>
                <w:u w:val="none"/>
                <w:lang w:val="en-US" w:eastAsia="zh-CN"/>
              </w:rPr>
              <w:t>铬酸雾</w:t>
            </w:r>
          </w:p>
        </w:tc>
        <w:tc>
          <w:tcPr>
            <w:tcW w:w="4447" w:type="dxa"/>
            <w:vAlign w:val="center"/>
          </w:tcPr>
          <w:p w14:paraId="1A9E48CF">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0.025</w:t>
            </w:r>
          </w:p>
        </w:tc>
      </w:tr>
    </w:tbl>
    <w:p w14:paraId="72E9ADD6">
      <w:pPr>
        <w:pStyle w:val="6"/>
        <w:ind w:firstLine="420"/>
        <w:rPr>
          <w:rFonts w:hint="default" w:ascii="Times New Roman" w:hAnsi="Times New Roman" w:cs="Times New Roman"/>
          <w:color w:val="auto"/>
          <w:u w:val="none"/>
        </w:rPr>
      </w:pPr>
      <w:r>
        <w:rPr>
          <w:rFonts w:hint="default" w:ascii="Times New Roman" w:hAnsi="Times New Roman" w:cs="Times New Roman"/>
          <w:color w:val="auto"/>
          <w:u w:val="none"/>
        </w:rPr>
        <w:t>水污染物排放标准</w:t>
      </w:r>
    </w:p>
    <w:p w14:paraId="7A11844A">
      <w:pPr>
        <w:ind w:firstLine="480"/>
        <w:rPr>
          <w:rFonts w:hint="default" w:ascii="Times New Roman" w:hAnsi="Times New Roman" w:eastAsia="宋体" w:cs="Times New Roman"/>
          <w:color w:val="auto"/>
          <w:u w:val="none"/>
          <w:lang w:eastAsia="zh-CN"/>
        </w:rPr>
      </w:pPr>
      <w:r>
        <w:rPr>
          <w:rFonts w:hint="default" w:ascii="Times New Roman" w:hAnsi="Times New Roman" w:cs="Times New Roman"/>
          <w:color w:val="auto"/>
          <w:u w:val="none"/>
        </w:rPr>
        <w:t>项目废水主要为生活污水和生产废水，主要污染物为pH、COD、BOD</w:t>
      </w:r>
      <w:r>
        <w:rPr>
          <w:rFonts w:hint="default" w:ascii="Times New Roman" w:hAnsi="Times New Roman" w:cs="Times New Roman"/>
          <w:color w:val="auto"/>
          <w:u w:val="none"/>
          <w:vertAlign w:val="subscript"/>
        </w:rPr>
        <w:t>5</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-N、SS、总磷、总镍、总铬、总铜、总氮。项目生产废水分类收集处理。含油废液、碱废液经预处理与</w:t>
      </w:r>
      <w:r>
        <w:rPr>
          <w:rFonts w:hint="eastAsia" w:ascii="Times New Roman" w:hAnsi="Times New Roman" w:cs="Times New Roman"/>
          <w:color w:val="auto"/>
          <w:u w:val="none"/>
          <w:lang w:val="en-US" w:eastAsia="zh-CN"/>
        </w:rPr>
        <w:t>排入</w:t>
      </w:r>
      <w:r>
        <w:rPr>
          <w:rFonts w:hint="default" w:ascii="Times New Roman" w:hAnsi="Times New Roman" w:cs="Times New Roman"/>
          <w:color w:val="auto"/>
          <w:u w:val="none"/>
        </w:rPr>
        <w:t>综合废水处理系统处理达表排入市政污水管网，</w:t>
      </w:r>
      <w:r>
        <w:rPr>
          <w:rFonts w:hint="eastAsia" w:ascii="Times New Roman" w:hAnsi="Times New Roman" w:cs="Times New Roman"/>
          <w:color w:val="auto"/>
          <w:u w:val="none"/>
          <w:lang w:val="en-US" w:eastAsia="zh-CN"/>
        </w:rPr>
        <w:t>本项目综合废水处理系统</w:t>
      </w:r>
      <w:r>
        <w:rPr>
          <w:rFonts w:hint="default" w:ascii="Times New Roman" w:hAnsi="Times New Roman" w:cs="Times New Roman"/>
          <w:color w:val="auto"/>
          <w:u w:val="none"/>
        </w:rPr>
        <w:t>含镍废水、含镍废液、含铬（铜）废水、含铬（铜）废液</w:t>
      </w:r>
      <w:r>
        <w:rPr>
          <w:rFonts w:hint="default" w:ascii="Times New Roman" w:hAnsi="Times New Roman" w:cs="Times New Roman"/>
          <w:color w:val="auto"/>
          <w:u w:val="none"/>
          <w:lang w:val="en-US" w:eastAsia="zh-CN"/>
        </w:rPr>
        <w:t>实现零排放</w:t>
      </w:r>
      <w:r>
        <w:rPr>
          <w:rFonts w:hint="default" w:ascii="Times New Roman" w:hAnsi="Times New Roman" w:cs="Times New Roman"/>
          <w:color w:val="auto"/>
          <w:u w:val="none"/>
        </w:rPr>
        <w:t>。</w:t>
      </w:r>
      <w:r>
        <w:rPr>
          <w:rFonts w:hint="default" w:ascii="Times New Roman" w:hAnsi="Times New Roman" w:cs="Times New Roman"/>
          <w:color w:val="auto"/>
          <w:u w:val="none"/>
          <w:lang w:val="en-US" w:eastAsia="zh-CN"/>
        </w:rPr>
        <w:t>故</w:t>
      </w:r>
      <w:r>
        <w:rPr>
          <w:rFonts w:hint="default" w:ascii="Times New Roman" w:hAnsi="Times New Roman" w:cs="Times New Roman"/>
          <w:color w:val="auto"/>
          <w:u w:val="none"/>
        </w:rPr>
        <w:t>厂区</w:t>
      </w:r>
      <w:r>
        <w:rPr>
          <w:rFonts w:hint="default" w:ascii="Times New Roman" w:hAnsi="Times New Roman" w:cs="Times New Roman"/>
          <w:color w:val="auto"/>
          <w:u w:val="none"/>
          <w:lang w:val="en-US" w:eastAsia="zh-CN"/>
        </w:rPr>
        <w:t>生产废水</w:t>
      </w:r>
      <w:r>
        <w:rPr>
          <w:rFonts w:hint="default" w:ascii="Times New Roman" w:hAnsi="Times New Roman" w:cs="Times New Roman"/>
          <w:color w:val="auto"/>
          <w:u w:val="none"/>
        </w:rPr>
        <w:t>总排口</w:t>
      </w:r>
      <w:r>
        <w:rPr>
          <w:rFonts w:hint="default" w:ascii="Times New Roman" w:hAnsi="Times New Roman" w:cs="Times New Roman"/>
          <w:color w:val="auto"/>
          <w:u w:val="none"/>
          <w:lang w:val="en-US" w:eastAsia="zh-CN"/>
        </w:rPr>
        <w:t>（DW002）</w:t>
      </w:r>
      <w:r>
        <w:rPr>
          <w:rFonts w:hint="default" w:ascii="Times New Roman" w:hAnsi="Times New Roman" w:cs="Times New Roman"/>
          <w:color w:val="auto"/>
          <w:u w:val="none"/>
        </w:rPr>
        <w:t>总镍、总铬、总铜要求未检出，其他因子执行湖南城陵矶临港产业新区污水处理厂</w:t>
      </w:r>
      <w:r>
        <w:rPr>
          <w:rFonts w:hint="default" w:ascii="Times New Roman" w:hAnsi="Times New Roman" w:cs="Times New Roman"/>
          <w:color w:val="auto"/>
          <w:u w:val="none"/>
          <w:lang w:val="en-US" w:eastAsia="zh-CN"/>
        </w:rPr>
        <w:t>纳管协议</w:t>
      </w:r>
      <w:r>
        <w:rPr>
          <w:rFonts w:hint="default" w:ascii="Times New Roman" w:hAnsi="Times New Roman" w:cs="Times New Roman"/>
          <w:color w:val="auto"/>
          <w:u w:val="none"/>
        </w:rPr>
        <w:t>标准</w:t>
      </w:r>
      <w:r>
        <w:rPr>
          <w:rFonts w:hint="default" w:ascii="Times New Roman" w:hAnsi="Times New Roman" w:cs="Times New Roman"/>
          <w:color w:val="auto"/>
          <w:u w:val="none"/>
          <w:lang w:eastAsia="zh-CN"/>
        </w:rPr>
        <w:t>。</w:t>
      </w:r>
    </w:p>
    <w:p w14:paraId="2C0C63FB">
      <w:pPr>
        <w:bidi w:val="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生活污水经化粪池预处理后</w:t>
      </w:r>
      <w:r>
        <w:rPr>
          <w:rFonts w:hint="default" w:ascii="Times New Roman" w:hAnsi="Times New Roman" w:cs="Times New Roman"/>
          <w:color w:val="auto"/>
          <w:u w:val="none"/>
          <w:lang w:val="en-US" w:eastAsia="zh-CN"/>
        </w:rPr>
        <w:t>经生活污水排放口（DW001）</w:t>
      </w:r>
      <w:r>
        <w:rPr>
          <w:rFonts w:hint="default" w:ascii="Times New Roman" w:hAnsi="Times New Roman" w:cs="Times New Roman"/>
          <w:color w:val="auto"/>
          <w:u w:val="none"/>
        </w:rPr>
        <w:t>达到《污水综合排放标准》(GB8978一1996)三级标准</w:t>
      </w:r>
      <w:r>
        <w:rPr>
          <w:rFonts w:hint="default" w:ascii="Times New Roman" w:hAnsi="Times New Roman" w:cs="Times New Roman"/>
          <w:color w:val="auto"/>
          <w:u w:val="none"/>
          <w:lang w:val="en-US" w:eastAsia="zh-CN"/>
        </w:rPr>
        <w:t>及</w:t>
      </w:r>
      <w:r>
        <w:rPr>
          <w:rFonts w:hint="default" w:ascii="Times New Roman" w:hAnsi="Times New Roman" w:cs="Times New Roman"/>
          <w:color w:val="auto"/>
          <w:u w:val="none"/>
        </w:rPr>
        <w:t>临港污水处理厂的纳管协议标准后由管网排入城陵矶临港产业新区污水处理厂深度处理，达到《城镇污水处理厂污染物排放标准》(GB18918--2002)-级A标准经象骨港汇入长江</w:t>
      </w:r>
      <w:r>
        <w:rPr>
          <w:rFonts w:hint="eastAsia" w:ascii="Times New Roman" w:hAnsi="Times New Roman" w:cs="Times New Roman"/>
          <w:color w:val="auto"/>
          <w:u w:val="none"/>
          <w:lang w:eastAsia="zh-CN"/>
        </w:rPr>
        <w:t>。</w:t>
      </w:r>
    </w:p>
    <w:p w14:paraId="6FC95A4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注：根据《湖南省关于执行污染物特别排放限值（第一批）的公告》可知，电镀行业废水中铜、镍、铬需执行《电镀污染物排放标准》（GB21900-2008）特别排放浓度限值，生产废水中的COD、氨氮、总氮、总磷外排至外环境时执行《电镀污染物排放标准》（GB21900-2008）特别排放浓度限值，但本项目生产废水中含铬（铜）、含镍废水禁止外排，其排放标准应为未检出，综合废水经污水处理站处理后</w:t>
      </w:r>
      <w:r>
        <w:rPr>
          <w:rFonts w:hint="default" w:ascii="Times New Roman" w:hAnsi="Times New Roman" w:cs="Times New Roman"/>
          <w:color w:val="auto"/>
          <w:u w:val="none"/>
          <w:lang w:val="en-US" w:eastAsia="zh-CN"/>
        </w:rPr>
        <w:t>通过生产废水总排口（DA002）</w:t>
      </w:r>
      <w:r>
        <w:rPr>
          <w:rFonts w:hint="default" w:ascii="Times New Roman" w:hAnsi="Times New Roman" w:cs="Times New Roman"/>
          <w:color w:val="auto"/>
          <w:u w:val="none"/>
        </w:rPr>
        <w:t>排入临港污水处理厂，其排放标准为临港污水处理厂的纳管协议标准。</w:t>
      </w:r>
    </w:p>
    <w:p w14:paraId="0D60A93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表2.3-1</w:t>
      </w:r>
      <w:r>
        <w:rPr>
          <w:rFonts w:hint="eastAsia" w:ascii="Times New Roman" w:hAnsi="Times New Roman" w:cs="Times New Roman"/>
          <w:b/>
          <w:bCs/>
          <w:color w:val="auto"/>
          <w:u w:val="none"/>
          <w:lang w:val="en-US" w:eastAsia="zh-CN"/>
        </w:rPr>
        <w:t xml:space="preserve">1  </w:t>
      </w:r>
      <w:r>
        <w:rPr>
          <w:rFonts w:hint="default" w:ascii="Times New Roman" w:hAnsi="Times New Roman" w:cs="Times New Roman"/>
          <w:b/>
          <w:bCs/>
          <w:color w:val="auto"/>
          <w:u w:val="none"/>
        </w:rPr>
        <w:t>厂区废水排放标准（单位：mg/L）</w:t>
      </w:r>
    </w:p>
    <w:tbl>
      <w:tblPr>
        <w:tblStyle w:val="30"/>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88"/>
        <w:gridCol w:w="721"/>
        <w:gridCol w:w="700"/>
        <w:gridCol w:w="773"/>
        <w:gridCol w:w="729"/>
        <w:gridCol w:w="857"/>
        <w:gridCol w:w="520"/>
        <w:gridCol w:w="729"/>
        <w:gridCol w:w="729"/>
        <w:gridCol w:w="732"/>
        <w:gridCol w:w="734"/>
        <w:gridCol w:w="734"/>
      </w:tblGrid>
      <w:tr w14:paraId="37E367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8" w:type="pct"/>
            <w:vAlign w:val="center"/>
          </w:tcPr>
          <w:p w14:paraId="247A9C8E">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指标</w:t>
            </w:r>
          </w:p>
        </w:tc>
        <w:tc>
          <w:tcPr>
            <w:tcW w:w="366" w:type="pct"/>
            <w:vAlign w:val="center"/>
          </w:tcPr>
          <w:p w14:paraId="0B86557C">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pH</w:t>
            </w:r>
          </w:p>
        </w:tc>
        <w:tc>
          <w:tcPr>
            <w:tcW w:w="355" w:type="pct"/>
            <w:vAlign w:val="center"/>
          </w:tcPr>
          <w:p w14:paraId="614A351C">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COD</w:t>
            </w:r>
          </w:p>
        </w:tc>
        <w:tc>
          <w:tcPr>
            <w:tcW w:w="392" w:type="pct"/>
            <w:vAlign w:val="center"/>
          </w:tcPr>
          <w:p w14:paraId="6BCDE0F2">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BOD</w:t>
            </w:r>
            <w:r>
              <w:rPr>
                <w:rFonts w:hint="default" w:ascii="Times New Roman" w:hAnsi="Times New Roman" w:cs="Times New Roman"/>
                <w:b/>
                <w:bCs/>
                <w:color w:val="auto"/>
                <w:sz w:val="21"/>
                <w:szCs w:val="21"/>
                <w:u w:val="none"/>
                <w:vertAlign w:val="subscript"/>
              </w:rPr>
              <w:t>5</w:t>
            </w:r>
          </w:p>
        </w:tc>
        <w:tc>
          <w:tcPr>
            <w:tcW w:w="370" w:type="pct"/>
            <w:vAlign w:val="center"/>
          </w:tcPr>
          <w:p w14:paraId="1101D3DE">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SS</w:t>
            </w:r>
          </w:p>
        </w:tc>
        <w:tc>
          <w:tcPr>
            <w:tcW w:w="435" w:type="pct"/>
            <w:vAlign w:val="center"/>
          </w:tcPr>
          <w:p w14:paraId="0346B89C">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cs="Times New Roman"/>
                <w:b/>
                <w:bCs/>
                <w:color w:val="auto"/>
                <w:sz w:val="21"/>
                <w:szCs w:val="21"/>
                <w:u w:val="none"/>
              </w:rPr>
              <w:t>NH</w:t>
            </w:r>
            <w:r>
              <w:rPr>
                <w:rFonts w:hint="default" w:ascii="Times New Roman" w:hAnsi="Times New Roman" w:cs="Times New Roman"/>
                <w:b/>
                <w:bCs/>
                <w:color w:val="auto"/>
                <w:sz w:val="21"/>
                <w:szCs w:val="21"/>
                <w:u w:val="none"/>
                <w:vertAlign w:val="subscript"/>
              </w:rPr>
              <w:t>3</w:t>
            </w:r>
            <w:r>
              <w:rPr>
                <w:rFonts w:hint="default" w:ascii="Times New Roman" w:hAnsi="Times New Roman" w:eastAsia="Calibri" w:cs="Times New Roman"/>
                <w:b/>
                <w:bCs/>
                <w:color w:val="auto"/>
                <w:sz w:val="21"/>
                <w:szCs w:val="21"/>
                <w:u w:val="none"/>
              </w:rPr>
              <w:t>-N</w:t>
            </w:r>
          </w:p>
        </w:tc>
        <w:tc>
          <w:tcPr>
            <w:tcW w:w="264" w:type="pct"/>
            <w:vAlign w:val="center"/>
          </w:tcPr>
          <w:p w14:paraId="34D23FA7">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TP</w:t>
            </w:r>
          </w:p>
        </w:tc>
        <w:tc>
          <w:tcPr>
            <w:tcW w:w="370" w:type="pct"/>
            <w:vAlign w:val="center"/>
          </w:tcPr>
          <w:p w14:paraId="1801A8F7">
            <w:pPr>
              <w:spacing w:line="240" w:lineRule="auto"/>
              <w:ind w:firstLine="0" w:firstLineChars="0"/>
              <w:jc w:val="center"/>
              <w:rPr>
                <w:rFonts w:hint="default" w:ascii="Times New Roman" w:hAnsi="Times New Roman" w:eastAsia="宋体"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TN</w:t>
            </w:r>
          </w:p>
        </w:tc>
        <w:tc>
          <w:tcPr>
            <w:tcW w:w="370" w:type="pct"/>
            <w:vAlign w:val="center"/>
          </w:tcPr>
          <w:p w14:paraId="11AB1598">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石油类</w:t>
            </w:r>
          </w:p>
        </w:tc>
        <w:tc>
          <w:tcPr>
            <w:tcW w:w="371" w:type="pct"/>
            <w:vAlign w:val="center"/>
          </w:tcPr>
          <w:p w14:paraId="351F7879">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总镍</w:t>
            </w:r>
          </w:p>
        </w:tc>
        <w:tc>
          <w:tcPr>
            <w:tcW w:w="372" w:type="pct"/>
            <w:vAlign w:val="center"/>
          </w:tcPr>
          <w:p w14:paraId="707B9E9B">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总铬</w:t>
            </w:r>
          </w:p>
        </w:tc>
        <w:tc>
          <w:tcPr>
            <w:tcW w:w="372" w:type="pct"/>
            <w:vAlign w:val="center"/>
          </w:tcPr>
          <w:p w14:paraId="5864BD00">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总铜</w:t>
            </w:r>
          </w:p>
        </w:tc>
      </w:tr>
      <w:tr w14:paraId="1826FC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8" w:type="pct"/>
            <w:vAlign w:val="center"/>
          </w:tcPr>
          <w:p w14:paraId="65FE1E3F">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综排三级标准</w:t>
            </w:r>
          </w:p>
        </w:tc>
        <w:tc>
          <w:tcPr>
            <w:tcW w:w="366" w:type="pct"/>
            <w:vAlign w:val="center"/>
          </w:tcPr>
          <w:p w14:paraId="236B94AF">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6~9</w:t>
            </w:r>
          </w:p>
        </w:tc>
        <w:tc>
          <w:tcPr>
            <w:tcW w:w="355" w:type="pct"/>
            <w:vAlign w:val="center"/>
          </w:tcPr>
          <w:p w14:paraId="065A0CC9">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≤500</w:t>
            </w:r>
          </w:p>
        </w:tc>
        <w:tc>
          <w:tcPr>
            <w:tcW w:w="392" w:type="pct"/>
            <w:vAlign w:val="center"/>
          </w:tcPr>
          <w:p w14:paraId="2BC775F5">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≤300</w:t>
            </w:r>
          </w:p>
        </w:tc>
        <w:tc>
          <w:tcPr>
            <w:tcW w:w="370" w:type="pct"/>
            <w:vAlign w:val="center"/>
          </w:tcPr>
          <w:p w14:paraId="2DFF5C02">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≤400</w:t>
            </w:r>
          </w:p>
        </w:tc>
        <w:tc>
          <w:tcPr>
            <w:tcW w:w="435" w:type="pct"/>
            <w:vAlign w:val="center"/>
          </w:tcPr>
          <w:p w14:paraId="483EDCD2">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w:t>
            </w:r>
          </w:p>
        </w:tc>
        <w:tc>
          <w:tcPr>
            <w:tcW w:w="264" w:type="pct"/>
            <w:vAlign w:val="center"/>
          </w:tcPr>
          <w:p w14:paraId="75D9C91C">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eastAsia="Calibri" w:cs="Times New Roman"/>
                <w:color w:val="auto"/>
                <w:sz w:val="21"/>
                <w:szCs w:val="21"/>
                <w:u w:val="none"/>
              </w:rPr>
              <w:t>-</w:t>
            </w:r>
          </w:p>
        </w:tc>
        <w:tc>
          <w:tcPr>
            <w:tcW w:w="370" w:type="pct"/>
            <w:vAlign w:val="center"/>
          </w:tcPr>
          <w:p w14:paraId="7F1F8208">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w:t>
            </w:r>
          </w:p>
        </w:tc>
        <w:tc>
          <w:tcPr>
            <w:tcW w:w="370" w:type="pct"/>
            <w:vAlign w:val="center"/>
          </w:tcPr>
          <w:p w14:paraId="4E83536D">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30</w:t>
            </w:r>
          </w:p>
        </w:tc>
        <w:tc>
          <w:tcPr>
            <w:tcW w:w="371" w:type="pct"/>
            <w:vAlign w:val="center"/>
          </w:tcPr>
          <w:p w14:paraId="3B221C3E">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372" w:type="pct"/>
            <w:vAlign w:val="center"/>
          </w:tcPr>
          <w:p w14:paraId="50F0661D">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372" w:type="pct"/>
            <w:vAlign w:val="center"/>
          </w:tcPr>
          <w:p w14:paraId="02D3A3E2">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r w14:paraId="074784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8" w:type="pct"/>
            <w:vAlign w:val="center"/>
          </w:tcPr>
          <w:p w14:paraId="08BA4A71">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污水处理厂</w:t>
            </w:r>
            <w:r>
              <w:rPr>
                <w:rFonts w:hint="default" w:ascii="Times New Roman" w:hAnsi="Times New Roman" w:cs="Times New Roman"/>
                <w:color w:val="auto"/>
                <w:sz w:val="21"/>
                <w:szCs w:val="21"/>
                <w:u w:val="none"/>
                <w:lang w:val="en-US" w:eastAsia="zh-CN"/>
              </w:rPr>
              <w:t>纳管协议</w:t>
            </w:r>
            <w:r>
              <w:rPr>
                <w:rFonts w:hint="default" w:ascii="Times New Roman" w:hAnsi="Times New Roman" w:cs="Times New Roman"/>
                <w:color w:val="auto"/>
                <w:sz w:val="21"/>
                <w:szCs w:val="21"/>
                <w:u w:val="none"/>
              </w:rPr>
              <w:t>标准</w:t>
            </w:r>
          </w:p>
        </w:tc>
        <w:tc>
          <w:tcPr>
            <w:tcW w:w="366" w:type="pct"/>
            <w:vAlign w:val="center"/>
          </w:tcPr>
          <w:p w14:paraId="1E1F453A">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6~9</w:t>
            </w:r>
          </w:p>
        </w:tc>
        <w:tc>
          <w:tcPr>
            <w:tcW w:w="355" w:type="pct"/>
            <w:vAlign w:val="center"/>
          </w:tcPr>
          <w:p w14:paraId="4E8A86A8">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≤500</w:t>
            </w:r>
          </w:p>
        </w:tc>
        <w:tc>
          <w:tcPr>
            <w:tcW w:w="392" w:type="pct"/>
            <w:vAlign w:val="center"/>
          </w:tcPr>
          <w:p w14:paraId="11DD051D">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≤300</w:t>
            </w:r>
          </w:p>
        </w:tc>
        <w:tc>
          <w:tcPr>
            <w:tcW w:w="370" w:type="pct"/>
            <w:vAlign w:val="center"/>
          </w:tcPr>
          <w:p w14:paraId="79192069">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≤400</w:t>
            </w:r>
          </w:p>
        </w:tc>
        <w:tc>
          <w:tcPr>
            <w:tcW w:w="435" w:type="pct"/>
            <w:vAlign w:val="center"/>
          </w:tcPr>
          <w:p w14:paraId="43B171B0">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Calibri" w:cs="Times New Roman"/>
                <w:color w:val="auto"/>
                <w:sz w:val="21"/>
                <w:szCs w:val="21"/>
                <w:u w:val="none"/>
              </w:rPr>
              <w:t>≤</w:t>
            </w:r>
            <w:r>
              <w:rPr>
                <w:rFonts w:hint="default" w:ascii="Times New Roman" w:hAnsi="Times New Roman" w:eastAsia="宋体" w:cs="Times New Roman"/>
                <w:color w:val="auto"/>
                <w:sz w:val="21"/>
                <w:szCs w:val="21"/>
                <w:u w:val="none"/>
                <w:lang w:val="en-US" w:eastAsia="zh-CN"/>
              </w:rPr>
              <w:t>30</w:t>
            </w:r>
          </w:p>
        </w:tc>
        <w:tc>
          <w:tcPr>
            <w:tcW w:w="264" w:type="pct"/>
            <w:vAlign w:val="center"/>
          </w:tcPr>
          <w:p w14:paraId="0B6DD1A1">
            <w:pPr>
              <w:spacing w:line="240" w:lineRule="auto"/>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Calibri" w:cs="Times New Roman"/>
                <w:color w:val="auto"/>
                <w:sz w:val="21"/>
                <w:szCs w:val="21"/>
                <w:u w:val="none"/>
              </w:rPr>
              <w:t>≤</w:t>
            </w:r>
            <w:r>
              <w:rPr>
                <w:rFonts w:hint="default" w:ascii="Times New Roman" w:hAnsi="Times New Roman" w:eastAsia="宋体" w:cs="Times New Roman"/>
                <w:color w:val="auto"/>
                <w:sz w:val="21"/>
                <w:szCs w:val="21"/>
                <w:u w:val="none"/>
                <w:lang w:val="en-US" w:eastAsia="zh-CN"/>
              </w:rPr>
              <w:t>3</w:t>
            </w:r>
          </w:p>
        </w:tc>
        <w:tc>
          <w:tcPr>
            <w:tcW w:w="370" w:type="pct"/>
            <w:vAlign w:val="center"/>
          </w:tcPr>
          <w:p w14:paraId="00984858">
            <w:pPr>
              <w:spacing w:line="240" w:lineRule="auto"/>
              <w:ind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Calibri" w:cs="Times New Roman"/>
                <w:color w:val="auto"/>
                <w:sz w:val="21"/>
                <w:szCs w:val="21"/>
                <w:u w:val="none"/>
              </w:rPr>
              <w:t>≤</w:t>
            </w:r>
            <w:r>
              <w:rPr>
                <w:rFonts w:hint="default" w:ascii="Times New Roman" w:hAnsi="Times New Roman" w:cs="Times New Roman"/>
                <w:color w:val="auto"/>
                <w:sz w:val="21"/>
                <w:szCs w:val="21"/>
                <w:u w:val="none"/>
                <w:lang w:val="en-US" w:eastAsia="zh-CN"/>
              </w:rPr>
              <w:t>40</w:t>
            </w:r>
          </w:p>
        </w:tc>
        <w:tc>
          <w:tcPr>
            <w:tcW w:w="370" w:type="pct"/>
            <w:vAlign w:val="center"/>
          </w:tcPr>
          <w:p w14:paraId="5B995DD4">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eastAsia="Calibri" w:cs="Times New Roman"/>
                <w:color w:val="auto"/>
                <w:sz w:val="21"/>
                <w:szCs w:val="21"/>
                <w:u w:val="none"/>
              </w:rPr>
              <w:t>≤</w:t>
            </w:r>
            <w:r>
              <w:rPr>
                <w:rFonts w:hint="default" w:ascii="Times New Roman" w:hAnsi="Times New Roman" w:cs="Times New Roman"/>
                <w:color w:val="auto"/>
                <w:sz w:val="21"/>
                <w:szCs w:val="21"/>
                <w:u w:val="none"/>
              </w:rPr>
              <w:t>15</w:t>
            </w:r>
          </w:p>
        </w:tc>
        <w:tc>
          <w:tcPr>
            <w:tcW w:w="371" w:type="pct"/>
            <w:vAlign w:val="center"/>
          </w:tcPr>
          <w:p w14:paraId="7875212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372" w:type="pct"/>
            <w:vAlign w:val="center"/>
          </w:tcPr>
          <w:p w14:paraId="3C6569D2">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372" w:type="pct"/>
            <w:vAlign w:val="center"/>
          </w:tcPr>
          <w:p w14:paraId="2932D198">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r w14:paraId="1DD70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958" w:type="pct"/>
            <w:vAlign w:val="center"/>
          </w:tcPr>
          <w:p w14:paraId="567FAA1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本项目排放标准</w:t>
            </w:r>
          </w:p>
        </w:tc>
        <w:tc>
          <w:tcPr>
            <w:tcW w:w="366" w:type="pct"/>
            <w:vAlign w:val="center"/>
          </w:tcPr>
          <w:p w14:paraId="130D63AA">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6~9</w:t>
            </w:r>
          </w:p>
        </w:tc>
        <w:tc>
          <w:tcPr>
            <w:tcW w:w="355" w:type="pct"/>
            <w:vAlign w:val="center"/>
          </w:tcPr>
          <w:p w14:paraId="0175D129">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≤500</w:t>
            </w:r>
          </w:p>
        </w:tc>
        <w:tc>
          <w:tcPr>
            <w:tcW w:w="392" w:type="pct"/>
            <w:vAlign w:val="center"/>
          </w:tcPr>
          <w:p w14:paraId="0D2DC2C8">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≤300</w:t>
            </w:r>
          </w:p>
        </w:tc>
        <w:tc>
          <w:tcPr>
            <w:tcW w:w="370" w:type="pct"/>
            <w:vAlign w:val="center"/>
          </w:tcPr>
          <w:p w14:paraId="3C19102D">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≤400</w:t>
            </w:r>
          </w:p>
        </w:tc>
        <w:tc>
          <w:tcPr>
            <w:tcW w:w="435" w:type="pct"/>
            <w:vAlign w:val="center"/>
          </w:tcPr>
          <w:p w14:paraId="3614057A">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Calibri" w:cs="Times New Roman"/>
                <w:color w:val="auto"/>
                <w:sz w:val="21"/>
                <w:szCs w:val="21"/>
                <w:u w:val="none"/>
              </w:rPr>
              <w:t>≤</w:t>
            </w:r>
            <w:r>
              <w:rPr>
                <w:rFonts w:hint="default" w:ascii="Times New Roman" w:hAnsi="Times New Roman" w:eastAsia="宋体" w:cs="Times New Roman"/>
                <w:color w:val="auto"/>
                <w:sz w:val="21"/>
                <w:szCs w:val="21"/>
                <w:u w:val="none"/>
                <w:lang w:val="en-US" w:eastAsia="zh-CN"/>
              </w:rPr>
              <w:t>30</w:t>
            </w:r>
          </w:p>
        </w:tc>
        <w:tc>
          <w:tcPr>
            <w:tcW w:w="264" w:type="pct"/>
            <w:vAlign w:val="center"/>
          </w:tcPr>
          <w:p w14:paraId="49E380E2">
            <w:pPr>
              <w:spacing w:line="240" w:lineRule="auto"/>
              <w:ind w:firstLine="0" w:firstLineChars="0"/>
              <w:jc w:val="center"/>
              <w:rPr>
                <w:rFonts w:hint="default" w:ascii="Times New Roman" w:hAnsi="Times New Roman" w:eastAsia="宋体" w:cs="Times New Roman"/>
                <w:color w:val="auto"/>
                <w:sz w:val="21"/>
                <w:szCs w:val="21"/>
                <w:u w:val="none"/>
                <w:lang w:eastAsia="zh-CN"/>
              </w:rPr>
            </w:pPr>
            <w:r>
              <w:rPr>
                <w:rFonts w:hint="default" w:ascii="Times New Roman" w:hAnsi="Times New Roman" w:eastAsia="Calibri" w:cs="Times New Roman"/>
                <w:color w:val="auto"/>
                <w:sz w:val="21"/>
                <w:szCs w:val="21"/>
                <w:u w:val="none"/>
              </w:rPr>
              <w:t>≤</w:t>
            </w:r>
            <w:r>
              <w:rPr>
                <w:rFonts w:hint="default" w:ascii="Times New Roman" w:hAnsi="Times New Roman" w:eastAsia="宋体" w:cs="Times New Roman"/>
                <w:color w:val="auto"/>
                <w:sz w:val="21"/>
                <w:szCs w:val="21"/>
                <w:u w:val="none"/>
                <w:lang w:val="en-US" w:eastAsia="zh-CN"/>
              </w:rPr>
              <w:t>3</w:t>
            </w:r>
          </w:p>
        </w:tc>
        <w:tc>
          <w:tcPr>
            <w:tcW w:w="370" w:type="pct"/>
            <w:vAlign w:val="center"/>
          </w:tcPr>
          <w:p w14:paraId="18EE8E4F">
            <w:pPr>
              <w:spacing w:line="240" w:lineRule="auto"/>
              <w:ind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Calibri" w:cs="Times New Roman"/>
                <w:color w:val="auto"/>
                <w:sz w:val="21"/>
                <w:szCs w:val="21"/>
                <w:u w:val="none"/>
              </w:rPr>
              <w:t>≤</w:t>
            </w:r>
            <w:r>
              <w:rPr>
                <w:rFonts w:hint="default" w:ascii="Times New Roman" w:hAnsi="Times New Roman" w:cs="Times New Roman"/>
                <w:color w:val="auto"/>
                <w:sz w:val="21"/>
                <w:szCs w:val="21"/>
                <w:u w:val="none"/>
                <w:lang w:val="en-US" w:eastAsia="zh-CN"/>
              </w:rPr>
              <w:t>40</w:t>
            </w:r>
          </w:p>
        </w:tc>
        <w:tc>
          <w:tcPr>
            <w:tcW w:w="370" w:type="pct"/>
            <w:vAlign w:val="center"/>
          </w:tcPr>
          <w:p w14:paraId="668AB86E">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eastAsia="Calibri" w:cs="Times New Roman"/>
                <w:color w:val="auto"/>
                <w:sz w:val="21"/>
                <w:szCs w:val="21"/>
                <w:u w:val="none"/>
              </w:rPr>
              <w:t>≤</w:t>
            </w:r>
            <w:r>
              <w:rPr>
                <w:rFonts w:hint="default" w:ascii="Times New Roman" w:hAnsi="Times New Roman" w:cs="Times New Roman"/>
                <w:color w:val="auto"/>
                <w:sz w:val="21"/>
                <w:szCs w:val="21"/>
                <w:u w:val="none"/>
              </w:rPr>
              <w:t>15</w:t>
            </w:r>
          </w:p>
        </w:tc>
        <w:tc>
          <w:tcPr>
            <w:tcW w:w="371" w:type="pct"/>
            <w:vAlign w:val="center"/>
          </w:tcPr>
          <w:p w14:paraId="1925A79F">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未检出</w:t>
            </w:r>
          </w:p>
        </w:tc>
        <w:tc>
          <w:tcPr>
            <w:tcW w:w="372" w:type="pct"/>
            <w:vAlign w:val="center"/>
          </w:tcPr>
          <w:p w14:paraId="09B80A59">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未检出</w:t>
            </w:r>
          </w:p>
        </w:tc>
        <w:tc>
          <w:tcPr>
            <w:tcW w:w="372" w:type="pct"/>
            <w:vAlign w:val="center"/>
          </w:tcPr>
          <w:p w14:paraId="2D5A05DF">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未检出</w:t>
            </w:r>
          </w:p>
        </w:tc>
      </w:tr>
    </w:tbl>
    <w:p w14:paraId="26AC9E8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表2.3-1</w:t>
      </w:r>
      <w:r>
        <w:rPr>
          <w:rFonts w:hint="eastAsia" w:ascii="Times New Roman" w:hAnsi="Times New Roman" w:cs="Times New Roman"/>
          <w:b/>
          <w:bCs/>
          <w:color w:val="auto"/>
          <w:u w:val="none"/>
          <w:lang w:val="en-US" w:eastAsia="zh-CN"/>
        </w:rPr>
        <w:t xml:space="preserve">2  </w:t>
      </w:r>
      <w:r>
        <w:rPr>
          <w:rFonts w:hint="default" w:ascii="Times New Roman" w:hAnsi="Times New Roman" w:cs="Times New Roman"/>
          <w:b/>
          <w:bCs/>
          <w:color w:val="auto"/>
          <w:u w:val="none"/>
        </w:rPr>
        <w:t>《城镇污水处理厂污染物排放标准》中一级A标准（单位：mg/L）</w:t>
      </w:r>
    </w:p>
    <w:tbl>
      <w:tblPr>
        <w:tblStyle w:val="30"/>
        <w:tblW w:w="50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32"/>
        <w:gridCol w:w="910"/>
        <w:gridCol w:w="912"/>
        <w:gridCol w:w="908"/>
        <w:gridCol w:w="782"/>
        <w:gridCol w:w="1042"/>
        <w:gridCol w:w="1042"/>
        <w:gridCol w:w="1206"/>
        <w:gridCol w:w="1206"/>
      </w:tblGrid>
      <w:tr w14:paraId="35267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65557318">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污染物名称</w:t>
            </w:r>
          </w:p>
        </w:tc>
        <w:tc>
          <w:tcPr>
            <w:tcW w:w="462" w:type="pct"/>
            <w:vAlign w:val="center"/>
          </w:tcPr>
          <w:p w14:paraId="11A5D0BB">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pH</w:t>
            </w:r>
          </w:p>
        </w:tc>
        <w:tc>
          <w:tcPr>
            <w:tcW w:w="463" w:type="pct"/>
            <w:vAlign w:val="center"/>
          </w:tcPr>
          <w:p w14:paraId="636601E2">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SS</w:t>
            </w:r>
          </w:p>
        </w:tc>
        <w:tc>
          <w:tcPr>
            <w:tcW w:w="461" w:type="pct"/>
            <w:vAlign w:val="center"/>
          </w:tcPr>
          <w:p w14:paraId="0C4854E9">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COD</w:t>
            </w:r>
          </w:p>
        </w:tc>
        <w:tc>
          <w:tcPr>
            <w:tcW w:w="397" w:type="pct"/>
            <w:vAlign w:val="center"/>
          </w:tcPr>
          <w:p w14:paraId="0AFC6D6D">
            <w:pPr>
              <w:spacing w:line="240" w:lineRule="auto"/>
              <w:ind w:firstLine="0" w:firstLineChars="0"/>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BOD</w:t>
            </w:r>
            <w:r>
              <w:rPr>
                <w:rFonts w:hint="default" w:ascii="Times New Roman" w:hAnsi="Times New Roman" w:cs="Times New Roman"/>
                <w:b/>
                <w:bCs/>
                <w:color w:val="auto"/>
                <w:sz w:val="21"/>
                <w:szCs w:val="21"/>
                <w:u w:val="none"/>
                <w:vertAlign w:val="subscript"/>
              </w:rPr>
              <w:t>5</w:t>
            </w:r>
          </w:p>
        </w:tc>
        <w:tc>
          <w:tcPr>
            <w:tcW w:w="529" w:type="pct"/>
            <w:vAlign w:val="center"/>
          </w:tcPr>
          <w:p w14:paraId="71E1F0CB">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氨氮</w:t>
            </w:r>
          </w:p>
        </w:tc>
        <w:tc>
          <w:tcPr>
            <w:tcW w:w="529" w:type="pct"/>
            <w:vAlign w:val="center"/>
          </w:tcPr>
          <w:p w14:paraId="2FAEE42B">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石油类</w:t>
            </w:r>
          </w:p>
        </w:tc>
        <w:tc>
          <w:tcPr>
            <w:tcW w:w="612" w:type="pct"/>
            <w:vAlign w:val="center"/>
          </w:tcPr>
          <w:p w14:paraId="025A7FCD">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cs="Times New Roman"/>
                <w:b/>
                <w:bCs/>
                <w:color w:val="auto"/>
                <w:sz w:val="21"/>
                <w:szCs w:val="21"/>
                <w:u w:val="none"/>
              </w:rPr>
              <w:t>TP</w:t>
            </w:r>
          </w:p>
        </w:tc>
        <w:tc>
          <w:tcPr>
            <w:tcW w:w="612" w:type="pct"/>
            <w:vAlign w:val="center"/>
          </w:tcPr>
          <w:p w14:paraId="5EBE8E9A">
            <w:pPr>
              <w:spacing w:line="240" w:lineRule="auto"/>
              <w:ind w:firstLine="0" w:firstLineChars="0"/>
              <w:jc w:val="center"/>
              <w:rPr>
                <w:rFonts w:hint="default" w:ascii="Times New Roman" w:hAnsi="Times New Roman" w:eastAsia="Calibri" w:cs="Times New Roman"/>
                <w:b/>
                <w:bCs/>
                <w:color w:val="auto"/>
                <w:sz w:val="21"/>
                <w:szCs w:val="21"/>
                <w:u w:val="none"/>
              </w:rPr>
            </w:pPr>
            <w:r>
              <w:rPr>
                <w:rFonts w:hint="default" w:ascii="Times New Roman" w:hAnsi="Times New Roman" w:eastAsia="Calibri" w:cs="Times New Roman"/>
                <w:b/>
                <w:bCs/>
                <w:color w:val="auto"/>
                <w:sz w:val="21"/>
                <w:szCs w:val="21"/>
                <w:u w:val="none"/>
              </w:rPr>
              <w:t>粪大肠菌群</w:t>
            </w:r>
          </w:p>
        </w:tc>
      </w:tr>
      <w:tr w14:paraId="3D2AD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0" w:type="pct"/>
            <w:vAlign w:val="center"/>
          </w:tcPr>
          <w:p w14:paraId="5DFFDA4B">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标准限值</w:t>
            </w:r>
          </w:p>
        </w:tc>
        <w:tc>
          <w:tcPr>
            <w:tcW w:w="462" w:type="pct"/>
            <w:vAlign w:val="center"/>
          </w:tcPr>
          <w:p w14:paraId="088FF183">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6～9</w:t>
            </w:r>
          </w:p>
        </w:tc>
        <w:tc>
          <w:tcPr>
            <w:tcW w:w="463" w:type="pct"/>
            <w:vAlign w:val="center"/>
          </w:tcPr>
          <w:p w14:paraId="2E9C6037">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10</w:t>
            </w:r>
          </w:p>
        </w:tc>
        <w:tc>
          <w:tcPr>
            <w:tcW w:w="461" w:type="pct"/>
            <w:vAlign w:val="center"/>
          </w:tcPr>
          <w:p w14:paraId="32E532A7">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50</w:t>
            </w:r>
          </w:p>
        </w:tc>
        <w:tc>
          <w:tcPr>
            <w:tcW w:w="397" w:type="pct"/>
            <w:vAlign w:val="center"/>
          </w:tcPr>
          <w:p w14:paraId="3F318D5B">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10</w:t>
            </w:r>
          </w:p>
        </w:tc>
        <w:tc>
          <w:tcPr>
            <w:tcW w:w="529" w:type="pct"/>
            <w:vAlign w:val="center"/>
          </w:tcPr>
          <w:p w14:paraId="6AD24DE7">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5</w:t>
            </w:r>
          </w:p>
        </w:tc>
        <w:tc>
          <w:tcPr>
            <w:tcW w:w="529" w:type="pct"/>
            <w:vAlign w:val="center"/>
          </w:tcPr>
          <w:p w14:paraId="32AC3D75">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1</w:t>
            </w:r>
          </w:p>
        </w:tc>
        <w:tc>
          <w:tcPr>
            <w:tcW w:w="612" w:type="pct"/>
            <w:vAlign w:val="center"/>
          </w:tcPr>
          <w:p w14:paraId="2DDD2CC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eastAsia="Calibri" w:cs="Times New Roman"/>
                <w:color w:val="auto"/>
                <w:sz w:val="21"/>
                <w:szCs w:val="21"/>
                <w:u w:val="none"/>
              </w:rPr>
              <w:t>≤</w:t>
            </w:r>
            <w:r>
              <w:rPr>
                <w:rFonts w:hint="default" w:ascii="Times New Roman" w:hAnsi="Times New Roman" w:cs="Times New Roman"/>
                <w:color w:val="auto"/>
                <w:sz w:val="21"/>
                <w:szCs w:val="21"/>
                <w:u w:val="none"/>
              </w:rPr>
              <w:t>0.5</w:t>
            </w:r>
          </w:p>
        </w:tc>
        <w:tc>
          <w:tcPr>
            <w:tcW w:w="612" w:type="pct"/>
            <w:vAlign w:val="center"/>
          </w:tcPr>
          <w:p w14:paraId="5FE3547D">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eastAsia="Calibri" w:cs="Times New Roman"/>
                <w:color w:val="auto"/>
                <w:sz w:val="21"/>
                <w:szCs w:val="21"/>
                <w:u w:val="none"/>
              </w:rPr>
              <w:t>1000个/L</w:t>
            </w:r>
          </w:p>
        </w:tc>
      </w:tr>
    </w:tbl>
    <w:p w14:paraId="7E51E0BF">
      <w:pPr>
        <w:pStyle w:val="6"/>
        <w:ind w:firstLine="420"/>
        <w:rPr>
          <w:rFonts w:hint="default" w:ascii="Times New Roman" w:hAnsi="Times New Roman" w:cs="Times New Roman"/>
          <w:color w:val="auto"/>
          <w:u w:val="none"/>
        </w:rPr>
      </w:pPr>
      <w:r>
        <w:rPr>
          <w:rFonts w:hint="default" w:ascii="Times New Roman" w:hAnsi="Times New Roman" w:cs="Times New Roman"/>
          <w:color w:val="auto"/>
          <w:u w:val="none"/>
        </w:rPr>
        <w:t>噪声排放标准</w:t>
      </w:r>
    </w:p>
    <w:p w14:paraId="086D02B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施工期场界环境噪声执行《建筑施工场界环境噪声排放标准》（GB12523-2011）；营运期项目厂界执行《工业企业厂界环境噪声排放标准》（GB12348-2008）中的3类标准。</w:t>
      </w:r>
    </w:p>
    <w:p w14:paraId="6C6B468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表2.3-1</w:t>
      </w:r>
      <w:r>
        <w:rPr>
          <w:rFonts w:hint="eastAsia" w:ascii="Times New Roman" w:hAnsi="Times New Roman" w:cs="Times New Roman"/>
          <w:b/>
          <w:bCs/>
          <w:color w:val="auto"/>
          <w:u w:val="none"/>
          <w:lang w:val="en-US" w:eastAsia="zh-CN"/>
        </w:rPr>
        <w:t xml:space="preserve">3  </w:t>
      </w:r>
      <w:r>
        <w:rPr>
          <w:rFonts w:hint="default" w:ascii="Times New Roman" w:hAnsi="Times New Roman" w:cs="Times New Roman"/>
          <w:b/>
          <w:bCs/>
          <w:color w:val="auto"/>
          <w:u w:val="none"/>
        </w:rPr>
        <w:t>建筑施工场界环境噪声排放限值   单位：dB（A）</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945"/>
        <w:gridCol w:w="4907"/>
      </w:tblGrid>
      <w:tr w14:paraId="1F514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9" w:type="pct"/>
            <w:vAlign w:val="center"/>
          </w:tcPr>
          <w:p w14:paraId="070A3D13">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昼间</w:t>
            </w:r>
          </w:p>
        </w:tc>
        <w:tc>
          <w:tcPr>
            <w:tcW w:w="2490" w:type="pct"/>
            <w:vAlign w:val="center"/>
          </w:tcPr>
          <w:p w14:paraId="309FBC8D">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夜间</w:t>
            </w:r>
          </w:p>
        </w:tc>
      </w:tr>
      <w:tr w14:paraId="6331C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09" w:type="pct"/>
            <w:vAlign w:val="center"/>
          </w:tcPr>
          <w:p w14:paraId="21B66BA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70</w:t>
            </w:r>
          </w:p>
        </w:tc>
        <w:tc>
          <w:tcPr>
            <w:tcW w:w="2490" w:type="pct"/>
            <w:vAlign w:val="center"/>
          </w:tcPr>
          <w:p w14:paraId="0E08078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55</w:t>
            </w:r>
          </w:p>
        </w:tc>
      </w:tr>
    </w:tbl>
    <w:p w14:paraId="4BE81AAE">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表2.3-1</w:t>
      </w:r>
      <w:r>
        <w:rPr>
          <w:rFonts w:hint="eastAsia" w:ascii="Times New Roman" w:hAnsi="Times New Roman" w:cs="Times New Roman"/>
          <w:b/>
          <w:bCs/>
          <w:color w:val="auto"/>
          <w:u w:val="none"/>
          <w:lang w:val="en-US" w:eastAsia="zh-CN"/>
        </w:rPr>
        <w:t xml:space="preserve">4  </w:t>
      </w:r>
      <w:r>
        <w:rPr>
          <w:rFonts w:hint="default" w:ascii="Times New Roman" w:hAnsi="Times New Roman" w:cs="Times New Roman"/>
          <w:b/>
          <w:bCs/>
          <w:color w:val="auto"/>
          <w:u w:val="none"/>
        </w:rPr>
        <w:t>工业企业厂界环境噪声排放标准  单位：dB（A）</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53"/>
        <w:gridCol w:w="3651"/>
        <w:gridCol w:w="1616"/>
        <w:gridCol w:w="1532"/>
      </w:tblGrid>
      <w:tr w14:paraId="4139A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9" w:type="pct"/>
            <w:vMerge w:val="restart"/>
            <w:vAlign w:val="center"/>
          </w:tcPr>
          <w:p w14:paraId="52861BDA">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厂界外声环境功能区类别</w:t>
            </w:r>
          </w:p>
        </w:tc>
        <w:tc>
          <w:tcPr>
            <w:tcW w:w="1852" w:type="pct"/>
            <w:vMerge w:val="restart"/>
            <w:vAlign w:val="center"/>
          </w:tcPr>
          <w:p w14:paraId="71F89914">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执行标准和级别</w:t>
            </w:r>
          </w:p>
        </w:tc>
        <w:tc>
          <w:tcPr>
            <w:tcW w:w="1597" w:type="pct"/>
            <w:gridSpan w:val="2"/>
            <w:vAlign w:val="center"/>
          </w:tcPr>
          <w:p w14:paraId="1E6BA1BC">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标准值dB（A）</w:t>
            </w:r>
          </w:p>
        </w:tc>
      </w:tr>
      <w:tr w14:paraId="29BD9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9" w:type="pct"/>
            <w:vMerge w:val="continue"/>
            <w:vAlign w:val="center"/>
          </w:tcPr>
          <w:p w14:paraId="38CF140B">
            <w:pPr>
              <w:pStyle w:val="41"/>
              <w:rPr>
                <w:rFonts w:hint="default" w:ascii="Times New Roman" w:hAnsi="Times New Roman" w:cs="Times New Roman"/>
                <w:b/>
                <w:bCs/>
                <w:color w:val="auto"/>
                <w:kern w:val="2"/>
                <w:szCs w:val="24"/>
                <w:u w:val="none"/>
              </w:rPr>
            </w:pPr>
          </w:p>
        </w:tc>
        <w:tc>
          <w:tcPr>
            <w:tcW w:w="1852" w:type="pct"/>
            <w:vMerge w:val="continue"/>
            <w:vAlign w:val="center"/>
          </w:tcPr>
          <w:p w14:paraId="6AF20AAA">
            <w:pPr>
              <w:pStyle w:val="41"/>
              <w:rPr>
                <w:rFonts w:hint="default" w:ascii="Times New Roman" w:hAnsi="Times New Roman" w:cs="Times New Roman"/>
                <w:b/>
                <w:bCs/>
                <w:color w:val="auto"/>
                <w:kern w:val="2"/>
                <w:szCs w:val="24"/>
                <w:u w:val="none"/>
              </w:rPr>
            </w:pPr>
          </w:p>
        </w:tc>
        <w:tc>
          <w:tcPr>
            <w:tcW w:w="820" w:type="pct"/>
            <w:vAlign w:val="center"/>
          </w:tcPr>
          <w:p w14:paraId="2746CDA1">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昼间</w:t>
            </w:r>
          </w:p>
        </w:tc>
        <w:tc>
          <w:tcPr>
            <w:tcW w:w="777" w:type="pct"/>
            <w:vAlign w:val="center"/>
          </w:tcPr>
          <w:p w14:paraId="07474AA8">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夜间</w:t>
            </w:r>
          </w:p>
        </w:tc>
      </w:tr>
      <w:tr w14:paraId="1F862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9" w:type="pct"/>
            <w:vAlign w:val="center"/>
          </w:tcPr>
          <w:p w14:paraId="2DE5FF3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3类</w:t>
            </w:r>
          </w:p>
        </w:tc>
        <w:tc>
          <w:tcPr>
            <w:tcW w:w="1852" w:type="pct"/>
            <w:vAlign w:val="center"/>
          </w:tcPr>
          <w:p w14:paraId="6AB32AD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GB12348-2008中3类标准</w:t>
            </w:r>
          </w:p>
        </w:tc>
        <w:tc>
          <w:tcPr>
            <w:tcW w:w="820" w:type="pct"/>
            <w:vAlign w:val="center"/>
          </w:tcPr>
          <w:p w14:paraId="5732E4A2">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65</w:t>
            </w:r>
          </w:p>
        </w:tc>
        <w:tc>
          <w:tcPr>
            <w:tcW w:w="777" w:type="pct"/>
            <w:vAlign w:val="center"/>
          </w:tcPr>
          <w:p w14:paraId="27A7F040">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55</w:t>
            </w:r>
          </w:p>
        </w:tc>
      </w:tr>
    </w:tbl>
    <w:p w14:paraId="7B22C62C">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固体废弃物</w:t>
      </w:r>
    </w:p>
    <w:p w14:paraId="34B72EE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一般工业固废执行《一般工业固体废物贮存和填埋污染控制标准》（GB 18599-2020）；</w:t>
      </w:r>
    </w:p>
    <w:p w14:paraId="3407F8CD">
      <w:pPr>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危险废物执行《危险废物贮存污染控制标准》（GB18597-20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w:t>
      </w:r>
      <w:r>
        <w:rPr>
          <w:rFonts w:hint="eastAsia" w:ascii="Times New Roman" w:hAnsi="Times New Roman" w:cs="Times New Roman"/>
          <w:color w:val="auto"/>
          <w:u w:val="none"/>
          <w:lang w:eastAsia="zh-CN"/>
        </w:rPr>
        <w:t>。</w:t>
      </w:r>
    </w:p>
    <w:p w14:paraId="0A006634">
      <w:pPr>
        <w:pStyle w:val="4"/>
        <w:ind w:left="0" w:leftChars="0" w:firstLineChars="0"/>
        <w:rPr>
          <w:rFonts w:hint="default" w:ascii="Times New Roman" w:hAnsi="Times New Roman" w:cs="Times New Roman"/>
          <w:color w:val="auto"/>
          <w:u w:val="none"/>
        </w:rPr>
      </w:pPr>
      <w:bookmarkStart w:id="35" w:name="_Toc8205"/>
      <w:r>
        <w:rPr>
          <w:rFonts w:hint="default" w:ascii="Times New Roman" w:hAnsi="Times New Roman" w:cs="Times New Roman"/>
          <w:color w:val="auto"/>
          <w:u w:val="none"/>
        </w:rPr>
        <w:t>评价工作等级及评价范围</w:t>
      </w:r>
      <w:bookmarkEnd w:id="35"/>
    </w:p>
    <w:p w14:paraId="3F84819C">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环境空气</w:t>
      </w:r>
    </w:p>
    <w:p w14:paraId="30C53044">
      <w:pPr>
        <w:ind w:firstLine="480"/>
        <w:rPr>
          <w:rFonts w:hint="default" w:ascii="Times New Roman" w:hAnsi="Times New Roman" w:cs="Times New Roman"/>
          <w:color w:val="auto"/>
          <w:u w:val="none"/>
        </w:rPr>
      </w:pPr>
      <w:bookmarkStart w:id="36" w:name="_Toc30401"/>
      <w:r>
        <w:rPr>
          <w:rFonts w:hint="default" w:ascii="Times New Roman" w:hAnsi="Times New Roman" w:cs="Times New Roman"/>
          <w:color w:val="auto"/>
          <w:u w:val="none"/>
        </w:rPr>
        <w:t>1、评价等级</w:t>
      </w:r>
    </w:p>
    <w:p w14:paraId="6EBB3F81">
      <w:pPr>
        <w:autoSpaceDE w:val="0"/>
        <w:autoSpaceDN w:val="0"/>
        <w:adjustRightInd w:val="0"/>
        <w:snapToGrid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按照《环境影响评价技术导则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计算各污染物的最大地面浓度占标率Pi，及地面浓度达标准限值10%时所对应的最远距离D</w:t>
      </w:r>
      <w:r>
        <w:rPr>
          <w:rFonts w:hint="default" w:ascii="Times New Roman" w:hAnsi="Times New Roman" w:cs="Times New Roman"/>
          <w:color w:val="auto"/>
          <w:kern w:val="0"/>
          <w:u w:val="none"/>
          <w:vertAlign w:val="subscript"/>
        </w:rPr>
        <w:t>10%</w:t>
      </w:r>
      <w:r>
        <w:rPr>
          <w:rFonts w:hint="default" w:ascii="Times New Roman" w:hAnsi="Times New Roman" w:cs="Times New Roman"/>
          <w:color w:val="auto"/>
          <w:kern w:val="0"/>
          <w:u w:val="none"/>
        </w:rPr>
        <w:t>：</w:t>
      </w:r>
    </w:p>
    <w:p w14:paraId="64BA8C9C">
      <w:pPr>
        <w:ind w:firstLine="480"/>
        <w:jc w:val="center"/>
        <w:rPr>
          <w:rFonts w:hint="default" w:ascii="Times New Roman" w:hAnsi="Times New Roman" w:cs="Times New Roman"/>
          <w:color w:val="auto"/>
          <w:u w:val="none"/>
        </w:rPr>
      </w:pPr>
      <w:r>
        <w:rPr>
          <w:rFonts w:hint="default" w:ascii="Times New Roman" w:hAnsi="Times New Roman" w:cs="Times New Roman"/>
          <w:color w:val="auto"/>
          <w:position w:val="-30"/>
          <w:u w:val="none"/>
        </w:rPr>
        <w:object>
          <v:shape id="_x0000_i1025" o:spt="75" type="#_x0000_t75" style="height:33.8pt;width:77pt;" o:ole="t" filled="f" o:preferrelative="t" stroked="f" coordsize="21600,21600">
            <v:path/>
            <v:fill on="f" focussize="0,0"/>
            <v:stroke on="f" joinstyle="miter"/>
            <v:imagedata r:id="rId13" o:title=""/>
            <o:lock v:ext="edit" aspectratio="t"/>
            <w10:wrap type="none"/>
            <w10:anchorlock/>
          </v:shape>
          <o:OLEObject Type="Embed" ProgID="Equation.DSMT4" ShapeID="_x0000_i1025" DrawAspect="Content" ObjectID="_1468075725" r:id="rId12">
            <o:LockedField>false</o:LockedField>
          </o:OLEObject>
        </w:object>
      </w:r>
      <w:r>
        <w:rPr>
          <w:rFonts w:hint="default" w:ascii="Times New Roman" w:hAnsi="Times New Roman" w:cs="Times New Roman"/>
          <w:color w:val="auto"/>
          <w:u w:val="none"/>
        </w:rPr>
        <w:t>式中，</w:t>
      </w:r>
      <w:r>
        <w:rPr>
          <w:rFonts w:hint="default" w:ascii="Times New Roman" w:hAnsi="Times New Roman" w:cs="Times New Roman"/>
          <w:color w:val="auto"/>
          <w:position w:val="-12"/>
          <w:u w:val="none"/>
        </w:rPr>
        <w:object>
          <v:shape id="_x0000_i1026" o:spt="75" type="#_x0000_t75" style="height:18.15pt;width:11.9pt;" o:ole="t" filled="f" o:preferrelative="t" stroked="f" coordsize="21600,21600">
            <v:path/>
            <v:fill on="f" focussize="0,0"/>
            <v:stroke on="f" joinstyle="miter"/>
            <v:imagedata r:id="rId15" o:title=""/>
            <o:lock v:ext="edit" aspectratio="t"/>
            <w10:wrap type="none"/>
            <w10:anchorlock/>
          </v:shape>
          <o:OLEObject Type="Embed" ProgID="Equation.DSMT4" ShapeID="_x0000_i1026" DrawAspect="Content" ObjectID="_1468075726" r:id="rId14">
            <o:LockedField>false</o:LockedField>
          </o:OLEObject>
        </w:object>
      </w:r>
      <w:r>
        <w:rPr>
          <w:rFonts w:hint="default" w:ascii="Times New Roman" w:hAnsi="Times New Roman" w:cs="Times New Roman"/>
          <w:color w:val="auto"/>
          <w:u w:val="none"/>
        </w:rPr>
        <w:t>——第i个污染物的最大地面浓度占标率，%；</w:t>
      </w:r>
    </w:p>
    <w:p w14:paraId="6F08C636">
      <w:pPr>
        <w:ind w:firstLine="720" w:firstLineChars="300"/>
        <w:rPr>
          <w:rFonts w:hint="default" w:ascii="Times New Roman" w:hAnsi="Times New Roman" w:cs="Times New Roman"/>
          <w:color w:val="auto"/>
          <w:u w:val="none"/>
        </w:rPr>
      </w:pPr>
      <w:r>
        <w:rPr>
          <w:rFonts w:hint="default" w:ascii="Times New Roman" w:hAnsi="Times New Roman" w:cs="Times New Roman"/>
          <w:color w:val="auto"/>
          <w:position w:val="-12"/>
          <w:u w:val="none"/>
        </w:rPr>
        <w:object>
          <v:shape id="_x0000_i1027" o:spt="75" type="#_x0000_t75" style="height:18.15pt;width:13.75pt;" o:ole="t" filled="f" o:preferrelative="t" stroked="f" coordsize="21600,21600">
            <v:path/>
            <v:fill on="f" focussize="0,0"/>
            <v:stroke on="f" joinstyle="miter"/>
            <v:imagedata r:id="rId17" o:title=""/>
            <o:lock v:ext="edit" aspectratio="t"/>
            <w10:wrap type="none"/>
            <w10:anchorlock/>
          </v:shape>
          <o:OLEObject Type="Embed" ProgID="Equation.DSMT4" ShapeID="_x0000_i1027" DrawAspect="Content" ObjectID="_1468075727" r:id="rId16">
            <o:LockedField>false</o:LockedField>
          </o:OLEObject>
        </w:object>
      </w:r>
      <w:r>
        <w:rPr>
          <w:rFonts w:hint="default" w:ascii="Times New Roman" w:hAnsi="Times New Roman" w:cs="Times New Roman"/>
          <w:color w:val="auto"/>
          <w:u w:val="none"/>
        </w:rPr>
        <w:t>——采用估算模式计算出的第i个污染物的最大地面浓度，ug/m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p w14:paraId="351BD87A">
      <w:pPr>
        <w:ind w:firstLine="720" w:firstLineChars="300"/>
        <w:rPr>
          <w:rFonts w:hint="default" w:ascii="Times New Roman" w:hAnsi="Times New Roman" w:cs="Times New Roman"/>
          <w:color w:val="auto"/>
          <w:u w:val="none"/>
        </w:rPr>
      </w:pPr>
      <w:r>
        <w:rPr>
          <w:rFonts w:hint="default" w:ascii="Times New Roman" w:hAnsi="Times New Roman" w:cs="Times New Roman"/>
          <w:color w:val="auto"/>
          <w:position w:val="-12"/>
          <w:u w:val="none"/>
        </w:rPr>
        <w:object>
          <v:shape id="_x0000_i1028" o:spt="75" type="#_x0000_t75" style="height:18.15pt;width:16.9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18">
            <o:LockedField>false</o:LockedField>
          </o:OLEObject>
        </w:object>
      </w:r>
      <w:r>
        <w:rPr>
          <w:rFonts w:hint="default" w:ascii="Times New Roman" w:hAnsi="Times New Roman" w:cs="Times New Roman"/>
          <w:color w:val="auto"/>
          <w:u w:val="none"/>
        </w:rPr>
        <w:t>——第i个污染物的环境空气质量标准，ug/m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p w14:paraId="2DE8C4F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C</w:t>
      </w:r>
      <w:r>
        <w:rPr>
          <w:rFonts w:hint="default" w:ascii="Times New Roman" w:hAnsi="Times New Roman" w:cs="Times New Roman"/>
          <w:color w:val="auto"/>
          <w:u w:val="none"/>
          <w:vertAlign w:val="subscript"/>
        </w:rPr>
        <w:t>0i</w:t>
      </w:r>
      <w:r>
        <w:rPr>
          <w:rFonts w:hint="default" w:ascii="Times New Roman" w:hAnsi="Times New Roman" w:cs="Times New Roman"/>
          <w:color w:val="auto"/>
          <w:u w:val="none"/>
        </w:rPr>
        <w:t>一般选用GB3095中1h平均质量浓度的二级浓度限值，对该标准中未包含的污染物，可参照《环境影响评价技术导则大气环境》（HJ2.2-2018）附录D中的浓度限值；GB 3095和附录D中都未包含的污染物，可参照选用其他国家、国际组织发布的环境质量浓度限值或基准值，但应作出说明，经生态环境主管部门同意后执行。</w:t>
      </w:r>
    </w:p>
    <w:p w14:paraId="457CDC9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对仅有8 h平均质量浓度限值、日平均质量浓度限值或年平均质量浓度限值的，可分别按2倍、3倍、6倍折算为1h平均质量浓度限值。评价工作等级按下表的分级判据进行划分。若污染物数i大于1，取P值中最大者（P</w:t>
      </w:r>
      <w:r>
        <w:rPr>
          <w:rFonts w:hint="default" w:ascii="Times New Roman" w:hAnsi="Times New Roman" w:cs="Times New Roman"/>
          <w:color w:val="auto"/>
          <w:u w:val="none"/>
          <w:vertAlign w:val="subscript"/>
        </w:rPr>
        <w:t>max</w:t>
      </w:r>
      <w:r>
        <w:rPr>
          <w:rFonts w:hint="default" w:ascii="Times New Roman" w:hAnsi="Times New Roman" w:cs="Times New Roman"/>
          <w:color w:val="auto"/>
          <w:u w:val="none"/>
        </w:rPr>
        <w:t>）和其对应的D</w:t>
      </w:r>
      <w:r>
        <w:rPr>
          <w:rFonts w:hint="default" w:ascii="Times New Roman" w:hAnsi="Times New Roman" w:cs="Times New Roman"/>
          <w:color w:val="auto"/>
          <w:u w:val="none"/>
          <w:vertAlign w:val="subscript"/>
        </w:rPr>
        <w:t>10%</w:t>
      </w:r>
      <w:r>
        <w:rPr>
          <w:rFonts w:hint="default" w:ascii="Times New Roman" w:hAnsi="Times New Roman" w:cs="Times New Roman"/>
          <w:color w:val="auto"/>
          <w:u w:val="none"/>
        </w:rPr>
        <w:t>。</w:t>
      </w:r>
    </w:p>
    <w:p w14:paraId="2AE0CB1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表2.4-1  评价工作等级</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82"/>
        <w:gridCol w:w="7170"/>
      </w:tblGrid>
      <w:tr w14:paraId="095838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Align w:val="center"/>
          </w:tcPr>
          <w:p w14:paraId="1F5AA855">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评价工作等级</w:t>
            </w:r>
          </w:p>
        </w:tc>
        <w:tc>
          <w:tcPr>
            <w:tcW w:w="3638" w:type="pct"/>
            <w:vAlign w:val="center"/>
          </w:tcPr>
          <w:p w14:paraId="2EF782BC">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评价工作分级判据</w:t>
            </w:r>
          </w:p>
        </w:tc>
      </w:tr>
      <w:tr w14:paraId="55017B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Align w:val="center"/>
          </w:tcPr>
          <w:p w14:paraId="37EC44D1">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一级</w:t>
            </w:r>
          </w:p>
        </w:tc>
        <w:tc>
          <w:tcPr>
            <w:tcW w:w="3638" w:type="pct"/>
            <w:vAlign w:val="center"/>
          </w:tcPr>
          <w:p w14:paraId="3C47CB67">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Pmax≧10%</w:t>
            </w:r>
          </w:p>
        </w:tc>
      </w:tr>
      <w:tr w14:paraId="257AF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Align w:val="center"/>
          </w:tcPr>
          <w:p w14:paraId="61F40BA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二级</w:t>
            </w:r>
          </w:p>
        </w:tc>
        <w:tc>
          <w:tcPr>
            <w:tcW w:w="3638" w:type="pct"/>
            <w:vAlign w:val="center"/>
          </w:tcPr>
          <w:p w14:paraId="682F3D01">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1%≦Pmax&lt;10%</w:t>
            </w:r>
          </w:p>
        </w:tc>
      </w:tr>
      <w:tr w14:paraId="29FCCC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Align w:val="center"/>
          </w:tcPr>
          <w:p w14:paraId="36399EE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三级</w:t>
            </w:r>
          </w:p>
        </w:tc>
        <w:tc>
          <w:tcPr>
            <w:tcW w:w="3638" w:type="pct"/>
            <w:vAlign w:val="center"/>
          </w:tcPr>
          <w:p w14:paraId="374ED54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Pmax&lt;1%</w:t>
            </w:r>
          </w:p>
        </w:tc>
      </w:tr>
    </w:tbl>
    <w:p w14:paraId="462A3F7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本工程运营期废气中主要污染物为硫酸雾、氮氧化物，环评选硫酸雾、氮氧化物</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铬酸雾</w:t>
      </w:r>
      <w:r>
        <w:rPr>
          <w:rFonts w:hint="default" w:ascii="Times New Roman" w:hAnsi="Times New Roman" w:cs="Times New Roman"/>
          <w:color w:val="auto"/>
          <w:u w:val="none"/>
        </w:rPr>
        <w:t>作为预测因子，根据6.2.1章节预测结果可知，预测及评价工作定级详见表2.4-2。</w:t>
      </w:r>
    </w:p>
    <w:p w14:paraId="5D9F2C0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表2.4-2  各污染物预测及评价工作定级表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261"/>
        <w:gridCol w:w="1336"/>
        <w:gridCol w:w="2169"/>
        <w:gridCol w:w="2169"/>
        <w:gridCol w:w="2040"/>
      </w:tblGrid>
      <w:tr w14:paraId="7ABC9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8" w:type="dxa"/>
            <w:tcBorders>
              <w:tl2br w:val="nil"/>
              <w:tr2bl w:val="nil"/>
            </w:tcBorders>
            <w:vAlign w:val="center"/>
          </w:tcPr>
          <w:p w14:paraId="4B50A0AC">
            <w:pPr>
              <w:pStyle w:val="41"/>
              <w:rPr>
                <w:rFonts w:hint="default" w:ascii="Times New Roman" w:hAnsi="Times New Roman" w:cs="Times New Roman"/>
                <w:color w:val="auto"/>
                <w:u w:val="none"/>
              </w:rPr>
            </w:pPr>
            <w:r>
              <w:rPr>
                <w:rFonts w:hint="default" w:ascii="Times New Roman" w:hAnsi="Times New Roman" w:cs="Times New Roman"/>
                <w:color w:val="auto"/>
                <w:u w:val="none"/>
              </w:rPr>
              <w:t>类别</w:t>
            </w:r>
          </w:p>
        </w:tc>
        <w:tc>
          <w:tcPr>
            <w:tcW w:w="1090" w:type="dxa"/>
            <w:tcBorders>
              <w:tl2br w:val="nil"/>
              <w:tr2bl w:val="nil"/>
            </w:tcBorders>
            <w:vAlign w:val="center"/>
          </w:tcPr>
          <w:p w14:paraId="47011970">
            <w:pPr>
              <w:pStyle w:val="41"/>
              <w:rPr>
                <w:rFonts w:hint="default" w:ascii="Times New Roman" w:hAnsi="Times New Roman" w:cs="Times New Roman"/>
                <w:color w:val="auto"/>
                <w:u w:val="none"/>
              </w:rPr>
            </w:pPr>
            <w:r>
              <w:rPr>
                <w:rFonts w:hint="default" w:ascii="Times New Roman" w:hAnsi="Times New Roman" w:cs="Times New Roman"/>
                <w:color w:val="auto"/>
                <w:u w:val="none"/>
              </w:rPr>
              <w:t>污染源</w:t>
            </w:r>
          </w:p>
        </w:tc>
        <w:tc>
          <w:tcPr>
            <w:tcW w:w="1155" w:type="dxa"/>
            <w:tcBorders>
              <w:tl2br w:val="nil"/>
              <w:tr2bl w:val="nil"/>
            </w:tcBorders>
            <w:vAlign w:val="center"/>
          </w:tcPr>
          <w:p w14:paraId="0989AD48">
            <w:pPr>
              <w:pStyle w:val="41"/>
              <w:rPr>
                <w:rFonts w:hint="default" w:ascii="Times New Roman" w:hAnsi="Times New Roman" w:cs="Times New Roman"/>
                <w:color w:val="auto"/>
                <w:u w:val="none"/>
              </w:rPr>
            </w:pPr>
            <w:r>
              <w:rPr>
                <w:rFonts w:hint="default" w:ascii="Times New Roman" w:hAnsi="Times New Roman" w:cs="Times New Roman"/>
                <w:color w:val="auto"/>
                <w:u w:val="none"/>
              </w:rPr>
              <w:t>污染物</w:t>
            </w:r>
          </w:p>
        </w:tc>
        <w:tc>
          <w:tcPr>
            <w:tcW w:w="1876" w:type="dxa"/>
            <w:tcBorders>
              <w:tl2br w:val="nil"/>
              <w:tr2bl w:val="nil"/>
            </w:tcBorders>
            <w:vAlign w:val="center"/>
          </w:tcPr>
          <w:p w14:paraId="7810C703">
            <w:pPr>
              <w:pStyle w:val="41"/>
              <w:rPr>
                <w:rFonts w:hint="default" w:ascii="Times New Roman" w:hAnsi="Times New Roman" w:cs="Times New Roman"/>
                <w:color w:val="auto"/>
                <w:u w:val="none"/>
              </w:rPr>
            </w:pPr>
            <w:r>
              <w:rPr>
                <w:rFonts w:hint="default" w:ascii="Times New Roman" w:hAnsi="Times New Roman" w:cs="Times New Roman"/>
                <w:color w:val="auto"/>
                <w:u w:val="none"/>
              </w:rPr>
              <w:t>下风向最大落地浓度(μg/m³)</w:t>
            </w:r>
          </w:p>
        </w:tc>
        <w:tc>
          <w:tcPr>
            <w:tcW w:w="1876" w:type="dxa"/>
            <w:tcBorders>
              <w:tl2br w:val="nil"/>
              <w:tr2bl w:val="nil"/>
            </w:tcBorders>
            <w:vAlign w:val="center"/>
          </w:tcPr>
          <w:p w14:paraId="358A1C1E">
            <w:pPr>
              <w:pStyle w:val="41"/>
              <w:rPr>
                <w:rFonts w:hint="default" w:ascii="Times New Roman" w:hAnsi="Times New Roman" w:cs="Times New Roman"/>
                <w:color w:val="auto"/>
                <w:u w:val="none"/>
              </w:rPr>
            </w:pPr>
            <w:r>
              <w:rPr>
                <w:rFonts w:hint="default" w:ascii="Times New Roman" w:hAnsi="Times New Roman" w:cs="Times New Roman"/>
                <w:color w:val="auto"/>
                <w:u w:val="none"/>
              </w:rPr>
              <w:t>最大落地浓度占标率Pmax（%）</w:t>
            </w:r>
          </w:p>
        </w:tc>
        <w:tc>
          <w:tcPr>
            <w:tcW w:w="1765" w:type="dxa"/>
            <w:tcBorders>
              <w:tl2br w:val="nil"/>
              <w:tr2bl w:val="nil"/>
            </w:tcBorders>
            <w:vAlign w:val="center"/>
          </w:tcPr>
          <w:p w14:paraId="761F0230">
            <w:pPr>
              <w:pStyle w:val="41"/>
              <w:rPr>
                <w:rFonts w:hint="default" w:ascii="Times New Roman" w:hAnsi="Times New Roman" w:cs="Times New Roman"/>
                <w:color w:val="auto"/>
                <w:u w:val="none"/>
              </w:rPr>
            </w:pPr>
            <w:r>
              <w:rPr>
                <w:rFonts w:hint="default" w:ascii="Times New Roman" w:hAnsi="Times New Roman" w:cs="Times New Roman"/>
                <w:color w:val="auto"/>
                <w:u w:val="none"/>
              </w:rPr>
              <w:t>下风向最大浓度出现距离m</w:t>
            </w:r>
          </w:p>
        </w:tc>
      </w:tr>
      <w:tr w14:paraId="72BCCD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restart"/>
            <w:tcBorders>
              <w:tl2br w:val="nil"/>
              <w:tr2bl w:val="nil"/>
            </w:tcBorders>
            <w:vAlign w:val="center"/>
          </w:tcPr>
          <w:p w14:paraId="7BCA5C6E">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有组织</w:t>
            </w:r>
          </w:p>
        </w:tc>
        <w:tc>
          <w:tcPr>
            <w:tcW w:w="1090" w:type="dxa"/>
            <w:vMerge w:val="restart"/>
            <w:tcBorders>
              <w:tl2br w:val="nil"/>
              <w:tr2bl w:val="nil"/>
            </w:tcBorders>
            <w:vAlign w:val="center"/>
          </w:tcPr>
          <w:p w14:paraId="7A3306D5">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1155" w:type="dxa"/>
            <w:tcBorders>
              <w:tl2br w:val="nil"/>
              <w:tr2bl w:val="nil"/>
            </w:tcBorders>
            <w:vAlign w:val="center"/>
          </w:tcPr>
          <w:p w14:paraId="057A4805">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w:t>
            </w:r>
            <w:r>
              <w:rPr>
                <w:rFonts w:hint="eastAsia" w:cs="Times New Roman"/>
                <w:color w:val="auto"/>
                <w:u w:val="none"/>
                <w:lang w:val="en-US" w:eastAsia="zh-CN"/>
              </w:rPr>
              <w:t>雾</w:t>
            </w:r>
          </w:p>
        </w:tc>
        <w:tc>
          <w:tcPr>
            <w:tcW w:w="1876" w:type="dxa"/>
            <w:tcBorders>
              <w:tl2br w:val="nil"/>
              <w:tr2bl w:val="nil"/>
            </w:tcBorders>
            <w:vAlign w:val="center"/>
          </w:tcPr>
          <w:p w14:paraId="60F8E80A">
            <w:pPr>
              <w:pStyle w:val="41"/>
              <w:widowControl w:val="0"/>
              <w:rPr>
                <w:rFonts w:hint="default" w:cs="Times New Roman"/>
                <w:color w:val="auto"/>
                <w:u w:val="none"/>
                <w:lang w:val="en-US" w:eastAsia="zh-CN"/>
              </w:rPr>
            </w:pPr>
            <w:r>
              <w:rPr>
                <w:rFonts w:hint="eastAsia" w:cs="Times New Roman"/>
                <w:color w:val="auto"/>
                <w:u w:val="none"/>
                <w:lang w:val="en-US" w:eastAsia="zh-CN"/>
              </w:rPr>
              <w:t>3.702</w:t>
            </w:r>
          </w:p>
        </w:tc>
        <w:tc>
          <w:tcPr>
            <w:tcW w:w="1876" w:type="dxa"/>
            <w:tcBorders>
              <w:tl2br w:val="nil"/>
              <w:tr2bl w:val="nil"/>
            </w:tcBorders>
            <w:vAlign w:val="center"/>
          </w:tcPr>
          <w:p w14:paraId="6A2B5D43">
            <w:pPr>
              <w:pStyle w:val="41"/>
              <w:widowControl w:val="0"/>
              <w:rPr>
                <w:rFonts w:hint="default" w:cs="Times New Roman"/>
                <w:color w:val="auto"/>
                <w:u w:val="none"/>
                <w:lang w:val="en-US" w:eastAsia="zh-CN"/>
              </w:rPr>
            </w:pPr>
            <w:r>
              <w:rPr>
                <w:rFonts w:hint="eastAsia" w:cs="Times New Roman"/>
                <w:color w:val="auto"/>
                <w:u w:val="none"/>
                <w:lang w:val="en-US" w:eastAsia="zh-CN"/>
              </w:rPr>
              <w:t>1.234</w:t>
            </w:r>
          </w:p>
        </w:tc>
        <w:tc>
          <w:tcPr>
            <w:tcW w:w="1765" w:type="dxa"/>
            <w:tcBorders>
              <w:tl2br w:val="nil"/>
              <w:tr2bl w:val="nil"/>
            </w:tcBorders>
            <w:vAlign w:val="center"/>
          </w:tcPr>
          <w:p w14:paraId="46BC7F1D">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255</w:t>
            </w:r>
          </w:p>
        </w:tc>
      </w:tr>
      <w:tr w14:paraId="3BA16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54400708">
            <w:pPr>
              <w:pStyle w:val="41"/>
              <w:rPr>
                <w:rFonts w:hint="eastAsia" w:cs="Times New Roman"/>
                <w:color w:val="auto"/>
                <w:u w:val="none"/>
                <w:lang w:val="en-US" w:eastAsia="zh-CN"/>
              </w:rPr>
            </w:pPr>
          </w:p>
        </w:tc>
        <w:tc>
          <w:tcPr>
            <w:tcW w:w="1090" w:type="dxa"/>
            <w:vMerge w:val="continue"/>
            <w:tcBorders>
              <w:tl2br w:val="nil"/>
              <w:tr2bl w:val="nil"/>
            </w:tcBorders>
            <w:vAlign w:val="center"/>
          </w:tcPr>
          <w:p w14:paraId="6B30F550">
            <w:pPr>
              <w:pStyle w:val="41"/>
              <w:rPr>
                <w:rFonts w:hint="default" w:ascii="Times New Roman" w:hAnsi="Times New Roman" w:cs="Times New Roman"/>
                <w:color w:val="auto"/>
                <w:u w:val="none"/>
              </w:rPr>
            </w:pPr>
          </w:p>
        </w:tc>
        <w:tc>
          <w:tcPr>
            <w:tcW w:w="1155" w:type="dxa"/>
            <w:tcBorders>
              <w:tl2br w:val="nil"/>
              <w:tr2bl w:val="nil"/>
            </w:tcBorders>
            <w:vAlign w:val="center"/>
          </w:tcPr>
          <w:p w14:paraId="5C2D14F1">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NOx</w:t>
            </w:r>
          </w:p>
        </w:tc>
        <w:tc>
          <w:tcPr>
            <w:tcW w:w="1876" w:type="dxa"/>
            <w:tcBorders>
              <w:tl2br w:val="nil"/>
              <w:tr2bl w:val="nil"/>
            </w:tcBorders>
            <w:vAlign w:val="center"/>
          </w:tcPr>
          <w:p w14:paraId="70742567">
            <w:pPr>
              <w:pStyle w:val="41"/>
              <w:widowControl w:val="0"/>
              <w:rPr>
                <w:rFonts w:hint="eastAsia" w:cs="Times New Roman"/>
                <w:color w:val="auto"/>
                <w:u w:val="none"/>
                <w:lang w:val="en-US" w:eastAsia="zh-CN"/>
              </w:rPr>
            </w:pPr>
            <w:r>
              <w:rPr>
                <w:rFonts w:hint="eastAsia" w:cs="Times New Roman"/>
                <w:color w:val="auto"/>
                <w:u w:val="none"/>
                <w:lang w:val="en-US" w:eastAsia="zh-CN"/>
              </w:rPr>
              <w:t>2.380</w:t>
            </w:r>
          </w:p>
        </w:tc>
        <w:tc>
          <w:tcPr>
            <w:tcW w:w="1876" w:type="dxa"/>
            <w:tcBorders>
              <w:tl2br w:val="nil"/>
              <w:tr2bl w:val="nil"/>
            </w:tcBorders>
            <w:vAlign w:val="center"/>
          </w:tcPr>
          <w:p w14:paraId="3EE4F5D6">
            <w:pPr>
              <w:pStyle w:val="41"/>
              <w:widowControl w:val="0"/>
              <w:rPr>
                <w:rFonts w:hint="eastAsia" w:cs="Times New Roman"/>
                <w:color w:val="auto"/>
                <w:u w:val="none"/>
                <w:lang w:val="en-US" w:eastAsia="zh-CN"/>
              </w:rPr>
            </w:pPr>
            <w:r>
              <w:rPr>
                <w:rFonts w:hint="eastAsia" w:cs="Times New Roman"/>
                <w:color w:val="auto"/>
                <w:u w:val="none"/>
                <w:lang w:val="en-US" w:eastAsia="zh-CN"/>
              </w:rPr>
              <w:t>0.952</w:t>
            </w:r>
          </w:p>
        </w:tc>
        <w:tc>
          <w:tcPr>
            <w:tcW w:w="1765" w:type="dxa"/>
            <w:tcBorders>
              <w:tl2br w:val="nil"/>
              <w:tr2bl w:val="nil"/>
            </w:tcBorders>
            <w:vAlign w:val="center"/>
          </w:tcPr>
          <w:p w14:paraId="3E4F7AAE">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255</w:t>
            </w:r>
          </w:p>
        </w:tc>
      </w:tr>
      <w:tr w14:paraId="7C6DF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49C017CF">
            <w:pPr>
              <w:pStyle w:val="41"/>
              <w:rPr>
                <w:rFonts w:hint="eastAsia" w:cs="Times New Roman"/>
                <w:color w:val="auto"/>
                <w:u w:val="none"/>
                <w:lang w:val="en-US" w:eastAsia="zh-CN"/>
              </w:rPr>
            </w:pPr>
          </w:p>
        </w:tc>
        <w:tc>
          <w:tcPr>
            <w:tcW w:w="1090" w:type="dxa"/>
            <w:tcBorders>
              <w:tl2br w:val="nil"/>
              <w:tr2bl w:val="nil"/>
            </w:tcBorders>
            <w:vAlign w:val="center"/>
          </w:tcPr>
          <w:p w14:paraId="4F820D6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DA002</w:t>
            </w:r>
          </w:p>
        </w:tc>
        <w:tc>
          <w:tcPr>
            <w:tcW w:w="1155" w:type="dxa"/>
            <w:tcBorders>
              <w:tl2br w:val="nil"/>
              <w:tr2bl w:val="nil"/>
            </w:tcBorders>
            <w:vAlign w:val="center"/>
          </w:tcPr>
          <w:p w14:paraId="13E783A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铬酸雾</w:t>
            </w:r>
          </w:p>
        </w:tc>
        <w:tc>
          <w:tcPr>
            <w:tcW w:w="1876" w:type="dxa"/>
            <w:tcBorders>
              <w:tl2br w:val="nil"/>
              <w:tr2bl w:val="nil"/>
            </w:tcBorders>
            <w:vAlign w:val="center"/>
          </w:tcPr>
          <w:p w14:paraId="420B9F65">
            <w:pPr>
              <w:pStyle w:val="41"/>
              <w:widowControl w:val="0"/>
              <w:rPr>
                <w:rFonts w:hint="eastAsia" w:cs="Times New Roman"/>
                <w:color w:val="auto"/>
                <w:u w:val="none"/>
                <w:lang w:val="en-US" w:eastAsia="zh-CN"/>
              </w:rPr>
            </w:pPr>
            <w:r>
              <w:rPr>
                <w:rFonts w:hint="eastAsia" w:cs="Times New Roman"/>
                <w:color w:val="auto"/>
                <w:u w:val="none"/>
                <w:lang w:val="en-US" w:eastAsia="zh-CN"/>
              </w:rPr>
              <w:t>0.126</w:t>
            </w:r>
          </w:p>
        </w:tc>
        <w:tc>
          <w:tcPr>
            <w:tcW w:w="1876" w:type="dxa"/>
            <w:tcBorders>
              <w:tl2br w:val="nil"/>
              <w:tr2bl w:val="nil"/>
            </w:tcBorders>
            <w:vAlign w:val="center"/>
          </w:tcPr>
          <w:p w14:paraId="56403703">
            <w:pPr>
              <w:pStyle w:val="41"/>
              <w:widowControl w:val="0"/>
              <w:rPr>
                <w:rFonts w:hint="eastAsia" w:cs="Times New Roman"/>
                <w:color w:val="auto"/>
                <w:u w:val="none"/>
                <w:lang w:val="en-US" w:eastAsia="zh-CN"/>
              </w:rPr>
            </w:pPr>
            <w:r>
              <w:rPr>
                <w:rFonts w:hint="eastAsia" w:cs="Times New Roman"/>
                <w:color w:val="auto"/>
                <w:u w:val="none"/>
                <w:lang w:val="en-US" w:eastAsia="zh-CN"/>
              </w:rPr>
              <w:t>8.414</w:t>
            </w:r>
          </w:p>
        </w:tc>
        <w:tc>
          <w:tcPr>
            <w:tcW w:w="1765" w:type="dxa"/>
            <w:tcBorders>
              <w:tl2br w:val="nil"/>
              <w:tr2bl w:val="nil"/>
            </w:tcBorders>
            <w:vAlign w:val="center"/>
          </w:tcPr>
          <w:p w14:paraId="39903136">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407</w:t>
            </w:r>
          </w:p>
        </w:tc>
      </w:tr>
      <w:tr w14:paraId="32D5D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restart"/>
            <w:tcBorders>
              <w:tl2br w:val="nil"/>
              <w:tr2bl w:val="nil"/>
            </w:tcBorders>
            <w:vAlign w:val="center"/>
          </w:tcPr>
          <w:p w14:paraId="3574B303">
            <w:pPr>
              <w:pStyle w:val="41"/>
              <w:rPr>
                <w:rFonts w:hint="default" w:ascii="Times New Roman" w:hAnsi="Times New Roman" w:cs="Times New Roman"/>
                <w:color w:val="auto"/>
                <w:u w:val="none"/>
              </w:rPr>
            </w:pPr>
            <w:r>
              <w:rPr>
                <w:rFonts w:hint="default" w:ascii="Times New Roman" w:hAnsi="Times New Roman" w:cs="Times New Roman"/>
                <w:color w:val="auto"/>
                <w:u w:val="none"/>
              </w:rPr>
              <w:t>无组织</w:t>
            </w:r>
          </w:p>
        </w:tc>
        <w:tc>
          <w:tcPr>
            <w:tcW w:w="1090" w:type="dxa"/>
            <w:vMerge w:val="restart"/>
            <w:tcBorders>
              <w:tl2br w:val="nil"/>
              <w:tr2bl w:val="nil"/>
            </w:tcBorders>
            <w:vAlign w:val="center"/>
          </w:tcPr>
          <w:p w14:paraId="33421C02">
            <w:pPr>
              <w:pStyle w:val="41"/>
              <w:rPr>
                <w:rFonts w:hint="default" w:ascii="Times New Roman" w:hAnsi="Times New Roman" w:cs="Times New Roman"/>
                <w:color w:val="auto"/>
                <w:u w:val="none"/>
              </w:rPr>
            </w:pPr>
            <w:r>
              <w:rPr>
                <w:rFonts w:hint="default" w:ascii="Times New Roman" w:hAnsi="Times New Roman" w:cs="Times New Roman"/>
                <w:color w:val="auto"/>
                <w:u w:val="none"/>
              </w:rPr>
              <w:t>生产车间</w:t>
            </w:r>
          </w:p>
        </w:tc>
        <w:tc>
          <w:tcPr>
            <w:tcW w:w="1155" w:type="dxa"/>
            <w:tcBorders>
              <w:tl2br w:val="nil"/>
              <w:tr2bl w:val="nil"/>
            </w:tcBorders>
            <w:vAlign w:val="center"/>
          </w:tcPr>
          <w:p w14:paraId="05DFF3D2">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w:t>
            </w:r>
            <w:r>
              <w:rPr>
                <w:rFonts w:hint="eastAsia" w:cs="Times New Roman"/>
                <w:color w:val="auto"/>
                <w:u w:val="none"/>
                <w:lang w:val="en-US" w:eastAsia="zh-CN"/>
              </w:rPr>
              <w:t>雾</w:t>
            </w:r>
          </w:p>
        </w:tc>
        <w:tc>
          <w:tcPr>
            <w:tcW w:w="1876" w:type="dxa"/>
            <w:tcBorders>
              <w:tl2br w:val="nil"/>
              <w:tr2bl w:val="nil"/>
            </w:tcBorders>
            <w:vAlign w:val="center"/>
          </w:tcPr>
          <w:p w14:paraId="04127EE9">
            <w:pPr>
              <w:pStyle w:val="41"/>
              <w:widowControl w:val="0"/>
              <w:rPr>
                <w:rFonts w:hint="default" w:cs="Times New Roman"/>
                <w:color w:val="auto"/>
                <w:u w:val="none"/>
                <w:lang w:val="en-US" w:eastAsia="zh-CN"/>
              </w:rPr>
            </w:pPr>
            <w:r>
              <w:rPr>
                <w:rFonts w:hint="eastAsia" w:cs="Times New Roman"/>
                <w:color w:val="auto"/>
                <w:u w:val="none"/>
                <w:lang w:val="en-US" w:eastAsia="zh-CN"/>
              </w:rPr>
              <w:t>16.094</w:t>
            </w:r>
          </w:p>
        </w:tc>
        <w:tc>
          <w:tcPr>
            <w:tcW w:w="1876" w:type="dxa"/>
            <w:tcBorders>
              <w:tl2br w:val="nil"/>
              <w:tr2bl w:val="nil"/>
            </w:tcBorders>
            <w:vAlign w:val="center"/>
          </w:tcPr>
          <w:p w14:paraId="0B6E8AB4">
            <w:pPr>
              <w:pStyle w:val="41"/>
              <w:widowControl w:val="0"/>
              <w:rPr>
                <w:rFonts w:hint="default" w:cs="Times New Roman"/>
                <w:color w:val="auto"/>
                <w:u w:val="none"/>
                <w:lang w:val="en-US" w:eastAsia="zh-CN"/>
              </w:rPr>
            </w:pPr>
            <w:r>
              <w:rPr>
                <w:rFonts w:hint="eastAsia" w:cs="Times New Roman"/>
                <w:color w:val="auto"/>
                <w:u w:val="none"/>
                <w:lang w:val="en-US" w:eastAsia="zh-CN"/>
              </w:rPr>
              <w:t>5.365</w:t>
            </w:r>
          </w:p>
        </w:tc>
        <w:tc>
          <w:tcPr>
            <w:tcW w:w="1765" w:type="dxa"/>
            <w:tcBorders>
              <w:tl2br w:val="nil"/>
              <w:tr2bl w:val="nil"/>
            </w:tcBorders>
            <w:vAlign w:val="center"/>
          </w:tcPr>
          <w:p w14:paraId="256DB2D8">
            <w:pPr>
              <w:pStyle w:val="41"/>
              <w:widowControl w:val="0"/>
              <w:rPr>
                <w:rFonts w:hint="default" w:cs="Times New Roman"/>
                <w:color w:val="auto"/>
                <w:u w:val="none"/>
                <w:lang w:val="en-US" w:eastAsia="zh-CN"/>
              </w:rPr>
            </w:pPr>
            <w:r>
              <w:rPr>
                <w:rFonts w:hint="eastAsia" w:cs="Times New Roman"/>
                <w:color w:val="auto"/>
                <w:u w:val="none"/>
                <w:lang w:val="en-US" w:eastAsia="zh-CN"/>
              </w:rPr>
              <w:t>46</w:t>
            </w:r>
          </w:p>
        </w:tc>
      </w:tr>
      <w:tr w14:paraId="720FF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6E5E3711">
            <w:pPr>
              <w:pStyle w:val="41"/>
              <w:rPr>
                <w:rFonts w:hint="default" w:ascii="Times New Roman" w:hAnsi="Times New Roman" w:cs="Times New Roman"/>
                <w:color w:val="auto"/>
                <w:u w:val="none"/>
              </w:rPr>
            </w:pPr>
          </w:p>
        </w:tc>
        <w:tc>
          <w:tcPr>
            <w:tcW w:w="1090" w:type="dxa"/>
            <w:vMerge w:val="continue"/>
            <w:tcBorders>
              <w:tl2br w:val="nil"/>
              <w:tr2bl w:val="nil"/>
            </w:tcBorders>
            <w:vAlign w:val="center"/>
          </w:tcPr>
          <w:p w14:paraId="1EC490ED">
            <w:pPr>
              <w:pStyle w:val="41"/>
              <w:rPr>
                <w:rFonts w:hint="default" w:ascii="Times New Roman" w:hAnsi="Times New Roman" w:cs="Times New Roman"/>
                <w:color w:val="auto"/>
                <w:u w:val="none"/>
              </w:rPr>
            </w:pPr>
          </w:p>
        </w:tc>
        <w:tc>
          <w:tcPr>
            <w:tcW w:w="1155" w:type="dxa"/>
            <w:tcBorders>
              <w:tl2br w:val="nil"/>
              <w:tr2bl w:val="nil"/>
            </w:tcBorders>
            <w:vAlign w:val="center"/>
          </w:tcPr>
          <w:p w14:paraId="043B31E3">
            <w:pPr>
              <w:pStyle w:val="41"/>
              <w:rPr>
                <w:rFonts w:hint="default" w:ascii="Times New Roman" w:hAnsi="Times New Roman" w:cs="Times New Roman"/>
                <w:color w:val="auto"/>
                <w:u w:val="none"/>
              </w:rPr>
            </w:pPr>
            <w:r>
              <w:rPr>
                <w:rFonts w:hint="default" w:ascii="Times New Roman" w:hAnsi="Times New Roman" w:cs="Times New Roman"/>
                <w:color w:val="auto"/>
                <w:u w:val="none"/>
              </w:rPr>
              <w:t>NOx</w:t>
            </w:r>
          </w:p>
        </w:tc>
        <w:tc>
          <w:tcPr>
            <w:tcW w:w="1876" w:type="dxa"/>
            <w:tcBorders>
              <w:tl2br w:val="nil"/>
              <w:tr2bl w:val="nil"/>
            </w:tcBorders>
            <w:vAlign w:val="center"/>
          </w:tcPr>
          <w:p w14:paraId="17A58888">
            <w:pPr>
              <w:pStyle w:val="41"/>
              <w:widowControl w:val="0"/>
              <w:rPr>
                <w:rFonts w:hint="eastAsia" w:cs="Times New Roman"/>
                <w:color w:val="auto"/>
                <w:u w:val="none"/>
                <w:lang w:val="en-US" w:eastAsia="zh-CN"/>
              </w:rPr>
            </w:pPr>
            <w:r>
              <w:rPr>
                <w:rFonts w:hint="eastAsia" w:cs="Times New Roman"/>
                <w:color w:val="auto"/>
                <w:u w:val="none"/>
                <w:lang w:val="en-US" w:eastAsia="zh-CN"/>
              </w:rPr>
              <w:t>6.896</w:t>
            </w:r>
          </w:p>
        </w:tc>
        <w:tc>
          <w:tcPr>
            <w:tcW w:w="1876" w:type="dxa"/>
            <w:tcBorders>
              <w:tl2br w:val="nil"/>
              <w:tr2bl w:val="nil"/>
            </w:tcBorders>
            <w:vAlign w:val="center"/>
          </w:tcPr>
          <w:p w14:paraId="69C47DB1">
            <w:pPr>
              <w:pStyle w:val="41"/>
              <w:widowControl w:val="0"/>
              <w:rPr>
                <w:rFonts w:hint="eastAsia" w:cs="Times New Roman"/>
                <w:color w:val="auto"/>
                <w:u w:val="none"/>
                <w:lang w:val="en-US" w:eastAsia="zh-CN"/>
              </w:rPr>
            </w:pPr>
            <w:r>
              <w:rPr>
                <w:rFonts w:hint="eastAsia" w:cs="Times New Roman"/>
                <w:color w:val="auto"/>
                <w:u w:val="none"/>
                <w:lang w:val="en-US" w:eastAsia="zh-CN"/>
              </w:rPr>
              <w:t>2.758</w:t>
            </w:r>
          </w:p>
        </w:tc>
        <w:tc>
          <w:tcPr>
            <w:tcW w:w="1765" w:type="dxa"/>
            <w:tcBorders>
              <w:tl2br w:val="nil"/>
              <w:tr2bl w:val="nil"/>
            </w:tcBorders>
            <w:vAlign w:val="center"/>
          </w:tcPr>
          <w:p w14:paraId="7E13EC16">
            <w:pPr>
              <w:pStyle w:val="41"/>
              <w:widowControl w:val="0"/>
              <w:rPr>
                <w:rFonts w:hint="default" w:cs="Times New Roman"/>
                <w:color w:val="auto"/>
                <w:u w:val="none"/>
                <w:lang w:val="en-US" w:eastAsia="zh-CN"/>
              </w:rPr>
            </w:pPr>
            <w:r>
              <w:rPr>
                <w:rFonts w:hint="eastAsia" w:cs="Times New Roman"/>
                <w:color w:val="auto"/>
                <w:u w:val="none"/>
                <w:lang w:val="en-US" w:eastAsia="zh-CN"/>
              </w:rPr>
              <w:t>46</w:t>
            </w:r>
          </w:p>
        </w:tc>
      </w:tr>
      <w:tr w14:paraId="1F027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2D8B98D7">
            <w:pPr>
              <w:pStyle w:val="41"/>
              <w:rPr>
                <w:rFonts w:hint="default" w:ascii="Times New Roman" w:hAnsi="Times New Roman" w:cs="Times New Roman"/>
                <w:color w:val="auto"/>
                <w:u w:val="none"/>
              </w:rPr>
            </w:pPr>
          </w:p>
        </w:tc>
        <w:tc>
          <w:tcPr>
            <w:tcW w:w="1090" w:type="dxa"/>
            <w:vMerge w:val="continue"/>
            <w:tcBorders>
              <w:tl2br w:val="nil"/>
              <w:tr2bl w:val="nil"/>
            </w:tcBorders>
            <w:vAlign w:val="center"/>
          </w:tcPr>
          <w:p w14:paraId="523BA509">
            <w:pPr>
              <w:pStyle w:val="41"/>
              <w:rPr>
                <w:rFonts w:hint="default" w:ascii="Times New Roman" w:hAnsi="Times New Roman" w:cs="Times New Roman"/>
                <w:color w:val="auto"/>
                <w:u w:val="none"/>
              </w:rPr>
            </w:pPr>
          </w:p>
        </w:tc>
        <w:tc>
          <w:tcPr>
            <w:tcW w:w="1155" w:type="dxa"/>
            <w:tcBorders>
              <w:tl2br w:val="nil"/>
              <w:tr2bl w:val="nil"/>
            </w:tcBorders>
            <w:vAlign w:val="center"/>
          </w:tcPr>
          <w:p w14:paraId="165751B1">
            <w:pPr>
              <w:pStyle w:val="41"/>
              <w:rPr>
                <w:rFonts w:hint="default" w:ascii="Times New Roman" w:hAnsi="Times New Roman" w:cs="Times New Roman"/>
                <w:color w:val="auto"/>
                <w:u w:val="none"/>
              </w:rPr>
            </w:pPr>
            <w:r>
              <w:rPr>
                <w:rFonts w:hint="eastAsia" w:cs="Times New Roman"/>
                <w:color w:val="auto"/>
                <w:u w:val="none"/>
                <w:lang w:val="en-US" w:eastAsia="zh-CN"/>
              </w:rPr>
              <w:t>铬酸雾</w:t>
            </w:r>
          </w:p>
        </w:tc>
        <w:tc>
          <w:tcPr>
            <w:tcW w:w="1876" w:type="dxa"/>
            <w:tcBorders>
              <w:tl2br w:val="nil"/>
              <w:tr2bl w:val="nil"/>
            </w:tcBorders>
            <w:vAlign w:val="center"/>
          </w:tcPr>
          <w:p w14:paraId="66DA81AA">
            <w:pPr>
              <w:pStyle w:val="41"/>
              <w:widowControl w:val="0"/>
              <w:rPr>
                <w:rFonts w:hint="eastAsia" w:cs="Times New Roman"/>
                <w:color w:val="auto"/>
                <w:u w:val="none"/>
                <w:lang w:val="en-US" w:eastAsia="zh-CN"/>
              </w:rPr>
            </w:pPr>
            <w:r>
              <w:rPr>
                <w:rFonts w:hint="eastAsia" w:cs="Times New Roman"/>
                <w:color w:val="auto"/>
                <w:u w:val="none"/>
                <w:lang w:val="en-US" w:eastAsia="zh-CN"/>
              </w:rPr>
              <w:t>0.074</w:t>
            </w:r>
          </w:p>
        </w:tc>
        <w:tc>
          <w:tcPr>
            <w:tcW w:w="1876" w:type="dxa"/>
            <w:tcBorders>
              <w:tl2br w:val="nil"/>
              <w:tr2bl w:val="nil"/>
            </w:tcBorders>
            <w:vAlign w:val="center"/>
          </w:tcPr>
          <w:p w14:paraId="56188F2F">
            <w:pPr>
              <w:pStyle w:val="41"/>
              <w:widowControl w:val="0"/>
              <w:rPr>
                <w:rFonts w:hint="eastAsia" w:cs="Times New Roman"/>
                <w:color w:val="auto"/>
                <w:u w:val="none"/>
                <w:lang w:val="en-US" w:eastAsia="zh-CN"/>
              </w:rPr>
            </w:pPr>
            <w:r>
              <w:rPr>
                <w:rFonts w:hint="eastAsia" w:cs="Times New Roman"/>
                <w:color w:val="auto"/>
                <w:u w:val="none"/>
                <w:lang w:val="en-US" w:eastAsia="zh-CN"/>
              </w:rPr>
              <w:t>4.927</w:t>
            </w:r>
          </w:p>
        </w:tc>
        <w:tc>
          <w:tcPr>
            <w:tcW w:w="1765" w:type="dxa"/>
            <w:tcBorders>
              <w:tl2br w:val="nil"/>
              <w:tr2bl w:val="nil"/>
            </w:tcBorders>
            <w:vAlign w:val="center"/>
          </w:tcPr>
          <w:p w14:paraId="03DE42A7">
            <w:pPr>
              <w:pStyle w:val="41"/>
              <w:widowControl w:val="0"/>
              <w:rPr>
                <w:rFonts w:hint="default" w:cs="Times New Roman"/>
                <w:color w:val="auto"/>
                <w:u w:val="none"/>
                <w:lang w:val="en-US" w:eastAsia="zh-CN"/>
              </w:rPr>
            </w:pPr>
            <w:r>
              <w:rPr>
                <w:rFonts w:hint="eastAsia" w:cs="Times New Roman"/>
                <w:color w:val="auto"/>
                <w:u w:val="none"/>
                <w:lang w:val="en-US" w:eastAsia="zh-CN"/>
              </w:rPr>
              <w:t>46</w:t>
            </w:r>
          </w:p>
        </w:tc>
      </w:tr>
    </w:tbl>
    <w:p w14:paraId="6F07A27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根据《环境影响评价技术导则-大气环境》(HJ2.2-2018)中“5.3.3.1 同一项目有多个污染源时，则按各污染源分别确定评价等级，并取评价等级最高者作为项目的评价等级”，本项目最大占标率Pmax＝</w:t>
      </w:r>
      <w:r>
        <w:rPr>
          <w:rFonts w:hint="eastAsia" w:ascii="Times New Roman" w:hAnsi="Times New Roman" w:cs="Times New Roman"/>
          <w:color w:val="auto"/>
          <w:u w:val="none"/>
          <w:lang w:val="en-US" w:eastAsia="zh-CN"/>
        </w:rPr>
        <w:t>8.414</w:t>
      </w:r>
      <w:r>
        <w:rPr>
          <w:rFonts w:hint="default" w:ascii="Times New Roman" w:hAnsi="Times New Roman" w:cs="Times New Roman"/>
          <w:color w:val="auto"/>
          <w:u w:val="none"/>
        </w:rPr>
        <w:t>%，因此，本项目大气评价等级定为二级。</w:t>
      </w:r>
    </w:p>
    <w:p w14:paraId="6BE01A79">
      <w:pPr>
        <w:numPr>
          <w:ilvl w:val="0"/>
          <w:numId w:val="3"/>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评价范围</w:t>
      </w:r>
    </w:p>
    <w:p w14:paraId="5332B3E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评价范围为以厂址为中心，厂界外5km的矩形区域。</w:t>
      </w:r>
    </w:p>
    <w:p w14:paraId="45B89101">
      <w:pPr>
        <w:pStyle w:val="5"/>
        <w:rPr>
          <w:rFonts w:hint="default" w:ascii="Times New Roman" w:hAnsi="Times New Roman" w:cs="Times New Roman"/>
          <w:color w:val="auto"/>
          <w:u w:val="none"/>
        </w:rPr>
      </w:pPr>
      <w:r>
        <w:rPr>
          <w:rFonts w:hint="default" w:ascii="Times New Roman" w:hAnsi="Times New Roman" w:cs="Times New Roman"/>
          <w:color w:val="auto"/>
          <w:u w:val="none"/>
        </w:rPr>
        <w:t>地表水</w:t>
      </w:r>
      <w:bookmarkEnd w:id="36"/>
      <w:r>
        <w:rPr>
          <w:rFonts w:hint="eastAsia" w:cs="Times New Roman"/>
          <w:color w:val="auto"/>
          <w:u w:val="none"/>
          <w:lang w:val="en-US" w:eastAsia="zh-CN"/>
        </w:rPr>
        <w:t xml:space="preserve">    </w:t>
      </w:r>
    </w:p>
    <w:p w14:paraId="267F7E26">
      <w:pPr>
        <w:ind w:firstLine="480"/>
        <w:rPr>
          <w:rFonts w:hint="default" w:ascii="Times New Roman" w:hAnsi="Times New Roman" w:cs="Times New Roman"/>
          <w:color w:val="auto"/>
          <w:u w:val="none"/>
        </w:rPr>
      </w:pPr>
      <w:bookmarkStart w:id="37" w:name="_Toc27214"/>
      <w:r>
        <w:rPr>
          <w:rFonts w:hint="default" w:ascii="Times New Roman" w:hAnsi="Times New Roman" w:cs="Times New Roman"/>
          <w:color w:val="auto"/>
          <w:u w:val="none"/>
        </w:rPr>
        <w:t>1、评价等级</w:t>
      </w:r>
    </w:p>
    <w:p w14:paraId="041D91CD">
      <w:pPr>
        <w:topLinePunct/>
        <w:ind w:firstLine="480"/>
        <w:rPr>
          <w:rFonts w:hint="default" w:ascii="Times New Roman" w:hAnsi="Times New Roman" w:cs="Times New Roman"/>
          <w:color w:val="auto"/>
          <w:u w:val="none"/>
        </w:rPr>
      </w:pPr>
      <w:r>
        <w:rPr>
          <w:rFonts w:hint="default" w:ascii="Times New Roman" w:hAnsi="Times New Roman" w:cs="Times New Roman"/>
          <w:color w:val="auto"/>
          <w:kern w:val="0"/>
          <w:u w:val="none"/>
        </w:rPr>
        <w:t>工程分析可知，本项目外排废水</w:t>
      </w:r>
      <w:r>
        <w:rPr>
          <w:rFonts w:hint="eastAsia" w:ascii="Times New Roman" w:hAnsi="Times New Roman" w:cs="Times New Roman"/>
          <w:color w:val="auto"/>
          <w:kern w:val="0"/>
          <w:u w:val="none"/>
          <w:lang w:val="en-US" w:eastAsia="zh-CN"/>
        </w:rPr>
        <w:t>经污水处理站处理</w:t>
      </w:r>
      <w:r>
        <w:rPr>
          <w:rFonts w:hint="default" w:ascii="Times New Roman" w:hAnsi="Times New Roman" w:cs="Times New Roman"/>
          <w:color w:val="auto"/>
          <w:kern w:val="0"/>
          <w:u w:val="none"/>
        </w:rPr>
        <w:t>后通过市政污水管网排入湖南城陵矶临港产业新区污水处理厂，经处理达标后经象骨港汇入长江，因此项目废水排放属于间接排放，根据《环境影响评价技术导则—地表水环境》（HJ2.3-2018），确定项目地表水环境评价等级为三级B</w:t>
      </w:r>
      <w:r>
        <w:rPr>
          <w:rFonts w:hint="default" w:ascii="Times New Roman" w:hAnsi="Times New Roman" w:cs="Times New Roman"/>
          <w:color w:val="auto"/>
          <w:u w:val="none"/>
        </w:rPr>
        <w:t>。</w:t>
      </w:r>
      <w:r>
        <w:rPr>
          <w:rFonts w:hint="default" w:ascii="Times New Roman" w:hAnsi="Times New Roman" w:cs="Times New Roman"/>
          <w:color w:val="auto"/>
          <w:kern w:val="0"/>
          <w:u w:val="none"/>
        </w:rPr>
        <w:t>项目</w:t>
      </w:r>
      <w:r>
        <w:rPr>
          <w:rFonts w:hint="default" w:ascii="Times New Roman" w:hAnsi="Times New Roman" w:cs="Times New Roman"/>
          <w:color w:val="auto"/>
          <w:u w:val="none"/>
        </w:rPr>
        <w:t>地表水环境影响评价等级判据见表2.4-3。</w:t>
      </w:r>
    </w:p>
    <w:p w14:paraId="3ED66553">
      <w:pPr>
        <w:pStyle w:val="4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黑体" w:cs="Times New Roman"/>
          <w:b/>
          <w:bCs/>
          <w:color w:val="auto"/>
          <w:sz w:val="24"/>
          <w:szCs w:val="20"/>
          <w:u w:val="none"/>
          <w:lang w:val="en-US" w:eastAsia="zh-CN" w:bidi="ar-SA"/>
        </w:rPr>
      </w:pPr>
      <w:r>
        <w:rPr>
          <w:rFonts w:hint="default" w:ascii="Times New Roman" w:hAnsi="Times New Roman" w:eastAsia="黑体" w:cs="Times New Roman"/>
          <w:b/>
          <w:bCs/>
          <w:color w:val="auto"/>
          <w:sz w:val="24"/>
          <w:szCs w:val="20"/>
          <w:u w:val="none"/>
          <w:lang w:val="en-US" w:eastAsia="zh-CN" w:bidi="ar-SA"/>
        </w:rPr>
        <w:t>表2.4-3</w:t>
      </w:r>
      <w:r>
        <w:rPr>
          <w:rFonts w:hint="eastAsia" w:ascii="Times New Roman" w:hAnsi="Times New Roman" w:eastAsia="黑体" w:cs="Times New Roman"/>
          <w:b/>
          <w:bCs/>
          <w:color w:val="auto"/>
          <w:sz w:val="24"/>
          <w:szCs w:val="20"/>
          <w:u w:val="none"/>
          <w:lang w:val="en-US" w:eastAsia="zh-CN" w:bidi="ar-SA"/>
        </w:rPr>
        <w:t xml:space="preserve">  </w:t>
      </w:r>
      <w:r>
        <w:rPr>
          <w:rFonts w:hint="default" w:ascii="Times New Roman" w:hAnsi="Times New Roman" w:eastAsia="黑体" w:cs="Times New Roman"/>
          <w:b/>
          <w:bCs/>
          <w:color w:val="auto"/>
          <w:sz w:val="24"/>
          <w:szCs w:val="20"/>
          <w:u w:val="none"/>
          <w:lang w:val="en-US" w:eastAsia="zh-CN" w:bidi="ar-SA"/>
        </w:rPr>
        <w:t>水污染影响型建设项目评价等级判定</w:t>
      </w:r>
    </w:p>
    <w:tbl>
      <w:tblPr>
        <w:tblStyle w:val="30"/>
        <w:tblpPr w:leftFromText="180" w:rightFromText="180" w:vertAnchor="text" w:horzAnchor="margin" w:tblpXSpec="center" w:tblpY="2"/>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284"/>
        <w:gridCol w:w="3902"/>
        <w:gridCol w:w="3666"/>
      </w:tblGrid>
      <w:tr w14:paraId="22681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9" w:type="pct"/>
            <w:vMerge w:val="restart"/>
            <w:vAlign w:val="center"/>
          </w:tcPr>
          <w:p w14:paraId="67A3DA16">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评价等级</w:t>
            </w:r>
          </w:p>
        </w:tc>
        <w:tc>
          <w:tcPr>
            <w:tcW w:w="3840" w:type="pct"/>
            <w:gridSpan w:val="2"/>
            <w:vAlign w:val="center"/>
          </w:tcPr>
          <w:p w14:paraId="2439D98D">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判定依据</w:t>
            </w:r>
          </w:p>
        </w:tc>
      </w:tr>
      <w:tr w14:paraId="1F2AF0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9" w:type="pct"/>
            <w:vMerge w:val="continue"/>
            <w:vAlign w:val="center"/>
          </w:tcPr>
          <w:p w14:paraId="33949B22">
            <w:pPr>
              <w:pStyle w:val="41"/>
              <w:rPr>
                <w:rFonts w:hint="default" w:ascii="Times New Roman" w:hAnsi="Times New Roman" w:cs="Times New Roman"/>
                <w:b/>
                <w:bCs/>
                <w:color w:val="auto"/>
                <w:kern w:val="2"/>
                <w:szCs w:val="24"/>
                <w:u w:val="none"/>
              </w:rPr>
            </w:pPr>
          </w:p>
        </w:tc>
        <w:tc>
          <w:tcPr>
            <w:tcW w:w="1980" w:type="pct"/>
            <w:vAlign w:val="center"/>
          </w:tcPr>
          <w:p w14:paraId="3FC1142A">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排放方式</w:t>
            </w:r>
          </w:p>
        </w:tc>
        <w:tc>
          <w:tcPr>
            <w:tcW w:w="1860" w:type="pct"/>
            <w:vAlign w:val="center"/>
          </w:tcPr>
          <w:p w14:paraId="2CA19542">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废水排放量Q/（m</w:t>
            </w:r>
            <w:r>
              <w:rPr>
                <w:rFonts w:hint="default" w:ascii="Times New Roman" w:hAnsi="Times New Roman" w:cs="Times New Roman"/>
                <w:b/>
                <w:bCs/>
                <w:color w:val="auto"/>
                <w:kern w:val="2"/>
                <w:szCs w:val="24"/>
                <w:u w:val="none"/>
                <w:vertAlign w:val="superscript"/>
              </w:rPr>
              <w:t>3</w:t>
            </w:r>
            <w:r>
              <w:rPr>
                <w:rFonts w:hint="default" w:ascii="Times New Roman" w:hAnsi="Times New Roman" w:cs="Times New Roman"/>
                <w:b/>
                <w:bCs/>
                <w:color w:val="auto"/>
                <w:kern w:val="2"/>
                <w:szCs w:val="24"/>
                <w:u w:val="none"/>
              </w:rPr>
              <w:t>/d）；水污染物当量数W/（无量纲）</w:t>
            </w:r>
          </w:p>
        </w:tc>
      </w:tr>
      <w:tr w14:paraId="4A2D4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9" w:type="pct"/>
            <w:vAlign w:val="center"/>
          </w:tcPr>
          <w:p w14:paraId="6E208940">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一级</w:t>
            </w:r>
          </w:p>
        </w:tc>
        <w:tc>
          <w:tcPr>
            <w:tcW w:w="1980" w:type="pct"/>
            <w:vAlign w:val="center"/>
          </w:tcPr>
          <w:p w14:paraId="247D590F">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直接排放</w:t>
            </w:r>
          </w:p>
        </w:tc>
        <w:tc>
          <w:tcPr>
            <w:tcW w:w="1860" w:type="pct"/>
            <w:vAlign w:val="center"/>
          </w:tcPr>
          <w:p w14:paraId="1C82544E">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Q≥20000或W≥600000</w:t>
            </w:r>
          </w:p>
        </w:tc>
      </w:tr>
      <w:tr w14:paraId="6ED906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9" w:type="pct"/>
            <w:vAlign w:val="center"/>
          </w:tcPr>
          <w:p w14:paraId="5E7DFE7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二级</w:t>
            </w:r>
          </w:p>
        </w:tc>
        <w:tc>
          <w:tcPr>
            <w:tcW w:w="1980" w:type="pct"/>
            <w:vAlign w:val="center"/>
          </w:tcPr>
          <w:p w14:paraId="7230B85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直接排放</w:t>
            </w:r>
          </w:p>
        </w:tc>
        <w:tc>
          <w:tcPr>
            <w:tcW w:w="1860" w:type="pct"/>
            <w:vAlign w:val="center"/>
          </w:tcPr>
          <w:p w14:paraId="0684B870">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其他</w:t>
            </w:r>
          </w:p>
        </w:tc>
      </w:tr>
      <w:tr w14:paraId="450BD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9" w:type="pct"/>
            <w:vAlign w:val="center"/>
          </w:tcPr>
          <w:p w14:paraId="26EDCC14">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三级A</w:t>
            </w:r>
          </w:p>
        </w:tc>
        <w:tc>
          <w:tcPr>
            <w:tcW w:w="1980" w:type="pct"/>
            <w:vAlign w:val="center"/>
          </w:tcPr>
          <w:p w14:paraId="07ED8508">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直接排放</w:t>
            </w:r>
          </w:p>
        </w:tc>
        <w:tc>
          <w:tcPr>
            <w:tcW w:w="1860" w:type="pct"/>
            <w:vAlign w:val="center"/>
          </w:tcPr>
          <w:p w14:paraId="3DFA83D7">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Q＜200且W＜6000</w:t>
            </w:r>
          </w:p>
        </w:tc>
      </w:tr>
      <w:tr w14:paraId="113EA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59" w:type="pct"/>
            <w:vAlign w:val="center"/>
          </w:tcPr>
          <w:p w14:paraId="36E4F6B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三级B</w:t>
            </w:r>
          </w:p>
        </w:tc>
        <w:tc>
          <w:tcPr>
            <w:tcW w:w="1980" w:type="pct"/>
            <w:vAlign w:val="center"/>
          </w:tcPr>
          <w:p w14:paraId="37DF2BC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间接排放</w:t>
            </w:r>
          </w:p>
        </w:tc>
        <w:tc>
          <w:tcPr>
            <w:tcW w:w="1860" w:type="pct"/>
            <w:vAlign w:val="center"/>
          </w:tcPr>
          <w:p w14:paraId="73B4F33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w:t>
            </w:r>
          </w:p>
        </w:tc>
      </w:tr>
    </w:tbl>
    <w:p w14:paraId="79C1DC8B">
      <w:pPr>
        <w:ind w:left="480" w:leftChars="200"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2、评价范围</w:t>
      </w:r>
    </w:p>
    <w:p w14:paraId="055A86E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根据《环境影响评价价技术导则-地表水环境》（HJ/T2.3-2018）5.3.2.2三级B，其评价范围应符合以下要求：</w:t>
      </w:r>
    </w:p>
    <w:p w14:paraId="4EC2301B">
      <w:pPr>
        <w:numPr>
          <w:ilvl w:val="0"/>
          <w:numId w:val="4"/>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应满足其污水处理设施环境可行性分析的要求；</w:t>
      </w:r>
    </w:p>
    <w:p w14:paraId="1DAC8375">
      <w:pPr>
        <w:numPr>
          <w:ilvl w:val="0"/>
          <w:numId w:val="4"/>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涉及地表水环境风险的，应覆盖环境风险影响范围所及的水环境保护目标水域。</w:t>
      </w:r>
    </w:p>
    <w:p w14:paraId="312A3DC5">
      <w:pPr>
        <w:pStyle w:val="5"/>
        <w:rPr>
          <w:rFonts w:hint="default" w:ascii="Times New Roman" w:hAnsi="Times New Roman" w:cs="Times New Roman"/>
          <w:color w:val="auto"/>
          <w:u w:val="none"/>
        </w:rPr>
      </w:pPr>
      <w:r>
        <w:rPr>
          <w:rFonts w:hint="default" w:ascii="Times New Roman" w:hAnsi="Times New Roman" w:cs="Times New Roman"/>
          <w:color w:val="auto"/>
          <w:u w:val="none"/>
        </w:rPr>
        <w:t>地下水</w:t>
      </w:r>
      <w:bookmarkEnd w:id="37"/>
    </w:p>
    <w:p w14:paraId="32ACA71F">
      <w:pPr>
        <w:ind w:firstLine="480"/>
        <w:rPr>
          <w:rFonts w:hint="default" w:ascii="Times New Roman" w:hAnsi="Times New Roman" w:cs="Times New Roman"/>
          <w:color w:val="auto"/>
          <w:u w:val="none"/>
        </w:rPr>
      </w:pPr>
      <w:bookmarkStart w:id="38" w:name="_Toc30731"/>
      <w:r>
        <w:rPr>
          <w:rFonts w:hint="default" w:ascii="Times New Roman" w:hAnsi="Times New Roman" w:cs="Times New Roman"/>
          <w:color w:val="auto"/>
          <w:u w:val="none"/>
        </w:rPr>
        <w:t>1、评价等级</w:t>
      </w:r>
    </w:p>
    <w:p w14:paraId="7E1B72E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根据《环境影响评价技术导则—地下水环境》（HJ610-2016），结合《建设项目环境影响评价分类管理名录》，将建设项目分为四类，根据导则附录A地下水环境影响评价行业分类表，本项目属于“I 金属制品 51 表面处理及热处理加工”中“表面处理”，，编制报告书的项目，故本项目属于Ⅲ类建设项目。</w:t>
      </w:r>
      <w:r>
        <w:rPr>
          <w:rFonts w:hint="default" w:ascii="Times New Roman" w:hAnsi="Times New Roman" w:cs="Times New Roman"/>
          <w:color w:val="auto"/>
          <w:spacing w:val="-10"/>
          <w:u w:val="none"/>
        </w:rPr>
        <w:t>本项目所在的水文地质单元无集中式、分散式饮用水源，地下水</w:t>
      </w:r>
      <w:r>
        <w:rPr>
          <w:rFonts w:hint="default" w:ascii="Times New Roman" w:hAnsi="Times New Roman" w:cs="Times New Roman"/>
          <w:color w:val="auto"/>
          <w:spacing w:val="-8"/>
          <w:u w:val="none"/>
        </w:rPr>
        <w:t>环境敏感程度不敏感，</w:t>
      </w:r>
      <w:r>
        <w:rPr>
          <w:rFonts w:hint="default" w:ascii="Times New Roman" w:hAnsi="Times New Roman" w:cs="Times New Roman"/>
          <w:color w:val="auto"/>
          <w:u w:val="none"/>
        </w:rPr>
        <w:t>本项目评价等级为三级。</w:t>
      </w:r>
    </w:p>
    <w:p w14:paraId="555F343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表2.4-4</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 xml:space="preserve"> 地下水环境影响评价工作等级分级表</w:t>
      </w:r>
    </w:p>
    <w:tbl>
      <w:tblPr>
        <w:tblStyle w:val="30"/>
        <w:tblpPr w:leftFromText="180" w:rightFromText="180" w:vertAnchor="text" w:horzAnchor="margin" w:tblpXSpec="center" w:tblpY="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420"/>
        <w:gridCol w:w="2239"/>
        <w:gridCol w:w="2840"/>
        <w:gridCol w:w="2351"/>
      </w:tblGrid>
      <w:tr w14:paraId="2F1945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8" w:type="pct"/>
            <w:vAlign w:val="center"/>
          </w:tcPr>
          <w:p w14:paraId="68C5F073">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u w:val="none"/>
              </w:rPr>
            </w:pPr>
          </w:p>
          <w:p w14:paraId="629D3ABE">
            <w:pPr>
              <w:adjustRightInd w:val="0"/>
              <w:snapToGrid w:val="0"/>
              <w:spacing w:line="240" w:lineRule="auto"/>
              <w:ind w:firstLine="0" w:firstLineChars="0"/>
              <w:jc w:val="center"/>
              <w:rPr>
                <w:rFonts w:hint="default" w:ascii="Times New Roman" w:hAnsi="Times New Roman" w:cs="Times New Roman"/>
                <w:b/>
                <w:bCs/>
                <w:snapToGrid w:val="0"/>
                <w:color w:val="auto"/>
                <w:kern w:val="0"/>
                <w:sz w:val="21"/>
                <w:szCs w:val="21"/>
                <w:u w:val="none"/>
              </w:rPr>
            </w:pPr>
            <w:r>
              <w:rPr>
                <w:rFonts w:hint="default" w:ascii="Times New Roman" w:hAnsi="Times New Roman" w:cs="Times New Roman"/>
                <w:b/>
                <w:bCs/>
                <w:snapToGrid w:val="0"/>
                <w:color w:val="auto"/>
                <w:kern w:val="0"/>
                <w:sz w:val="21"/>
                <w:szCs w:val="21"/>
                <w:u w:val="none"/>
              </w:rPr>
              <w:t>敏感程度</w:t>
            </w:r>
          </w:p>
          <w:p w14:paraId="7FF93F7A">
            <w:pPr>
              <w:adjustRightInd w:val="0"/>
              <w:snapToGrid w:val="0"/>
              <w:ind w:firstLine="0" w:firstLineChars="0"/>
              <w:jc w:val="center"/>
              <w:rPr>
                <w:rFonts w:hint="default" w:ascii="Times New Roman" w:hAnsi="Times New Roman" w:cs="Times New Roman"/>
                <w:b/>
                <w:bCs/>
                <w:snapToGrid w:val="0"/>
                <w:color w:val="auto"/>
                <w:kern w:val="0"/>
                <w:sz w:val="21"/>
                <w:szCs w:val="21"/>
                <w:u w:val="none"/>
              </w:rPr>
            </w:pPr>
            <w:r>
              <w:rPr>
                <w:rFonts w:hint="default" w:ascii="Times New Roman" w:hAnsi="Times New Roman" w:cs="Times New Roman"/>
                <w:b/>
                <w:bCs/>
                <w:snapToGrid w:val="0"/>
                <w:color w:val="auto"/>
                <w:kern w:val="0"/>
                <w:sz w:val="21"/>
                <w:szCs w:val="21"/>
                <w:u w:val="none"/>
              </w:rPr>
              <w:t>项目类别</w:t>
            </w:r>
          </w:p>
        </w:tc>
        <w:tc>
          <w:tcPr>
            <w:tcW w:w="1136" w:type="pct"/>
            <w:vAlign w:val="center"/>
          </w:tcPr>
          <w:p w14:paraId="30D24719">
            <w:pPr>
              <w:adjustRightInd w:val="0"/>
              <w:snapToGrid w:val="0"/>
              <w:ind w:firstLine="0" w:firstLineChars="0"/>
              <w:jc w:val="center"/>
              <w:rPr>
                <w:rFonts w:hint="default" w:ascii="Times New Roman" w:hAnsi="Times New Roman" w:cs="Times New Roman"/>
                <w:b/>
                <w:bCs/>
                <w:snapToGrid w:val="0"/>
                <w:color w:val="auto"/>
                <w:kern w:val="0"/>
                <w:sz w:val="21"/>
                <w:szCs w:val="21"/>
                <w:u w:val="none"/>
              </w:rPr>
            </w:pPr>
            <w:r>
              <w:rPr>
                <w:rFonts w:hint="default" w:ascii="Times New Roman" w:hAnsi="Times New Roman" w:cs="Times New Roman"/>
                <w:b/>
                <w:bCs/>
                <w:snapToGrid w:val="0"/>
                <w:color w:val="auto"/>
                <w:kern w:val="0"/>
                <w:sz w:val="21"/>
                <w:szCs w:val="21"/>
                <w:u w:val="none"/>
              </w:rPr>
              <w:t>Ⅰ类项目</w:t>
            </w:r>
          </w:p>
        </w:tc>
        <w:tc>
          <w:tcPr>
            <w:tcW w:w="1441" w:type="pct"/>
            <w:vAlign w:val="center"/>
          </w:tcPr>
          <w:p w14:paraId="75439BEB">
            <w:pPr>
              <w:adjustRightInd w:val="0"/>
              <w:snapToGrid w:val="0"/>
              <w:ind w:firstLine="0" w:firstLineChars="0"/>
              <w:jc w:val="center"/>
              <w:rPr>
                <w:rFonts w:hint="default" w:ascii="Times New Roman" w:hAnsi="Times New Roman" w:cs="Times New Roman"/>
                <w:b/>
                <w:bCs/>
                <w:snapToGrid w:val="0"/>
                <w:color w:val="auto"/>
                <w:kern w:val="0"/>
                <w:sz w:val="21"/>
                <w:szCs w:val="21"/>
                <w:u w:val="none"/>
              </w:rPr>
            </w:pPr>
            <w:r>
              <w:rPr>
                <w:rFonts w:hint="default" w:ascii="Times New Roman" w:hAnsi="Times New Roman" w:cs="Times New Roman"/>
                <w:b/>
                <w:bCs/>
                <w:snapToGrid w:val="0"/>
                <w:color w:val="auto"/>
                <w:kern w:val="0"/>
                <w:sz w:val="21"/>
                <w:szCs w:val="21"/>
                <w:u w:val="none"/>
              </w:rPr>
              <w:t>Ⅱ类项目</w:t>
            </w:r>
          </w:p>
        </w:tc>
        <w:tc>
          <w:tcPr>
            <w:tcW w:w="1193" w:type="pct"/>
            <w:vAlign w:val="center"/>
          </w:tcPr>
          <w:p w14:paraId="59017BD5">
            <w:pPr>
              <w:adjustRightInd w:val="0"/>
              <w:snapToGrid w:val="0"/>
              <w:ind w:firstLine="0" w:firstLineChars="0"/>
              <w:jc w:val="center"/>
              <w:rPr>
                <w:rFonts w:hint="default" w:ascii="Times New Roman" w:hAnsi="Times New Roman" w:cs="Times New Roman"/>
                <w:b/>
                <w:bCs/>
                <w:snapToGrid w:val="0"/>
                <w:color w:val="auto"/>
                <w:kern w:val="0"/>
                <w:sz w:val="21"/>
                <w:szCs w:val="21"/>
                <w:u w:val="none"/>
              </w:rPr>
            </w:pPr>
            <w:r>
              <w:rPr>
                <w:rFonts w:hint="default" w:ascii="Times New Roman" w:hAnsi="Times New Roman" w:cs="Times New Roman"/>
                <w:b/>
                <w:bCs/>
                <w:snapToGrid w:val="0"/>
                <w:color w:val="auto"/>
                <w:kern w:val="0"/>
                <w:sz w:val="21"/>
                <w:szCs w:val="21"/>
                <w:u w:val="none"/>
              </w:rPr>
              <w:t>Ⅲ类项目</w:t>
            </w:r>
          </w:p>
        </w:tc>
      </w:tr>
      <w:tr w14:paraId="6C114A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8" w:type="pct"/>
            <w:vAlign w:val="center"/>
          </w:tcPr>
          <w:p w14:paraId="03D1E19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敏感</w:t>
            </w:r>
          </w:p>
        </w:tc>
        <w:tc>
          <w:tcPr>
            <w:tcW w:w="1136" w:type="pct"/>
            <w:vAlign w:val="center"/>
          </w:tcPr>
          <w:p w14:paraId="74F83981">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w:t>
            </w:r>
          </w:p>
        </w:tc>
        <w:tc>
          <w:tcPr>
            <w:tcW w:w="1441" w:type="pct"/>
            <w:vAlign w:val="center"/>
          </w:tcPr>
          <w:p w14:paraId="366592DA">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w:t>
            </w:r>
          </w:p>
        </w:tc>
        <w:tc>
          <w:tcPr>
            <w:tcW w:w="1193" w:type="pct"/>
            <w:vAlign w:val="center"/>
          </w:tcPr>
          <w:p w14:paraId="3C76A1CD">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w:t>
            </w:r>
          </w:p>
        </w:tc>
      </w:tr>
      <w:tr w14:paraId="16C15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8" w:type="pct"/>
            <w:vAlign w:val="center"/>
          </w:tcPr>
          <w:p w14:paraId="33B4B965">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较敏感</w:t>
            </w:r>
          </w:p>
        </w:tc>
        <w:tc>
          <w:tcPr>
            <w:tcW w:w="1136" w:type="pct"/>
            <w:vAlign w:val="center"/>
          </w:tcPr>
          <w:p w14:paraId="3E4C77E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w:t>
            </w:r>
          </w:p>
        </w:tc>
        <w:tc>
          <w:tcPr>
            <w:tcW w:w="1441" w:type="pct"/>
            <w:vAlign w:val="center"/>
          </w:tcPr>
          <w:p w14:paraId="286C1FB8">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w:t>
            </w:r>
          </w:p>
        </w:tc>
        <w:tc>
          <w:tcPr>
            <w:tcW w:w="1193" w:type="pct"/>
            <w:vAlign w:val="center"/>
          </w:tcPr>
          <w:p w14:paraId="1E64FD1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w:t>
            </w:r>
          </w:p>
        </w:tc>
      </w:tr>
      <w:tr w14:paraId="51D648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28" w:type="pct"/>
            <w:vAlign w:val="center"/>
          </w:tcPr>
          <w:p w14:paraId="6B8242F8">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不敏感</w:t>
            </w:r>
          </w:p>
        </w:tc>
        <w:tc>
          <w:tcPr>
            <w:tcW w:w="1136" w:type="pct"/>
            <w:vAlign w:val="center"/>
          </w:tcPr>
          <w:p w14:paraId="6DF74FF1">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w:t>
            </w:r>
          </w:p>
        </w:tc>
        <w:tc>
          <w:tcPr>
            <w:tcW w:w="1441" w:type="pct"/>
            <w:vAlign w:val="center"/>
          </w:tcPr>
          <w:p w14:paraId="564B46E0">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w:t>
            </w:r>
          </w:p>
        </w:tc>
        <w:tc>
          <w:tcPr>
            <w:tcW w:w="1193" w:type="pct"/>
            <w:vAlign w:val="center"/>
          </w:tcPr>
          <w:p w14:paraId="057B1D05">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shd w:val="clear" w:color="FFFFFF" w:fill="D9D9D9"/>
              </w:rPr>
              <w:t>三</w:t>
            </w:r>
          </w:p>
        </w:tc>
      </w:tr>
    </w:tbl>
    <w:p w14:paraId="575A84AB">
      <w:pPr>
        <w:ind w:left="480" w:leftChars="200" w:firstLine="0" w:firstLineChars="0"/>
        <w:rPr>
          <w:rFonts w:hint="default" w:ascii="Times New Roman" w:hAnsi="Times New Roman" w:cs="Times New Roman"/>
          <w:color w:val="auto"/>
          <w:u w:val="none"/>
        </w:rPr>
      </w:pPr>
      <w:r>
        <w:rPr>
          <w:rFonts w:hint="default" w:ascii="Times New Roman" w:hAnsi="Times New Roman" w:cs="Times New Roman"/>
          <w:color w:val="auto"/>
          <w:u w:val="none"/>
        </w:rPr>
        <w:t>2、评价范围</w:t>
      </w:r>
    </w:p>
    <w:p w14:paraId="594E7DD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地下水环境影响评价范围：以项目为中心，项目所在地周边6km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范围。</w:t>
      </w:r>
    </w:p>
    <w:p w14:paraId="254F8999">
      <w:pPr>
        <w:pStyle w:val="5"/>
        <w:rPr>
          <w:rFonts w:hint="default" w:ascii="Times New Roman" w:hAnsi="Times New Roman" w:cs="Times New Roman"/>
          <w:color w:val="auto"/>
          <w:u w:val="none"/>
        </w:rPr>
      </w:pPr>
      <w:r>
        <w:rPr>
          <w:rFonts w:hint="default" w:ascii="Times New Roman" w:hAnsi="Times New Roman" w:cs="Times New Roman"/>
          <w:color w:val="auto"/>
          <w:u w:val="none"/>
        </w:rPr>
        <w:t>声环境</w:t>
      </w:r>
      <w:bookmarkEnd w:id="38"/>
    </w:p>
    <w:p w14:paraId="7C3618D9">
      <w:pPr>
        <w:numPr>
          <w:ilvl w:val="0"/>
          <w:numId w:val="5"/>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评价等级</w:t>
      </w:r>
    </w:p>
    <w:p w14:paraId="2557C05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根据《环境影响评价技术导则声环境》（HJ2.4-2021）规定，从建设项目所在区域的声环境功能类别、建设项目建设前后所在区域的声环境质量变化程度、受建设项目影响人口数量来划分工作等级。</w:t>
      </w:r>
    </w:p>
    <w:p w14:paraId="17C479E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项目噪声主要来源于</w:t>
      </w:r>
      <w:r>
        <w:rPr>
          <w:rFonts w:hint="default" w:ascii="Times New Roman" w:hAnsi="Times New Roman" w:cs="Times New Roman"/>
          <w:color w:val="auto"/>
          <w:kern w:val="0"/>
          <w:u w:val="none"/>
        </w:rPr>
        <w:t>阳极氧化线、废水处理、废气处理等设备</w:t>
      </w:r>
      <w:r>
        <w:rPr>
          <w:rFonts w:hint="default" w:ascii="Times New Roman" w:hAnsi="Times New Roman" w:cs="Times New Roman"/>
          <w:color w:val="auto"/>
          <w:u w:val="none"/>
          <w:lang w:val="zh-CN"/>
        </w:rPr>
        <w:t>产生的噪声源强为</w:t>
      </w:r>
      <w:r>
        <w:rPr>
          <w:rFonts w:hint="default" w:ascii="Times New Roman" w:hAnsi="Times New Roman" w:cs="Times New Roman"/>
          <w:color w:val="auto"/>
          <w:u w:val="none"/>
        </w:rPr>
        <w:t>50</w:t>
      </w:r>
      <w:r>
        <w:rPr>
          <w:rFonts w:hint="default" w:ascii="Times New Roman" w:hAnsi="Times New Roman" w:cs="Times New Roman"/>
          <w:color w:val="auto"/>
          <w:u w:val="none"/>
          <w:lang w:val="zh-CN"/>
        </w:rPr>
        <w:t>-85dB（A）之间，</w:t>
      </w:r>
      <w:r>
        <w:rPr>
          <w:rFonts w:hint="default" w:ascii="Times New Roman" w:hAnsi="Times New Roman" w:cs="Times New Roman"/>
          <w:color w:val="auto"/>
          <w:u w:val="none"/>
        </w:rPr>
        <w:t>项目通过采取适当降噪措施后，对评价范围内敏感目标受影响人口数量变化不大，评价区域执行《声环境质量标准》（GB3096-2008）中3类标准，</w:t>
      </w:r>
      <w:r>
        <w:rPr>
          <w:rFonts w:hint="default" w:ascii="Times New Roman" w:hAnsi="Times New Roman" w:cs="Times New Roman"/>
          <w:color w:val="auto"/>
          <w:u w:val="none"/>
          <w:lang w:val="zh-CN"/>
        </w:rPr>
        <w:t>根据《环境影响评价技术导则—声环境》（HJ2.4-20</w:t>
      </w:r>
      <w:r>
        <w:rPr>
          <w:rFonts w:hint="default" w:ascii="Times New Roman" w:hAnsi="Times New Roman" w:cs="Times New Roman"/>
          <w:color w:val="auto"/>
          <w:u w:val="none"/>
        </w:rPr>
        <w:t>21</w:t>
      </w:r>
      <w:r>
        <w:rPr>
          <w:rFonts w:hint="default" w:ascii="Times New Roman" w:hAnsi="Times New Roman" w:cs="Times New Roman"/>
          <w:color w:val="auto"/>
          <w:u w:val="none"/>
          <w:lang w:val="zh-CN"/>
        </w:rPr>
        <w:t>）中关于工作等级划分原则，确定</w:t>
      </w:r>
      <w:r>
        <w:rPr>
          <w:rFonts w:hint="default" w:ascii="Times New Roman" w:hAnsi="Times New Roman" w:cs="Times New Roman"/>
          <w:color w:val="auto"/>
          <w:u w:val="none"/>
        </w:rPr>
        <w:t>本项目声环境影响评价工作等级为</w:t>
      </w:r>
      <w:r>
        <w:rPr>
          <w:rFonts w:hint="default" w:ascii="Times New Roman" w:hAnsi="Times New Roman" w:cs="Times New Roman"/>
          <w:snapToGrid w:val="0"/>
          <w:color w:val="auto"/>
          <w:u w:val="none"/>
        </w:rPr>
        <w:t>三级</w:t>
      </w:r>
      <w:r>
        <w:rPr>
          <w:rFonts w:hint="default" w:ascii="Times New Roman" w:hAnsi="Times New Roman" w:cs="Times New Roman"/>
          <w:color w:val="auto"/>
          <w:u w:val="none"/>
        </w:rPr>
        <w:t>。</w:t>
      </w:r>
    </w:p>
    <w:p w14:paraId="13BBDC1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2、评价范围</w:t>
      </w:r>
    </w:p>
    <w:p w14:paraId="37885A7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本项目声环境评价范围为项目边界外200m。</w:t>
      </w:r>
    </w:p>
    <w:p w14:paraId="2F94BD2F">
      <w:pPr>
        <w:pStyle w:val="5"/>
        <w:rPr>
          <w:rFonts w:hint="default" w:ascii="Times New Roman" w:hAnsi="Times New Roman" w:cs="Times New Roman"/>
          <w:color w:val="auto"/>
          <w:u w:val="none"/>
        </w:rPr>
      </w:pPr>
      <w:r>
        <w:rPr>
          <w:rFonts w:hint="default" w:ascii="Times New Roman" w:hAnsi="Times New Roman" w:cs="Times New Roman"/>
          <w:color w:val="auto"/>
          <w:u w:val="none"/>
        </w:rPr>
        <w:t>生态环境</w:t>
      </w:r>
    </w:p>
    <w:p w14:paraId="53FACB1D">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根据《环境影响评价技术导则 生态影响》(HJ19-2022)6.1.8 符合生态环境分区管控要求且位于原厂界（或永久用地）范围内的污染影响类改扩建项目，位于已批准规划环评的产业园区内且符合规划环评要求、不涉及生态敏感区的污染影响类建设项目，可不 确定评价等级，直接进行生态影响简单分析。</w:t>
      </w:r>
    </w:p>
    <w:p w14:paraId="4A8982A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本项目位于湖南城陵矶临港产业新区产业核心区，湖南省环保厅</w:t>
      </w:r>
      <w:r>
        <w:rPr>
          <w:rFonts w:hint="default" w:ascii="Times New Roman" w:hAnsi="Times New Roman" w:cs="Times New Roman"/>
          <w:color w:val="auto"/>
          <w:u w:val="none"/>
        </w:rPr>
        <w:t>于</w:t>
      </w:r>
      <w:r>
        <w:rPr>
          <w:rFonts w:hint="default" w:ascii="Times New Roman" w:hAnsi="Times New Roman" w:cs="Times New Roman"/>
          <w:color w:val="auto"/>
          <w:u w:val="none"/>
          <w:lang w:val="zh-CN"/>
        </w:rPr>
        <w:t>2012年9月18日以湘环评[2012]293号文对《湖南城陵矶临港产业新区产业核心区环境影响报告书》进行了批复，根据2.5.2可知，本项目属于污染影响类，项目的建设符合《湖南城陵矶临港产业新区产业核心区环境影响报告书》的要求，且不涉及生态敏感区。</w:t>
      </w:r>
      <w:r>
        <w:rPr>
          <w:rFonts w:hint="default" w:ascii="Times New Roman" w:hAnsi="Times New Roman" w:cs="Times New Roman"/>
          <w:color w:val="auto"/>
          <w:u w:val="none"/>
        </w:rPr>
        <w:t>故本项目</w:t>
      </w:r>
      <w:r>
        <w:rPr>
          <w:rFonts w:hint="default" w:ascii="Times New Roman" w:hAnsi="Times New Roman" w:cs="Times New Roman"/>
          <w:color w:val="auto"/>
          <w:u w:val="none"/>
          <w:lang w:val="zh-CN"/>
        </w:rPr>
        <w:t>可不确定评价等级，</w:t>
      </w:r>
      <w:r>
        <w:rPr>
          <w:rFonts w:hint="default" w:ascii="Times New Roman" w:hAnsi="Times New Roman" w:cs="Times New Roman"/>
          <w:color w:val="auto"/>
          <w:u w:val="none"/>
        </w:rPr>
        <w:t>直接</w:t>
      </w:r>
      <w:r>
        <w:rPr>
          <w:rFonts w:hint="default" w:ascii="Times New Roman" w:hAnsi="Times New Roman" w:cs="Times New Roman"/>
          <w:color w:val="auto"/>
          <w:u w:val="none"/>
          <w:lang w:val="zh-CN"/>
        </w:rPr>
        <w:t>进行生态影响简单分析。</w:t>
      </w:r>
    </w:p>
    <w:p w14:paraId="6A82DFEA">
      <w:pPr>
        <w:pStyle w:val="5"/>
        <w:rPr>
          <w:rFonts w:hint="default" w:ascii="Times New Roman" w:hAnsi="Times New Roman" w:cs="Times New Roman"/>
          <w:color w:val="auto"/>
          <w:u w:val="none"/>
        </w:rPr>
      </w:pPr>
      <w:r>
        <w:rPr>
          <w:rFonts w:hint="default" w:ascii="Times New Roman" w:hAnsi="Times New Roman" w:cs="Times New Roman"/>
          <w:color w:val="auto"/>
          <w:u w:val="none"/>
        </w:rPr>
        <w:t>土壤环境</w:t>
      </w:r>
    </w:p>
    <w:p w14:paraId="1D4E330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（1）土壤环境评价等级</w:t>
      </w:r>
    </w:p>
    <w:p w14:paraId="7CA9393E">
      <w:pPr>
        <w:ind w:firstLine="480"/>
        <w:rPr>
          <w:rFonts w:hint="default" w:ascii="Times New Roman" w:hAnsi="Times New Roman" w:cs="Times New Roman"/>
          <w:color w:val="auto"/>
          <w:szCs w:val="21"/>
          <w:u w:val="none"/>
          <w:lang w:bidi="ar"/>
        </w:rPr>
      </w:pPr>
      <w:r>
        <w:rPr>
          <w:rFonts w:hint="default" w:ascii="Times New Roman" w:hAnsi="Times New Roman" w:cs="Times New Roman"/>
          <w:color w:val="auto"/>
          <w:szCs w:val="21"/>
          <w:u w:val="none"/>
          <w:lang w:bidi="ar"/>
        </w:rPr>
        <w:t>根据《环境影响评价技术导则-土壤环境》（HJ964-2018）中规定的建设项目所属行业的土壤环境影响评价项目类别、占地规模、土壤环境敏感程度划分评价工作等级。</w:t>
      </w:r>
    </w:p>
    <w:p w14:paraId="5AFE4D9B">
      <w:pPr>
        <w:ind w:firstLine="480"/>
        <w:rPr>
          <w:rFonts w:hint="default" w:ascii="Times New Roman" w:hAnsi="Times New Roman" w:cs="Times New Roman"/>
          <w:color w:val="auto"/>
          <w:szCs w:val="21"/>
          <w:u w:val="none"/>
          <w:lang w:bidi="ar"/>
        </w:rPr>
      </w:pPr>
      <w:r>
        <w:rPr>
          <w:rFonts w:hint="default" w:ascii="Times New Roman" w:hAnsi="Times New Roman" w:cs="Times New Roman"/>
          <w:color w:val="auto"/>
          <w:szCs w:val="21"/>
          <w:u w:val="none"/>
          <w:lang w:bidi="ar"/>
        </w:rPr>
        <w:t>本项目属于《环境影响评价技术导则 土壤环境》（HJ964-2018）附录A中的Ⅰ类项目。</w:t>
      </w:r>
    </w:p>
    <w:p w14:paraId="1EF90890">
      <w:pPr>
        <w:ind w:firstLine="480"/>
        <w:rPr>
          <w:rFonts w:hint="default" w:ascii="Times New Roman" w:hAnsi="Times New Roman" w:cs="Times New Roman"/>
          <w:color w:val="auto"/>
          <w:szCs w:val="21"/>
          <w:u w:val="none"/>
          <w:lang w:bidi="ar"/>
        </w:rPr>
      </w:pPr>
      <w:r>
        <w:rPr>
          <w:rFonts w:hint="default" w:ascii="Times New Roman" w:hAnsi="Times New Roman" w:cs="Times New Roman"/>
          <w:color w:val="auto"/>
          <w:szCs w:val="21"/>
          <w:u w:val="none"/>
          <w:lang w:bidi="ar"/>
        </w:rPr>
        <w:t>根据《环境影响评价技术导则 土壤环境》（HJ964-2018）将建设项目占地规模分为大型（≥50hm</w:t>
      </w:r>
      <w:r>
        <w:rPr>
          <w:rFonts w:hint="default" w:ascii="Times New Roman" w:hAnsi="Times New Roman" w:cs="Times New Roman"/>
          <w:color w:val="auto"/>
          <w:szCs w:val="21"/>
          <w:u w:val="none"/>
          <w:vertAlign w:val="superscript"/>
          <w:lang w:bidi="ar"/>
        </w:rPr>
        <w:t>2</w:t>
      </w:r>
      <w:r>
        <w:rPr>
          <w:rFonts w:hint="default" w:ascii="Times New Roman" w:hAnsi="Times New Roman" w:cs="Times New Roman"/>
          <w:color w:val="auto"/>
          <w:szCs w:val="21"/>
          <w:u w:val="none"/>
          <w:lang w:bidi="ar"/>
        </w:rPr>
        <w:t>）、中型（5-50hm</w:t>
      </w:r>
      <w:r>
        <w:rPr>
          <w:rFonts w:hint="default" w:ascii="Times New Roman" w:hAnsi="Times New Roman" w:cs="Times New Roman"/>
          <w:color w:val="auto"/>
          <w:szCs w:val="21"/>
          <w:u w:val="none"/>
          <w:vertAlign w:val="superscript"/>
          <w:lang w:bidi="ar"/>
        </w:rPr>
        <w:t>2</w:t>
      </w:r>
      <w:r>
        <w:rPr>
          <w:rFonts w:hint="default" w:ascii="Times New Roman" w:hAnsi="Times New Roman" w:cs="Times New Roman"/>
          <w:color w:val="auto"/>
          <w:szCs w:val="21"/>
          <w:u w:val="none"/>
          <w:lang w:bidi="ar"/>
        </w:rPr>
        <w:t>）、小型（≤5hm</w:t>
      </w:r>
      <w:r>
        <w:rPr>
          <w:rFonts w:hint="default" w:ascii="Times New Roman" w:hAnsi="Times New Roman" w:cs="Times New Roman"/>
          <w:color w:val="auto"/>
          <w:szCs w:val="21"/>
          <w:u w:val="none"/>
          <w:vertAlign w:val="superscript"/>
          <w:lang w:bidi="ar"/>
        </w:rPr>
        <w:t>2</w:t>
      </w:r>
      <w:r>
        <w:rPr>
          <w:rFonts w:hint="default" w:ascii="Times New Roman" w:hAnsi="Times New Roman" w:cs="Times New Roman"/>
          <w:color w:val="auto"/>
          <w:szCs w:val="21"/>
          <w:u w:val="none"/>
          <w:lang w:bidi="ar"/>
        </w:rPr>
        <w:t>），建设项目占地主要为永久占地。本项目永久生产区建筑面积为</w:t>
      </w:r>
      <w:r>
        <w:rPr>
          <w:rFonts w:hint="eastAsia" w:ascii="Times New Roman" w:hAnsi="Times New Roman" w:cs="Times New Roman"/>
          <w:color w:val="auto"/>
          <w:szCs w:val="21"/>
          <w:u w:val="none"/>
          <w:lang w:val="en-US" w:eastAsia="zh-CN" w:bidi="ar"/>
        </w:rPr>
        <w:t>2109</w:t>
      </w:r>
      <w:r>
        <w:rPr>
          <w:rFonts w:hint="default" w:ascii="Times New Roman" w:hAnsi="Times New Roman" w:cs="Times New Roman"/>
          <w:color w:val="auto"/>
          <w:szCs w:val="21"/>
          <w:u w:val="none"/>
          <w:lang w:bidi="ar"/>
        </w:rPr>
        <w:t>m</w:t>
      </w:r>
      <w:r>
        <w:rPr>
          <w:rFonts w:hint="default" w:ascii="Times New Roman" w:hAnsi="Times New Roman" w:cs="Times New Roman"/>
          <w:color w:val="auto"/>
          <w:szCs w:val="21"/>
          <w:u w:val="none"/>
          <w:vertAlign w:val="superscript"/>
          <w:lang w:bidi="ar"/>
        </w:rPr>
        <w:t>2</w:t>
      </w:r>
      <w:r>
        <w:rPr>
          <w:rFonts w:hint="default" w:ascii="Times New Roman" w:hAnsi="Times New Roman" w:cs="Times New Roman"/>
          <w:color w:val="auto"/>
          <w:szCs w:val="21"/>
          <w:u w:val="none"/>
          <w:lang w:bidi="ar"/>
        </w:rPr>
        <w:t>，占地规模属于</w:t>
      </w:r>
      <w:r>
        <w:rPr>
          <w:rFonts w:hint="eastAsia" w:ascii="Times New Roman" w:hAnsi="Times New Roman" w:cs="Times New Roman"/>
          <w:color w:val="auto"/>
          <w:szCs w:val="21"/>
          <w:u w:val="none"/>
          <w:lang w:val="en-US" w:eastAsia="zh-CN" w:bidi="ar"/>
        </w:rPr>
        <w:t>小</w:t>
      </w:r>
      <w:r>
        <w:rPr>
          <w:rFonts w:hint="default" w:ascii="Times New Roman" w:hAnsi="Times New Roman" w:cs="Times New Roman"/>
          <w:color w:val="auto"/>
          <w:szCs w:val="21"/>
          <w:u w:val="none"/>
          <w:lang w:bidi="ar"/>
        </w:rPr>
        <w:t>型。</w:t>
      </w:r>
    </w:p>
    <w:p w14:paraId="70979842">
      <w:pPr>
        <w:widowControl/>
        <w:ind w:firstLine="480"/>
        <w:jc w:val="left"/>
        <w:rPr>
          <w:rFonts w:hint="default" w:ascii="Times New Roman" w:hAnsi="Times New Roman" w:cs="Times New Roman"/>
          <w:color w:val="auto"/>
          <w:u w:val="none"/>
          <w:lang w:bidi="ar"/>
        </w:rPr>
      </w:pPr>
      <w:r>
        <w:rPr>
          <w:rFonts w:hint="default" w:ascii="Times New Roman" w:hAnsi="Times New Roman" w:cs="Times New Roman"/>
          <w:color w:val="auto"/>
          <w:u w:val="none"/>
          <w:lang w:bidi="ar"/>
        </w:rPr>
        <w:t>建设项目所在地周边的土壤环境敏感程度判别依据见表2.4-5。</w:t>
      </w:r>
    </w:p>
    <w:p w14:paraId="49B12D5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p>
    <w:p w14:paraId="1576DB1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表2.4-5</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 xml:space="preserve"> 污染影响型项目敏感程度分级表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8496"/>
      </w:tblGrid>
      <w:tr w14:paraId="698AC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14:paraId="42991678">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敏感程度</w:t>
            </w:r>
          </w:p>
        </w:tc>
        <w:tc>
          <w:tcPr>
            <w:tcW w:w="4311" w:type="pct"/>
            <w:vAlign w:val="center"/>
          </w:tcPr>
          <w:p w14:paraId="1FD0CFB2">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判别依据</w:t>
            </w:r>
          </w:p>
        </w:tc>
      </w:tr>
      <w:tr w14:paraId="33FA0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14:paraId="108A1472">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敏感</w:t>
            </w:r>
          </w:p>
        </w:tc>
        <w:tc>
          <w:tcPr>
            <w:tcW w:w="4311" w:type="pct"/>
            <w:vAlign w:val="center"/>
          </w:tcPr>
          <w:p w14:paraId="64E334EC">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建设项目周边存在耕地、园地、牧草地、饮用水源地或居民区、学校、医院、疗养院等土壤环境敏感目标的</w:t>
            </w:r>
          </w:p>
        </w:tc>
      </w:tr>
      <w:tr w14:paraId="76D30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14:paraId="7A4B3EBC">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较敏感</w:t>
            </w:r>
          </w:p>
        </w:tc>
        <w:tc>
          <w:tcPr>
            <w:tcW w:w="4311" w:type="pct"/>
            <w:vAlign w:val="center"/>
          </w:tcPr>
          <w:p w14:paraId="6B805806">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建设项目周边存在其他土壤环境敏感目标的</w:t>
            </w:r>
          </w:p>
        </w:tc>
      </w:tr>
      <w:tr w14:paraId="6CF03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88" w:type="pct"/>
            <w:vAlign w:val="center"/>
          </w:tcPr>
          <w:p w14:paraId="5BE95CA3">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不敏感</w:t>
            </w:r>
          </w:p>
        </w:tc>
        <w:tc>
          <w:tcPr>
            <w:tcW w:w="4311" w:type="pct"/>
            <w:vAlign w:val="center"/>
          </w:tcPr>
          <w:p w14:paraId="65F73313">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其他情况</w:t>
            </w:r>
          </w:p>
        </w:tc>
      </w:tr>
    </w:tbl>
    <w:p w14:paraId="6BC766B6">
      <w:pPr>
        <w:ind w:firstLine="480"/>
        <w:rPr>
          <w:rFonts w:hint="default" w:ascii="Times New Roman" w:hAnsi="Times New Roman" w:cs="Times New Roman"/>
          <w:color w:val="auto"/>
          <w:szCs w:val="21"/>
          <w:u w:val="none"/>
          <w:lang w:bidi="ar"/>
        </w:rPr>
      </w:pPr>
      <w:r>
        <w:rPr>
          <w:rFonts w:hint="default" w:ascii="Times New Roman" w:hAnsi="Times New Roman" w:cs="Times New Roman"/>
          <w:color w:val="auto"/>
          <w:szCs w:val="21"/>
          <w:u w:val="none"/>
          <w:lang w:bidi="ar"/>
        </w:rPr>
        <w:t>根据表2.4-5，本项目周边200m范围内无居民区等敏感点，且为工业用地，故本项目土壤敏感程度为不敏感。</w:t>
      </w:r>
    </w:p>
    <w:p w14:paraId="47D7C28F">
      <w:pPr>
        <w:ind w:firstLine="480"/>
        <w:rPr>
          <w:rFonts w:hint="default" w:ascii="Times New Roman" w:hAnsi="Times New Roman" w:cs="Times New Roman"/>
          <w:color w:val="auto"/>
          <w:szCs w:val="21"/>
          <w:u w:val="none"/>
          <w:lang w:bidi="ar"/>
        </w:rPr>
      </w:pPr>
      <w:r>
        <w:rPr>
          <w:rFonts w:hint="default" w:ascii="Times New Roman" w:hAnsi="Times New Roman" w:cs="Times New Roman"/>
          <w:color w:val="auto"/>
          <w:szCs w:val="21"/>
          <w:u w:val="none"/>
          <w:lang w:bidi="ar"/>
        </w:rPr>
        <w:t>根据土壤环境影响评价项目类别、占地规模与敏感程度划分评价工作等级，详见表2.4-6。</w:t>
      </w:r>
    </w:p>
    <w:p w14:paraId="1B53428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表2.4-6</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 xml:space="preserve"> 污染型评价工作等级划分表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17"/>
        <w:gridCol w:w="869"/>
        <w:gridCol w:w="869"/>
        <w:gridCol w:w="871"/>
        <w:gridCol w:w="869"/>
        <w:gridCol w:w="871"/>
        <w:gridCol w:w="873"/>
        <w:gridCol w:w="869"/>
        <w:gridCol w:w="871"/>
        <w:gridCol w:w="871"/>
      </w:tblGrid>
      <w:tr w14:paraId="4CD44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024" w:type="pct"/>
            <w:vMerge w:val="restart"/>
            <w:vAlign w:val="center"/>
          </w:tcPr>
          <w:p w14:paraId="7938AE29">
            <w:pPr>
              <w:snapToGrid w:val="0"/>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敏感程度</w:t>
            </w:r>
          </w:p>
          <w:p w14:paraId="59ECF0BC">
            <w:pPr>
              <w:snapToGrid w:val="0"/>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 xml:space="preserve">  评价工作等级</w:t>
            </w:r>
          </w:p>
          <w:p w14:paraId="3AA30BB2">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占地规模</w:t>
            </w:r>
          </w:p>
        </w:tc>
        <w:tc>
          <w:tcPr>
            <w:tcW w:w="1324" w:type="pct"/>
            <w:gridSpan w:val="3"/>
            <w:vAlign w:val="center"/>
          </w:tcPr>
          <w:p w14:paraId="5B8B2F9F">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Ⅰ类</w:t>
            </w:r>
          </w:p>
        </w:tc>
        <w:tc>
          <w:tcPr>
            <w:tcW w:w="1326" w:type="pct"/>
            <w:gridSpan w:val="3"/>
            <w:vAlign w:val="center"/>
          </w:tcPr>
          <w:p w14:paraId="214B603F">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Ⅱ类</w:t>
            </w:r>
          </w:p>
        </w:tc>
        <w:tc>
          <w:tcPr>
            <w:tcW w:w="1325" w:type="pct"/>
            <w:gridSpan w:val="3"/>
            <w:vAlign w:val="center"/>
          </w:tcPr>
          <w:p w14:paraId="3C3E411A">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Ⅲ类</w:t>
            </w:r>
          </w:p>
        </w:tc>
      </w:tr>
      <w:tr w14:paraId="65349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Merge w:val="continue"/>
            <w:vAlign w:val="center"/>
          </w:tcPr>
          <w:p w14:paraId="56638058">
            <w:pPr>
              <w:spacing w:line="240" w:lineRule="auto"/>
              <w:ind w:firstLine="0" w:firstLineChars="0"/>
              <w:contextualSpacing/>
              <w:jc w:val="center"/>
              <w:rPr>
                <w:rFonts w:hint="default" w:ascii="Times New Roman" w:hAnsi="Times New Roman" w:cs="Times New Roman"/>
                <w:b/>
                <w:bCs/>
                <w:color w:val="auto"/>
                <w:sz w:val="21"/>
                <w:szCs w:val="21"/>
                <w:u w:val="none"/>
              </w:rPr>
            </w:pPr>
          </w:p>
        </w:tc>
        <w:tc>
          <w:tcPr>
            <w:tcW w:w="441" w:type="pct"/>
            <w:vAlign w:val="center"/>
          </w:tcPr>
          <w:p w14:paraId="2464E9BC">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大</w:t>
            </w:r>
          </w:p>
        </w:tc>
        <w:tc>
          <w:tcPr>
            <w:tcW w:w="441" w:type="pct"/>
            <w:vAlign w:val="center"/>
          </w:tcPr>
          <w:p w14:paraId="086BCE52">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中</w:t>
            </w:r>
          </w:p>
        </w:tc>
        <w:tc>
          <w:tcPr>
            <w:tcW w:w="441" w:type="pct"/>
            <w:vAlign w:val="center"/>
          </w:tcPr>
          <w:p w14:paraId="296351BE">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小</w:t>
            </w:r>
          </w:p>
        </w:tc>
        <w:tc>
          <w:tcPr>
            <w:tcW w:w="441" w:type="pct"/>
            <w:vAlign w:val="center"/>
          </w:tcPr>
          <w:p w14:paraId="0AE28420">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大</w:t>
            </w:r>
          </w:p>
        </w:tc>
        <w:tc>
          <w:tcPr>
            <w:tcW w:w="442" w:type="pct"/>
            <w:vAlign w:val="center"/>
          </w:tcPr>
          <w:p w14:paraId="5CDD578C">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中</w:t>
            </w:r>
          </w:p>
        </w:tc>
        <w:tc>
          <w:tcPr>
            <w:tcW w:w="442" w:type="pct"/>
            <w:vAlign w:val="center"/>
          </w:tcPr>
          <w:p w14:paraId="264971BF">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小</w:t>
            </w:r>
          </w:p>
        </w:tc>
        <w:tc>
          <w:tcPr>
            <w:tcW w:w="441" w:type="pct"/>
            <w:vAlign w:val="center"/>
          </w:tcPr>
          <w:p w14:paraId="1C37AA02">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大</w:t>
            </w:r>
          </w:p>
        </w:tc>
        <w:tc>
          <w:tcPr>
            <w:tcW w:w="442" w:type="pct"/>
            <w:vAlign w:val="center"/>
          </w:tcPr>
          <w:p w14:paraId="22332BB7">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中</w:t>
            </w:r>
          </w:p>
        </w:tc>
        <w:tc>
          <w:tcPr>
            <w:tcW w:w="441" w:type="pct"/>
            <w:vAlign w:val="center"/>
          </w:tcPr>
          <w:p w14:paraId="578F0690">
            <w:pPr>
              <w:spacing w:line="240" w:lineRule="auto"/>
              <w:ind w:firstLine="0" w:firstLineChars="0"/>
              <w:contextualSpacing/>
              <w:jc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小</w:t>
            </w:r>
          </w:p>
        </w:tc>
      </w:tr>
      <w:tr w14:paraId="615C21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5B365A47">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敏感</w:t>
            </w:r>
          </w:p>
        </w:tc>
        <w:tc>
          <w:tcPr>
            <w:tcW w:w="441" w:type="pct"/>
            <w:vAlign w:val="center"/>
          </w:tcPr>
          <w:p w14:paraId="5D41AD08">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441" w:type="pct"/>
            <w:vAlign w:val="center"/>
          </w:tcPr>
          <w:p w14:paraId="39E0900C">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441" w:type="pct"/>
            <w:vAlign w:val="center"/>
          </w:tcPr>
          <w:p w14:paraId="1B97F6C1">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441" w:type="pct"/>
            <w:vAlign w:val="center"/>
          </w:tcPr>
          <w:p w14:paraId="25C705E3">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2" w:type="pct"/>
            <w:vAlign w:val="center"/>
          </w:tcPr>
          <w:p w14:paraId="5D3805C7">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2" w:type="pct"/>
            <w:vAlign w:val="center"/>
          </w:tcPr>
          <w:p w14:paraId="4EF3B788">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1" w:type="pct"/>
            <w:vAlign w:val="center"/>
          </w:tcPr>
          <w:p w14:paraId="4D8FA55A">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2" w:type="pct"/>
            <w:vAlign w:val="center"/>
          </w:tcPr>
          <w:p w14:paraId="768A525F">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1" w:type="pct"/>
            <w:vAlign w:val="center"/>
          </w:tcPr>
          <w:p w14:paraId="701B3E0D">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r>
      <w:tr w14:paraId="56C10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24A6E9A2">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较敏感</w:t>
            </w:r>
          </w:p>
        </w:tc>
        <w:tc>
          <w:tcPr>
            <w:tcW w:w="441" w:type="pct"/>
            <w:vAlign w:val="center"/>
          </w:tcPr>
          <w:p w14:paraId="2E5A3F3F">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441" w:type="pct"/>
            <w:vAlign w:val="center"/>
          </w:tcPr>
          <w:p w14:paraId="247211DD">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一级</w:t>
            </w:r>
          </w:p>
        </w:tc>
        <w:tc>
          <w:tcPr>
            <w:tcW w:w="441" w:type="pct"/>
            <w:vAlign w:val="center"/>
          </w:tcPr>
          <w:p w14:paraId="61C3083C">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1" w:type="pct"/>
            <w:vAlign w:val="center"/>
          </w:tcPr>
          <w:p w14:paraId="4F08FA0B">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2" w:type="pct"/>
            <w:vAlign w:val="center"/>
          </w:tcPr>
          <w:p w14:paraId="6C7BE5DA">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2" w:type="pct"/>
            <w:vAlign w:val="center"/>
          </w:tcPr>
          <w:p w14:paraId="62147473">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1" w:type="pct"/>
            <w:vAlign w:val="center"/>
          </w:tcPr>
          <w:p w14:paraId="58D48E35">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2" w:type="pct"/>
            <w:vAlign w:val="center"/>
          </w:tcPr>
          <w:p w14:paraId="15864168">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1" w:type="pct"/>
            <w:vAlign w:val="center"/>
          </w:tcPr>
          <w:p w14:paraId="09FD09A6">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r w14:paraId="43006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24" w:type="pct"/>
            <w:vAlign w:val="center"/>
          </w:tcPr>
          <w:p w14:paraId="68F9A19A">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不敏感</w:t>
            </w:r>
          </w:p>
        </w:tc>
        <w:tc>
          <w:tcPr>
            <w:tcW w:w="441" w:type="pct"/>
            <w:vAlign w:val="center"/>
          </w:tcPr>
          <w:p w14:paraId="6013D89F">
            <w:pPr>
              <w:spacing w:line="240" w:lineRule="auto"/>
              <w:ind w:firstLine="0" w:firstLineChars="0"/>
              <w:contextualSpacing/>
              <w:jc w:val="center"/>
              <w:rPr>
                <w:rFonts w:hint="default" w:ascii="Times New Roman" w:hAnsi="Times New Roman" w:cs="Times New Roman"/>
                <w:color w:val="auto"/>
                <w:sz w:val="21"/>
                <w:szCs w:val="21"/>
                <w:u w:val="none"/>
                <w:shd w:val="clear" w:color="FFFFFF" w:fill="D9D9D9"/>
              </w:rPr>
            </w:pPr>
            <w:r>
              <w:rPr>
                <w:rFonts w:hint="default" w:ascii="Times New Roman" w:hAnsi="Times New Roman" w:cs="Times New Roman"/>
                <w:color w:val="auto"/>
                <w:sz w:val="21"/>
                <w:szCs w:val="21"/>
                <w:u w:val="none"/>
              </w:rPr>
              <w:t>一级</w:t>
            </w:r>
          </w:p>
        </w:tc>
        <w:tc>
          <w:tcPr>
            <w:tcW w:w="441" w:type="pct"/>
            <w:vAlign w:val="center"/>
          </w:tcPr>
          <w:p w14:paraId="40917DD8">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shd w:val="clear" w:color="auto" w:fill="auto"/>
              </w:rPr>
              <w:t>二级</w:t>
            </w:r>
          </w:p>
        </w:tc>
        <w:tc>
          <w:tcPr>
            <w:tcW w:w="441" w:type="pct"/>
            <w:vAlign w:val="center"/>
          </w:tcPr>
          <w:p w14:paraId="205B33D0">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shd w:val="clear" w:color="FFFFFF" w:fill="D9D9D9"/>
              </w:rPr>
              <w:t>二级</w:t>
            </w:r>
          </w:p>
        </w:tc>
        <w:tc>
          <w:tcPr>
            <w:tcW w:w="441" w:type="pct"/>
            <w:vAlign w:val="center"/>
          </w:tcPr>
          <w:p w14:paraId="535B2290">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二级</w:t>
            </w:r>
          </w:p>
        </w:tc>
        <w:tc>
          <w:tcPr>
            <w:tcW w:w="442" w:type="pct"/>
            <w:vAlign w:val="center"/>
          </w:tcPr>
          <w:p w14:paraId="2FD36377">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2" w:type="pct"/>
            <w:vAlign w:val="center"/>
          </w:tcPr>
          <w:p w14:paraId="58F3C283">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1" w:type="pct"/>
            <w:vAlign w:val="center"/>
          </w:tcPr>
          <w:p w14:paraId="5C0B442B">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三级</w:t>
            </w:r>
          </w:p>
        </w:tc>
        <w:tc>
          <w:tcPr>
            <w:tcW w:w="442" w:type="pct"/>
            <w:vAlign w:val="center"/>
          </w:tcPr>
          <w:p w14:paraId="10E37F0C">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441" w:type="pct"/>
            <w:vAlign w:val="center"/>
          </w:tcPr>
          <w:p w14:paraId="1922C8FF">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bl>
    <w:p w14:paraId="49BF9A3F">
      <w:pPr>
        <w:ind w:firstLine="480"/>
        <w:rPr>
          <w:rFonts w:hint="default" w:ascii="Times New Roman" w:hAnsi="Times New Roman" w:eastAsia="华文中宋" w:cs="Times New Roman"/>
          <w:color w:val="auto"/>
          <w:u w:val="none"/>
        </w:rPr>
      </w:pPr>
      <w:r>
        <w:rPr>
          <w:rFonts w:hint="default" w:ascii="Times New Roman" w:hAnsi="Times New Roman" w:cs="Times New Roman"/>
          <w:color w:val="auto"/>
          <w:szCs w:val="21"/>
          <w:u w:val="none"/>
          <w:lang w:bidi="ar"/>
        </w:rPr>
        <w:t>根据表2.4-6判定，本项目土壤环境评价等级为二级。</w:t>
      </w:r>
    </w:p>
    <w:p w14:paraId="0B67F53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（2）评价范围</w:t>
      </w:r>
    </w:p>
    <w:p w14:paraId="43498743">
      <w:pPr>
        <w:ind w:firstLine="504"/>
        <w:rPr>
          <w:rFonts w:hint="default" w:ascii="Times New Roman" w:hAnsi="Times New Roman" w:cs="Times New Roman"/>
          <w:color w:val="auto"/>
          <w:u w:val="none"/>
        </w:rPr>
      </w:pPr>
      <w:r>
        <w:rPr>
          <w:rFonts w:hint="default" w:ascii="Times New Roman" w:hAnsi="Times New Roman" w:cs="Times New Roman"/>
          <w:color w:val="auto"/>
          <w:spacing w:val="6"/>
          <w:u w:val="none"/>
          <w:lang w:bidi="ar"/>
        </w:rPr>
        <w:t>根据《环境影响评价技术导则 土壤环境》（HJ964-2018），本项目土壤环评影响评价等级为二级，其现状调查范围为200m范围内，评价范围一般与现状调查范围一致，故本项目土壤环境评价范围为200m范围内</w:t>
      </w:r>
      <w:r>
        <w:rPr>
          <w:rFonts w:hint="default" w:ascii="Times New Roman" w:hAnsi="Times New Roman" w:cs="Times New Roman"/>
          <w:color w:val="auto"/>
          <w:u w:val="none"/>
          <w:lang w:val="zh-CN"/>
        </w:rPr>
        <w:t>。</w:t>
      </w:r>
    </w:p>
    <w:p w14:paraId="3F73B369">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环境风险</w:t>
      </w:r>
    </w:p>
    <w:p w14:paraId="1F7D62AC">
      <w:pPr>
        <w:ind w:firstLine="480"/>
        <w:rPr>
          <w:rFonts w:hint="default" w:ascii="Times New Roman" w:hAnsi="Times New Roman" w:cs="Times New Roman"/>
          <w:color w:val="auto"/>
          <w:u w:val="none"/>
        </w:rPr>
      </w:pPr>
      <w:bookmarkStart w:id="39" w:name="_Toc14396"/>
      <w:bookmarkStart w:id="40" w:name="_Toc11729"/>
      <w:r>
        <w:rPr>
          <w:rFonts w:hint="default" w:ascii="Times New Roman" w:hAnsi="Times New Roman" w:cs="Times New Roman"/>
          <w:color w:val="auto"/>
          <w:kern w:val="0"/>
          <w:u w:val="none"/>
        </w:rPr>
        <w:t>通过对本项目涉及的物质及工艺系统危险性和所在地环境敏感性确定环境风险潜势，本项目所在地为环境低度敏感区，</w:t>
      </w:r>
      <w:r>
        <w:rPr>
          <w:rFonts w:hint="default" w:ascii="Times New Roman" w:hAnsi="Times New Roman" w:cs="Times New Roman"/>
          <w:color w:val="auto"/>
          <w:u w:val="none"/>
        </w:rPr>
        <w:t>对照《建设项目环境风险评价技术导则》（HJ 169-2018）中附录 B，项目涉及的风险物质为硫酸、硝酸</w:t>
      </w:r>
      <w:r>
        <w:rPr>
          <w:rFonts w:hint="default" w:ascii="Times New Roman" w:hAnsi="Times New Roman" w:cs="Times New Roman"/>
          <w:color w:val="auto"/>
          <w:kern w:val="0"/>
          <w:u w:val="none"/>
        </w:rPr>
        <w:t>等风险物质</w:t>
      </w:r>
      <w:r>
        <w:rPr>
          <w:rFonts w:hint="default" w:ascii="Times New Roman" w:hAnsi="Times New Roman" w:cs="Times New Roman"/>
          <w:color w:val="auto"/>
          <w:u w:val="none"/>
        </w:rPr>
        <w:t>。</w:t>
      </w:r>
    </w:p>
    <w:p w14:paraId="69317E6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表2.4-7 </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危险物质数量与临界量的比值一览表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463"/>
        <w:gridCol w:w="1270"/>
        <w:gridCol w:w="2005"/>
        <w:gridCol w:w="1631"/>
        <w:gridCol w:w="2056"/>
      </w:tblGrid>
      <w:tr w14:paraId="61E2A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0DA5E9B7">
            <w:pPr>
              <w:pStyle w:val="56"/>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b w:val="0"/>
                <w:color w:val="auto"/>
                <w:u w:val="none"/>
              </w:rPr>
            </w:pPr>
            <w:r>
              <w:rPr>
                <w:rFonts w:hint="default" w:ascii="Times New Roman" w:hAnsi="Times New Roman" w:cs="Times New Roman"/>
                <w:b w:val="0"/>
                <w:color w:val="auto"/>
                <w:u w:val="none"/>
              </w:rPr>
              <w:t>物质名称</w:t>
            </w:r>
          </w:p>
        </w:tc>
        <w:tc>
          <w:tcPr>
            <w:tcW w:w="742" w:type="pct"/>
            <w:vAlign w:val="center"/>
          </w:tcPr>
          <w:p w14:paraId="1E83413C">
            <w:pPr>
              <w:pStyle w:val="56"/>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b w:val="0"/>
                <w:color w:val="auto"/>
                <w:u w:val="none"/>
              </w:rPr>
            </w:pPr>
            <w:r>
              <w:rPr>
                <w:rFonts w:hint="default" w:ascii="Times New Roman" w:hAnsi="Times New Roman" w:cs="Times New Roman"/>
                <w:b w:val="0"/>
                <w:color w:val="auto"/>
                <w:u w:val="none"/>
              </w:rPr>
              <w:t>危险类别</w:t>
            </w:r>
          </w:p>
        </w:tc>
        <w:tc>
          <w:tcPr>
            <w:tcW w:w="644" w:type="pct"/>
            <w:vAlign w:val="center"/>
          </w:tcPr>
          <w:p w14:paraId="2CF77C56">
            <w:pPr>
              <w:pStyle w:val="56"/>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b w:val="0"/>
                <w:color w:val="auto"/>
                <w:u w:val="none"/>
              </w:rPr>
            </w:pPr>
            <w:r>
              <w:rPr>
                <w:rFonts w:hint="default" w:ascii="Times New Roman" w:hAnsi="Times New Roman" w:cs="Times New Roman"/>
                <w:b w:val="0"/>
                <w:color w:val="auto"/>
                <w:u w:val="none"/>
              </w:rPr>
              <w:t>CAS</w:t>
            </w:r>
          </w:p>
        </w:tc>
        <w:tc>
          <w:tcPr>
            <w:tcW w:w="1017" w:type="pct"/>
            <w:vAlign w:val="center"/>
          </w:tcPr>
          <w:p w14:paraId="117684DF">
            <w:pPr>
              <w:pStyle w:val="56"/>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b w:val="0"/>
                <w:color w:val="auto"/>
                <w:u w:val="none"/>
              </w:rPr>
            </w:pPr>
            <w:r>
              <w:rPr>
                <w:rFonts w:hint="default" w:ascii="Times New Roman" w:hAnsi="Times New Roman" w:cs="Times New Roman"/>
                <w:b w:val="0"/>
                <w:color w:val="auto"/>
                <w:u w:val="none"/>
              </w:rPr>
              <w:t>最大储存量q（t/a）</w:t>
            </w:r>
          </w:p>
        </w:tc>
        <w:tc>
          <w:tcPr>
            <w:tcW w:w="827" w:type="pct"/>
            <w:vAlign w:val="center"/>
          </w:tcPr>
          <w:p w14:paraId="1BE6B1B2">
            <w:pPr>
              <w:pStyle w:val="56"/>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b w:val="0"/>
                <w:color w:val="auto"/>
                <w:u w:val="none"/>
              </w:rPr>
            </w:pPr>
            <w:r>
              <w:rPr>
                <w:rFonts w:hint="default" w:ascii="Times New Roman" w:hAnsi="Times New Roman" w:cs="Times New Roman"/>
                <w:b w:val="0"/>
                <w:color w:val="auto"/>
                <w:u w:val="none"/>
              </w:rPr>
              <w:t>临界量Q（t/a）</w:t>
            </w:r>
          </w:p>
        </w:tc>
        <w:tc>
          <w:tcPr>
            <w:tcW w:w="1043" w:type="pct"/>
            <w:vAlign w:val="center"/>
          </w:tcPr>
          <w:p w14:paraId="02894C7E">
            <w:pPr>
              <w:pStyle w:val="56"/>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b w:val="0"/>
                <w:color w:val="auto"/>
                <w:u w:val="none"/>
              </w:rPr>
            </w:pPr>
            <w:r>
              <w:rPr>
                <w:rFonts w:hint="default" w:ascii="Times New Roman" w:hAnsi="Times New Roman" w:cs="Times New Roman"/>
                <w:b w:val="0"/>
                <w:color w:val="auto"/>
                <w:u w:val="none"/>
              </w:rPr>
              <w:t>qi/Qi</w:t>
            </w:r>
          </w:p>
        </w:tc>
      </w:tr>
      <w:tr w14:paraId="057B6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pct"/>
            <w:vAlign w:val="center"/>
          </w:tcPr>
          <w:p w14:paraId="7446285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重铬酸钾</w:t>
            </w:r>
          </w:p>
        </w:tc>
        <w:tc>
          <w:tcPr>
            <w:tcW w:w="742" w:type="pct"/>
            <w:vAlign w:val="center"/>
          </w:tcPr>
          <w:p w14:paraId="14EFD0ED">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1602D83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328B24B6">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eastAsia" w:cs="Times New Roman"/>
                <w:color w:val="auto"/>
                <w:u w:val="none"/>
                <w:lang w:val="en-US" w:eastAsia="zh-CN"/>
              </w:rPr>
              <w:t>0.03</w:t>
            </w:r>
            <w:r>
              <w:rPr>
                <w:rFonts w:hint="default" w:ascii="Times New Roman" w:hAnsi="Times New Roman" w:cs="Times New Roman"/>
                <w:color w:val="auto"/>
                <w:u w:val="none"/>
              </w:rPr>
              <w:t>(以铬计)</w:t>
            </w:r>
          </w:p>
        </w:tc>
        <w:tc>
          <w:tcPr>
            <w:tcW w:w="827" w:type="pct"/>
            <w:vAlign w:val="center"/>
          </w:tcPr>
          <w:p w14:paraId="045F3288">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743E4680">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0.12</w:t>
            </w:r>
          </w:p>
        </w:tc>
      </w:tr>
      <w:tr w14:paraId="2E84F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pct"/>
            <w:vAlign w:val="top"/>
          </w:tcPr>
          <w:p w14:paraId="6F131A1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u w:val="none"/>
              </w:rPr>
              <w:t>硝酸</w:t>
            </w:r>
          </w:p>
        </w:tc>
        <w:tc>
          <w:tcPr>
            <w:tcW w:w="742" w:type="pct"/>
            <w:vAlign w:val="top"/>
          </w:tcPr>
          <w:p w14:paraId="326DEA36">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u w:val="none"/>
              </w:rPr>
              <w:t>酸性腐蚀品</w:t>
            </w:r>
          </w:p>
        </w:tc>
        <w:tc>
          <w:tcPr>
            <w:tcW w:w="644" w:type="pct"/>
            <w:vAlign w:val="top"/>
          </w:tcPr>
          <w:p w14:paraId="597C06A0">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u w:val="none"/>
              </w:rPr>
              <w:t>7697-37-2</w:t>
            </w:r>
          </w:p>
        </w:tc>
        <w:tc>
          <w:tcPr>
            <w:tcW w:w="1017" w:type="pct"/>
            <w:vAlign w:val="center"/>
          </w:tcPr>
          <w:p w14:paraId="30B14DE7">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5</w:t>
            </w:r>
          </w:p>
        </w:tc>
        <w:tc>
          <w:tcPr>
            <w:tcW w:w="827" w:type="pct"/>
            <w:vAlign w:val="center"/>
          </w:tcPr>
          <w:p w14:paraId="7FE1513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7.5</w:t>
            </w:r>
          </w:p>
        </w:tc>
        <w:tc>
          <w:tcPr>
            <w:tcW w:w="1043" w:type="pct"/>
            <w:vAlign w:val="bottom"/>
          </w:tcPr>
          <w:p w14:paraId="60465803">
            <w:pPr>
              <w:pStyle w:val="41"/>
              <w:keepNext w:val="0"/>
              <w:keepLines w:val="0"/>
              <w:pageBreakBefore w:val="0"/>
              <w:widowControl/>
              <w:kinsoku/>
              <w:wordWrap/>
              <w:overflowPunct/>
              <w:topLinePunct w:val="0"/>
              <w:autoSpaceDE/>
              <w:autoSpaceDN/>
              <w:bidi w:val="0"/>
              <w:spacing w:line="240" w:lineRule="auto"/>
              <w:rPr>
                <w:rFonts w:hint="eastAsia" w:cs="Times New Roman"/>
                <w:color w:val="auto"/>
                <w:u w:val="none"/>
                <w:lang w:val="en-US" w:eastAsia="zh-CN"/>
              </w:rPr>
            </w:pPr>
            <w:r>
              <w:rPr>
                <w:rFonts w:hint="eastAsia" w:cs="Times New Roman"/>
                <w:color w:val="auto"/>
                <w:u w:val="none"/>
                <w:lang w:val="en-US" w:eastAsia="zh-CN"/>
              </w:rPr>
              <w:t>0.666666667</w:t>
            </w:r>
          </w:p>
        </w:tc>
      </w:tr>
      <w:tr w14:paraId="2BF8F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0538677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润滑油</w:t>
            </w:r>
          </w:p>
        </w:tc>
        <w:tc>
          <w:tcPr>
            <w:tcW w:w="742" w:type="pct"/>
            <w:vAlign w:val="center"/>
          </w:tcPr>
          <w:p w14:paraId="711F1221">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矿物油</w:t>
            </w:r>
          </w:p>
        </w:tc>
        <w:tc>
          <w:tcPr>
            <w:tcW w:w="644" w:type="pct"/>
            <w:vAlign w:val="center"/>
          </w:tcPr>
          <w:p w14:paraId="7D54013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6A7691F4">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0.1</w:t>
            </w:r>
          </w:p>
        </w:tc>
        <w:tc>
          <w:tcPr>
            <w:tcW w:w="827" w:type="pct"/>
            <w:vAlign w:val="center"/>
          </w:tcPr>
          <w:p w14:paraId="6AFC6122">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2500</w:t>
            </w:r>
          </w:p>
        </w:tc>
        <w:tc>
          <w:tcPr>
            <w:tcW w:w="1043" w:type="pct"/>
            <w:vAlign w:val="bottom"/>
          </w:tcPr>
          <w:p w14:paraId="093DEC90">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0.00004</w:t>
            </w:r>
          </w:p>
        </w:tc>
      </w:tr>
      <w:tr w14:paraId="14EEB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1080B256">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742" w:type="pct"/>
          </w:tcPr>
          <w:p w14:paraId="1B8BE66A">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5ED284AC">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197616DC">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01</w:t>
            </w:r>
            <w:r>
              <w:rPr>
                <w:rFonts w:hint="default" w:ascii="Times New Roman" w:hAnsi="Times New Roman" w:cs="Times New Roman"/>
                <w:color w:val="auto"/>
                <w:u w:val="none"/>
              </w:rPr>
              <w:t>(以镍计)</w:t>
            </w:r>
          </w:p>
        </w:tc>
        <w:tc>
          <w:tcPr>
            <w:tcW w:w="827" w:type="pct"/>
          </w:tcPr>
          <w:p w14:paraId="1DC1DDDE">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16BA7390">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0.004</w:t>
            </w:r>
          </w:p>
        </w:tc>
      </w:tr>
      <w:tr w14:paraId="297CC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2B4A4B63">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742" w:type="pct"/>
            <w:vAlign w:val="center"/>
          </w:tcPr>
          <w:p w14:paraId="66C4F7E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12EEDE0A">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7D584C01">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03（</w:t>
            </w:r>
            <w:r>
              <w:rPr>
                <w:rFonts w:hint="default" w:ascii="Times New Roman" w:hAnsi="Times New Roman" w:cs="Times New Roman"/>
                <w:color w:val="auto"/>
                <w:u w:val="none"/>
              </w:rPr>
              <w:t>以镍计)</w:t>
            </w:r>
          </w:p>
        </w:tc>
        <w:tc>
          <w:tcPr>
            <w:tcW w:w="827" w:type="pct"/>
            <w:vAlign w:val="center"/>
          </w:tcPr>
          <w:p w14:paraId="0CFB8E4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38E98E6B">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0.012</w:t>
            </w:r>
          </w:p>
        </w:tc>
      </w:tr>
      <w:tr w14:paraId="33716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3C1F9A99">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742" w:type="pct"/>
            <w:vAlign w:val="center"/>
          </w:tcPr>
          <w:p w14:paraId="376E5C04">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49442370">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39759F35">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0.00</w:t>
            </w:r>
            <w:r>
              <w:rPr>
                <w:rFonts w:hint="eastAsia" w:cs="Times New Roman"/>
                <w:color w:val="auto"/>
                <w:u w:val="none"/>
                <w:lang w:val="en-US" w:eastAsia="zh-CN"/>
              </w:rPr>
              <w:t>2</w:t>
            </w:r>
            <w:r>
              <w:rPr>
                <w:rFonts w:hint="default" w:ascii="Times New Roman" w:hAnsi="Times New Roman" w:cs="Times New Roman"/>
                <w:color w:val="auto"/>
                <w:u w:val="none"/>
              </w:rPr>
              <w:t>(以铬计)</w:t>
            </w:r>
          </w:p>
        </w:tc>
        <w:tc>
          <w:tcPr>
            <w:tcW w:w="827" w:type="pct"/>
            <w:vAlign w:val="center"/>
          </w:tcPr>
          <w:p w14:paraId="27178320">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2FD7B8AC">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0.008</w:t>
            </w:r>
          </w:p>
        </w:tc>
      </w:tr>
      <w:tr w14:paraId="7D335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0D40C16D">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含镍污泥</w:t>
            </w:r>
          </w:p>
        </w:tc>
        <w:tc>
          <w:tcPr>
            <w:tcW w:w="742" w:type="pct"/>
            <w:vAlign w:val="center"/>
          </w:tcPr>
          <w:p w14:paraId="31253596">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44CAD6E9">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56FFBE12">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05</w:t>
            </w:r>
            <w:r>
              <w:rPr>
                <w:rFonts w:hint="default" w:ascii="Times New Roman" w:hAnsi="Times New Roman" w:cs="Times New Roman"/>
                <w:color w:val="auto"/>
                <w:u w:val="none"/>
              </w:rPr>
              <w:t>(以镍计)</w:t>
            </w:r>
          </w:p>
        </w:tc>
        <w:tc>
          <w:tcPr>
            <w:tcW w:w="827" w:type="pct"/>
            <w:vAlign w:val="center"/>
          </w:tcPr>
          <w:p w14:paraId="39369014">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00C514A6">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0.02</w:t>
            </w:r>
          </w:p>
        </w:tc>
      </w:tr>
      <w:tr w14:paraId="05122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48BD669E">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含镍结晶盐</w:t>
            </w:r>
          </w:p>
        </w:tc>
        <w:tc>
          <w:tcPr>
            <w:tcW w:w="742" w:type="pct"/>
            <w:vAlign w:val="center"/>
          </w:tcPr>
          <w:p w14:paraId="54454E08">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677CDD72">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6A5FDE5C">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05</w:t>
            </w:r>
            <w:r>
              <w:rPr>
                <w:rFonts w:hint="default" w:ascii="Times New Roman" w:hAnsi="Times New Roman" w:cs="Times New Roman"/>
                <w:color w:val="auto"/>
                <w:u w:val="none"/>
              </w:rPr>
              <w:t>(以镍计)</w:t>
            </w:r>
          </w:p>
        </w:tc>
        <w:tc>
          <w:tcPr>
            <w:tcW w:w="827" w:type="pct"/>
            <w:vAlign w:val="center"/>
          </w:tcPr>
          <w:p w14:paraId="48F9B63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5730799A">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0.02</w:t>
            </w:r>
          </w:p>
        </w:tc>
      </w:tr>
      <w:tr w14:paraId="5D3C29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restart"/>
            <w:vAlign w:val="center"/>
          </w:tcPr>
          <w:p w14:paraId="190F6AD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含铬污泥</w:t>
            </w:r>
          </w:p>
        </w:tc>
        <w:tc>
          <w:tcPr>
            <w:tcW w:w="742" w:type="pct"/>
            <w:vAlign w:val="center"/>
          </w:tcPr>
          <w:p w14:paraId="62EE356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73AEFBE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30F9AA4E">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08</w:t>
            </w:r>
            <w:r>
              <w:rPr>
                <w:rFonts w:hint="default" w:ascii="Times New Roman" w:hAnsi="Times New Roman" w:cs="Times New Roman"/>
                <w:color w:val="auto"/>
                <w:u w:val="none"/>
              </w:rPr>
              <w:t>(以铬计)</w:t>
            </w:r>
          </w:p>
        </w:tc>
        <w:tc>
          <w:tcPr>
            <w:tcW w:w="827" w:type="pct"/>
            <w:vAlign w:val="center"/>
          </w:tcPr>
          <w:p w14:paraId="7E3C72D1">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75556C8D">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0.032</w:t>
            </w:r>
          </w:p>
        </w:tc>
      </w:tr>
      <w:tr w14:paraId="264E5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continue"/>
            <w:vAlign w:val="center"/>
          </w:tcPr>
          <w:p w14:paraId="0EBD0E7E">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p>
        </w:tc>
        <w:tc>
          <w:tcPr>
            <w:tcW w:w="742" w:type="pct"/>
            <w:vAlign w:val="center"/>
          </w:tcPr>
          <w:p w14:paraId="28E50928">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5918E27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151146F0">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w:t>
            </w:r>
            <w:r>
              <w:rPr>
                <w:rFonts w:hint="eastAsia" w:cs="Times New Roman"/>
                <w:color w:val="auto"/>
                <w:u w:val="none"/>
                <w:lang w:val="en-US" w:eastAsia="zh-CN"/>
              </w:rPr>
              <w:t>08</w:t>
            </w:r>
            <w:r>
              <w:rPr>
                <w:rFonts w:hint="default" w:ascii="Times New Roman" w:hAnsi="Times New Roman" w:cs="Times New Roman"/>
                <w:color w:val="auto"/>
                <w:u w:val="none"/>
              </w:rPr>
              <w:t>(以铜计)</w:t>
            </w:r>
          </w:p>
        </w:tc>
        <w:tc>
          <w:tcPr>
            <w:tcW w:w="827" w:type="pct"/>
            <w:vAlign w:val="center"/>
          </w:tcPr>
          <w:p w14:paraId="001EEE5A">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07F58D0F">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0.32</w:t>
            </w:r>
          </w:p>
        </w:tc>
      </w:tr>
      <w:tr w14:paraId="46086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restart"/>
            <w:vAlign w:val="center"/>
          </w:tcPr>
          <w:p w14:paraId="087DB7B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含铬结晶盐</w:t>
            </w:r>
          </w:p>
        </w:tc>
        <w:tc>
          <w:tcPr>
            <w:tcW w:w="742" w:type="pct"/>
            <w:vAlign w:val="center"/>
          </w:tcPr>
          <w:p w14:paraId="1C2819D4">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08D86D6E">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4BCFE86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0.03(以铬计)</w:t>
            </w:r>
          </w:p>
        </w:tc>
        <w:tc>
          <w:tcPr>
            <w:tcW w:w="827" w:type="pct"/>
            <w:vAlign w:val="center"/>
          </w:tcPr>
          <w:p w14:paraId="7A21EB40">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79D40142">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0.12</w:t>
            </w:r>
          </w:p>
        </w:tc>
      </w:tr>
      <w:tr w14:paraId="31FB7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continue"/>
            <w:vAlign w:val="center"/>
          </w:tcPr>
          <w:p w14:paraId="1BF6B06D">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p>
        </w:tc>
        <w:tc>
          <w:tcPr>
            <w:tcW w:w="742" w:type="pct"/>
            <w:vAlign w:val="center"/>
          </w:tcPr>
          <w:p w14:paraId="5DD200EF">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p>
        </w:tc>
        <w:tc>
          <w:tcPr>
            <w:tcW w:w="644" w:type="pct"/>
            <w:vAlign w:val="center"/>
          </w:tcPr>
          <w:p w14:paraId="762C528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p>
        </w:tc>
        <w:tc>
          <w:tcPr>
            <w:tcW w:w="1017" w:type="pct"/>
            <w:vAlign w:val="center"/>
          </w:tcPr>
          <w:p w14:paraId="0D7F76EC">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0.15(以铜计)</w:t>
            </w:r>
          </w:p>
        </w:tc>
        <w:tc>
          <w:tcPr>
            <w:tcW w:w="827" w:type="pct"/>
            <w:vAlign w:val="center"/>
          </w:tcPr>
          <w:p w14:paraId="16F1ED20">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bottom"/>
          </w:tcPr>
          <w:p w14:paraId="4F66F57E">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0.6</w:t>
            </w:r>
          </w:p>
        </w:tc>
      </w:tr>
      <w:tr w14:paraId="66956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pct"/>
            <w:vAlign w:val="center"/>
          </w:tcPr>
          <w:p w14:paraId="004E0138">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危险废物</w:t>
            </w:r>
          </w:p>
        </w:tc>
        <w:tc>
          <w:tcPr>
            <w:tcW w:w="742" w:type="pct"/>
            <w:vAlign w:val="center"/>
          </w:tcPr>
          <w:p w14:paraId="5AE93E63">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63F4CAC2">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7A50AC68">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5.6</w:t>
            </w:r>
          </w:p>
        </w:tc>
        <w:tc>
          <w:tcPr>
            <w:tcW w:w="827" w:type="pct"/>
            <w:vAlign w:val="center"/>
          </w:tcPr>
          <w:p w14:paraId="5E3002B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50</w:t>
            </w:r>
          </w:p>
        </w:tc>
        <w:tc>
          <w:tcPr>
            <w:tcW w:w="1043" w:type="pct"/>
            <w:vAlign w:val="bottom"/>
          </w:tcPr>
          <w:p w14:paraId="68CF8192">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0.112</w:t>
            </w:r>
          </w:p>
        </w:tc>
      </w:tr>
      <w:tr w14:paraId="0D40D0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2C4991EF">
            <w:pPr>
              <w:pStyle w:val="41"/>
              <w:keepNext w:val="0"/>
              <w:keepLines w:val="0"/>
              <w:pageBreakBefore w:val="0"/>
              <w:widowControl/>
              <w:kinsoku/>
              <w:wordWrap/>
              <w:overflowPunct/>
              <w:topLinePunct w:val="0"/>
              <w:autoSpaceDE/>
              <w:autoSpaceDN/>
              <w:bidi w:val="0"/>
              <w:spacing w:line="240" w:lineRule="auto"/>
              <w:rPr>
                <w:rFonts w:hint="eastAsia" w:ascii="Times New Roman" w:hAnsi="Times New Roman" w:eastAsia="宋体" w:cs="Times New Roman"/>
                <w:color w:val="auto"/>
                <w:u w:val="none"/>
                <w:lang w:eastAsia="zh-CN"/>
              </w:rPr>
            </w:pPr>
            <w:r>
              <w:rPr>
                <w:rFonts w:hint="eastAsia" w:cs="Times New Roman"/>
                <w:color w:val="auto"/>
                <w:u w:val="none"/>
                <w:lang w:val="en-US" w:eastAsia="zh-CN"/>
              </w:rPr>
              <w:t>硫酸</w:t>
            </w:r>
          </w:p>
        </w:tc>
        <w:tc>
          <w:tcPr>
            <w:tcW w:w="742" w:type="pct"/>
            <w:vAlign w:val="top"/>
          </w:tcPr>
          <w:p w14:paraId="7A759543">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u w:val="none"/>
              </w:rPr>
              <w:t>酸性腐蚀品</w:t>
            </w:r>
          </w:p>
        </w:tc>
        <w:tc>
          <w:tcPr>
            <w:tcW w:w="644" w:type="pct"/>
            <w:vAlign w:val="top"/>
          </w:tcPr>
          <w:p w14:paraId="619365B1">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u w:val="none"/>
              </w:rPr>
              <w:t>7664-93-9</w:t>
            </w:r>
          </w:p>
        </w:tc>
        <w:tc>
          <w:tcPr>
            <w:tcW w:w="1017" w:type="pct"/>
            <w:vAlign w:val="center"/>
          </w:tcPr>
          <w:p w14:paraId="7C1517BA">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eastAsia" w:cs="Times New Roman"/>
                <w:color w:val="auto"/>
                <w:u w:val="none"/>
                <w:lang w:val="en-US" w:eastAsia="zh-CN"/>
              </w:rPr>
              <w:t>10</w:t>
            </w:r>
            <w:r>
              <w:rPr>
                <w:rFonts w:hint="default" w:ascii="Times New Roman" w:hAnsi="Times New Roman" w:cs="Times New Roman"/>
                <w:color w:val="auto"/>
                <w:u w:val="none"/>
              </w:rPr>
              <w:t>.0</w:t>
            </w:r>
          </w:p>
        </w:tc>
        <w:tc>
          <w:tcPr>
            <w:tcW w:w="827" w:type="pct"/>
            <w:vAlign w:val="center"/>
          </w:tcPr>
          <w:p w14:paraId="43A0647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043" w:type="pct"/>
            <w:vAlign w:val="bottom"/>
          </w:tcPr>
          <w:p w14:paraId="7933D1F6">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1</w:t>
            </w:r>
          </w:p>
        </w:tc>
      </w:tr>
      <w:tr w14:paraId="7D272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612C31EC">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化抛添加剂</w:t>
            </w:r>
          </w:p>
        </w:tc>
        <w:tc>
          <w:tcPr>
            <w:tcW w:w="742" w:type="pct"/>
            <w:vAlign w:val="center"/>
          </w:tcPr>
          <w:p w14:paraId="2F537760">
            <w:pPr>
              <w:pStyle w:val="41"/>
              <w:keepNext w:val="0"/>
              <w:keepLines w:val="0"/>
              <w:pageBreakBefore w:val="0"/>
              <w:widowControl/>
              <w:kinsoku/>
              <w:wordWrap/>
              <w:overflowPunct/>
              <w:topLinePunct w:val="0"/>
              <w:autoSpaceDE/>
              <w:autoSpaceDN/>
              <w:bidi w:val="0"/>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644" w:type="pct"/>
            <w:vAlign w:val="center"/>
          </w:tcPr>
          <w:p w14:paraId="4401A484">
            <w:pPr>
              <w:pStyle w:val="41"/>
              <w:keepNext w:val="0"/>
              <w:keepLines w:val="0"/>
              <w:pageBreakBefore w:val="0"/>
              <w:widowControl/>
              <w:kinsoku/>
              <w:wordWrap/>
              <w:overflowPunct/>
              <w:topLinePunct w:val="0"/>
              <w:autoSpaceDE/>
              <w:autoSpaceDN/>
              <w:bidi w:val="0"/>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1017" w:type="pct"/>
            <w:vAlign w:val="center"/>
          </w:tcPr>
          <w:p w14:paraId="7257CEB7">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0.5</w:t>
            </w:r>
          </w:p>
        </w:tc>
        <w:tc>
          <w:tcPr>
            <w:tcW w:w="827" w:type="pct"/>
            <w:vAlign w:val="center"/>
          </w:tcPr>
          <w:p w14:paraId="1B56AD9E">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50</w:t>
            </w:r>
          </w:p>
        </w:tc>
        <w:tc>
          <w:tcPr>
            <w:tcW w:w="1043" w:type="pct"/>
            <w:vAlign w:val="bottom"/>
          </w:tcPr>
          <w:p w14:paraId="42DF284F">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0.01</w:t>
            </w:r>
          </w:p>
        </w:tc>
      </w:tr>
      <w:tr w14:paraId="781B3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16E2ACC4">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无氮中和剂（含硫酸）</w:t>
            </w:r>
          </w:p>
        </w:tc>
        <w:tc>
          <w:tcPr>
            <w:tcW w:w="742" w:type="pct"/>
            <w:vAlign w:val="center"/>
          </w:tcPr>
          <w:p w14:paraId="6A302573">
            <w:pPr>
              <w:pStyle w:val="41"/>
              <w:keepNext w:val="0"/>
              <w:keepLines w:val="0"/>
              <w:pageBreakBefore w:val="0"/>
              <w:widowControl/>
              <w:kinsoku/>
              <w:wordWrap/>
              <w:overflowPunct/>
              <w:topLinePunct w:val="0"/>
              <w:autoSpaceDE/>
              <w:autoSpaceDN/>
              <w:bidi w:val="0"/>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644" w:type="pct"/>
            <w:vAlign w:val="center"/>
          </w:tcPr>
          <w:p w14:paraId="47ECDCA7">
            <w:pPr>
              <w:pStyle w:val="41"/>
              <w:keepNext w:val="0"/>
              <w:keepLines w:val="0"/>
              <w:pageBreakBefore w:val="0"/>
              <w:widowControl/>
              <w:kinsoku/>
              <w:wordWrap/>
              <w:overflowPunct/>
              <w:topLinePunct w:val="0"/>
              <w:autoSpaceDE/>
              <w:autoSpaceDN/>
              <w:bidi w:val="0"/>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1017" w:type="pct"/>
            <w:vAlign w:val="center"/>
          </w:tcPr>
          <w:p w14:paraId="6D1BE8EC">
            <w:pPr>
              <w:pStyle w:val="41"/>
              <w:keepNext w:val="0"/>
              <w:keepLines w:val="0"/>
              <w:pageBreakBefore w:val="0"/>
              <w:widowControl/>
              <w:kinsoku/>
              <w:wordWrap/>
              <w:overflowPunct/>
              <w:topLinePunct w:val="0"/>
              <w:autoSpaceDE/>
              <w:autoSpaceDN/>
              <w:bidi w:val="0"/>
              <w:spacing w:line="240" w:lineRule="auto"/>
              <w:rPr>
                <w:rFonts w:hint="eastAsia" w:ascii="Times New Roman" w:hAnsi="Times New Roman" w:eastAsia="宋体" w:cs="Times New Roman"/>
                <w:color w:val="auto"/>
                <w:u w:val="none"/>
                <w:lang w:eastAsia="zh-CN"/>
              </w:rPr>
            </w:pPr>
            <w:r>
              <w:rPr>
                <w:rFonts w:hint="eastAsia" w:cs="Times New Roman"/>
                <w:color w:val="auto"/>
                <w:u w:val="none"/>
                <w:lang w:val="en-US" w:eastAsia="zh-CN"/>
              </w:rPr>
              <w:t>1</w:t>
            </w:r>
          </w:p>
        </w:tc>
        <w:tc>
          <w:tcPr>
            <w:tcW w:w="827" w:type="pct"/>
            <w:vAlign w:val="center"/>
          </w:tcPr>
          <w:p w14:paraId="2AF9C6C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043" w:type="pct"/>
            <w:vAlign w:val="bottom"/>
          </w:tcPr>
          <w:p w14:paraId="683C500B">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0.1</w:t>
            </w:r>
          </w:p>
        </w:tc>
      </w:tr>
      <w:tr w14:paraId="56431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111" w:type="pct"/>
            <w:gridSpan w:val="3"/>
            <w:vAlign w:val="center"/>
          </w:tcPr>
          <w:p w14:paraId="498A0BA3">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1017" w:type="pct"/>
            <w:vAlign w:val="center"/>
          </w:tcPr>
          <w:p w14:paraId="4E6F735A">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27" w:type="pct"/>
            <w:vAlign w:val="center"/>
          </w:tcPr>
          <w:p w14:paraId="725C4C4B">
            <w:pPr>
              <w:pStyle w:val="41"/>
              <w:keepNext w:val="0"/>
              <w:keepLines w:val="0"/>
              <w:pageBreakBefore w:val="0"/>
              <w:widowControl/>
              <w:kinsoku/>
              <w:wordWrap/>
              <w:overflowPunct/>
              <w:topLinePunct w:val="0"/>
              <w:autoSpaceDE/>
              <w:autoSpaceDN/>
              <w:bidi w:val="0"/>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43" w:type="pct"/>
            <w:vAlign w:val="bottom"/>
          </w:tcPr>
          <w:p w14:paraId="49B5C2A9">
            <w:pPr>
              <w:pStyle w:val="41"/>
              <w:keepNext w:val="0"/>
              <w:keepLines w:val="0"/>
              <w:pageBreakBefore w:val="0"/>
              <w:widowControl/>
              <w:kinsoku/>
              <w:wordWrap/>
              <w:overflowPunct/>
              <w:topLinePunct w:val="0"/>
              <w:autoSpaceDE/>
              <w:autoSpaceDN/>
              <w:bidi w:val="0"/>
              <w:spacing w:line="240" w:lineRule="auto"/>
              <w:rPr>
                <w:rFonts w:hint="default" w:cs="Times New Roman"/>
                <w:color w:val="auto"/>
                <w:u w:val="none"/>
                <w:lang w:val="en-US" w:eastAsia="zh-CN"/>
              </w:rPr>
            </w:pPr>
            <w:r>
              <w:rPr>
                <w:rFonts w:hint="eastAsia" w:cs="Times New Roman"/>
                <w:color w:val="auto"/>
                <w:u w:val="none"/>
                <w:lang w:val="en-US" w:eastAsia="zh-CN"/>
              </w:rPr>
              <w:t>3.144706667</w:t>
            </w:r>
          </w:p>
        </w:tc>
      </w:tr>
    </w:tbl>
    <w:p w14:paraId="7E23F54F">
      <w:pPr>
        <w:ind w:firstLine="480"/>
        <w:rPr>
          <w:rFonts w:hint="default" w:ascii="Times New Roman" w:hAnsi="Times New Roman" w:cs="Times New Roman"/>
          <w:color w:val="auto"/>
          <w:kern w:val="0"/>
          <w:u w:val="none"/>
        </w:rPr>
      </w:pPr>
      <w:r>
        <w:rPr>
          <w:rFonts w:hint="default" w:ascii="Times New Roman" w:hAnsi="Times New Roman" w:cs="Times New Roman"/>
          <w:color w:val="auto"/>
          <w:u w:val="none"/>
        </w:rPr>
        <w:t>项目危险物质与其临界量的比值Q=</w:t>
      </w:r>
      <w:r>
        <w:rPr>
          <w:rFonts w:hint="default" w:ascii="Times New Roman" w:hAnsi="Times New Roman" w:cs="Times New Roman"/>
          <w:color w:val="auto"/>
          <w:u w:val="none"/>
          <w:lang w:val="en-US" w:eastAsia="zh-CN"/>
        </w:rPr>
        <w:t>3.144706667</w:t>
      </w:r>
      <w:r>
        <w:rPr>
          <w:rFonts w:hint="default" w:ascii="Times New Roman" w:hAnsi="Times New Roman" w:cs="Times New Roman"/>
          <w:color w:val="auto"/>
          <w:u w:val="none"/>
        </w:rPr>
        <w:t>，属于</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&lt;Q≤10区划范围内</w:t>
      </w:r>
      <w:r>
        <w:rPr>
          <w:rFonts w:hint="default" w:ascii="Times New Roman" w:hAnsi="Times New Roman" w:cs="Times New Roman"/>
          <w:color w:val="auto"/>
          <w:kern w:val="0"/>
          <w:u w:val="none"/>
        </w:rPr>
        <w:t>。</w:t>
      </w:r>
    </w:p>
    <w:p w14:paraId="178DAC8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w:t>
      </w:r>
      <w:r>
        <w:rPr>
          <w:rFonts w:hint="default" w:ascii="Times New Roman" w:hAnsi="Times New Roman" w:cs="Times New Roman"/>
          <w:b/>
          <w:bCs/>
          <w:color w:val="auto"/>
          <w:u w:val="none"/>
        </w:rPr>
        <w:t>2.4-8</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lang w:val="zh-CN"/>
        </w:rPr>
        <w:t>风险评价工作等级</w:t>
      </w:r>
      <w:r>
        <w:rPr>
          <w:rFonts w:hint="default" w:ascii="Times New Roman" w:hAnsi="Times New Roman" w:cs="Times New Roman"/>
          <w:b/>
          <w:bCs/>
          <w:color w:val="auto"/>
          <w:u w:val="none"/>
        </w:rPr>
        <w:t>定级表</w:t>
      </w:r>
    </w:p>
    <w:tbl>
      <w:tblPr>
        <w:tblStyle w:val="30"/>
        <w:tblW w:w="507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15"/>
        <w:gridCol w:w="1712"/>
        <w:gridCol w:w="1969"/>
        <w:gridCol w:w="1971"/>
        <w:gridCol w:w="2350"/>
      </w:tblGrid>
      <w:tr w14:paraId="20DC2C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2" w:hRule="exact"/>
          <w:jc w:val="center"/>
        </w:trPr>
        <w:tc>
          <w:tcPr>
            <w:tcW w:w="924" w:type="pct"/>
            <w:tcBorders>
              <w:top w:val="single" w:color="000000" w:sz="12" w:space="0"/>
              <w:left w:val="single" w:color="000000" w:sz="12" w:space="0"/>
            </w:tcBorders>
            <w:vAlign w:val="center"/>
          </w:tcPr>
          <w:p w14:paraId="52ED1EDF">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环境风险潜势</w:t>
            </w:r>
          </w:p>
        </w:tc>
        <w:tc>
          <w:tcPr>
            <w:tcW w:w="871" w:type="pct"/>
            <w:tcBorders>
              <w:top w:val="single" w:color="000000" w:sz="12" w:space="0"/>
            </w:tcBorders>
            <w:vAlign w:val="center"/>
          </w:tcPr>
          <w:p w14:paraId="7DD9A83A">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Ⅳ、Ⅳ+</w:t>
            </w:r>
          </w:p>
        </w:tc>
        <w:tc>
          <w:tcPr>
            <w:tcW w:w="1002" w:type="pct"/>
            <w:tcBorders>
              <w:top w:val="single" w:color="000000" w:sz="12" w:space="0"/>
            </w:tcBorders>
            <w:vAlign w:val="center"/>
          </w:tcPr>
          <w:p w14:paraId="530B9766">
            <w:pPr>
              <w:spacing w:line="240" w:lineRule="auto"/>
              <w:ind w:firstLine="0" w:firstLineChars="0"/>
              <w:contextualSpacing/>
              <w:jc w:val="center"/>
              <w:rPr>
                <w:rFonts w:hint="default" w:ascii="Times New Roman" w:hAnsi="Times New Roman" w:cs="Times New Roman"/>
                <w:color w:val="auto"/>
                <w:sz w:val="21"/>
                <w:szCs w:val="21"/>
                <w:u w:val="none"/>
                <w:shd w:val="clear" w:color="FFFFFF" w:fill="D9D9D9"/>
              </w:rPr>
            </w:pPr>
            <w:r>
              <w:rPr>
                <w:rFonts w:hint="default" w:ascii="Times New Roman" w:hAnsi="Times New Roman" w:cs="Times New Roman"/>
                <w:color w:val="auto"/>
                <w:sz w:val="21"/>
                <w:szCs w:val="21"/>
                <w:u w:val="none"/>
                <w:shd w:val="clear" w:color="FFFFFF" w:fill="D9D9D9"/>
              </w:rPr>
              <w:t>Ⅲ</w:t>
            </w:r>
          </w:p>
        </w:tc>
        <w:tc>
          <w:tcPr>
            <w:tcW w:w="1003" w:type="pct"/>
            <w:tcBorders>
              <w:top w:val="single" w:color="000000" w:sz="12" w:space="0"/>
            </w:tcBorders>
            <w:vAlign w:val="center"/>
          </w:tcPr>
          <w:p w14:paraId="7887ACA2">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Ⅱ</w:t>
            </w:r>
          </w:p>
        </w:tc>
        <w:tc>
          <w:tcPr>
            <w:tcW w:w="1196" w:type="pct"/>
            <w:tcBorders>
              <w:top w:val="single" w:color="000000" w:sz="12" w:space="0"/>
              <w:right w:val="single" w:color="000000" w:sz="12" w:space="0"/>
            </w:tcBorders>
            <w:vAlign w:val="center"/>
          </w:tcPr>
          <w:p w14:paraId="00655746">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Ⅰ</w:t>
            </w:r>
          </w:p>
        </w:tc>
      </w:tr>
      <w:tr w14:paraId="531994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 w:hRule="exact"/>
          <w:jc w:val="center"/>
        </w:trPr>
        <w:tc>
          <w:tcPr>
            <w:tcW w:w="924" w:type="pct"/>
            <w:tcBorders>
              <w:left w:val="single" w:color="000000" w:sz="12" w:space="0"/>
              <w:bottom w:val="single" w:color="000000" w:sz="12" w:space="0"/>
            </w:tcBorders>
            <w:vAlign w:val="center"/>
          </w:tcPr>
          <w:p w14:paraId="4FACCC09">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评价工作等级</w:t>
            </w:r>
          </w:p>
        </w:tc>
        <w:tc>
          <w:tcPr>
            <w:tcW w:w="871" w:type="pct"/>
            <w:tcBorders>
              <w:bottom w:val="single" w:color="000000" w:sz="12" w:space="0"/>
            </w:tcBorders>
            <w:vAlign w:val="center"/>
          </w:tcPr>
          <w:p w14:paraId="51A80939">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一</w:t>
            </w:r>
          </w:p>
        </w:tc>
        <w:tc>
          <w:tcPr>
            <w:tcW w:w="1002" w:type="pct"/>
            <w:tcBorders>
              <w:bottom w:val="single" w:color="000000" w:sz="12" w:space="0"/>
            </w:tcBorders>
            <w:vAlign w:val="center"/>
          </w:tcPr>
          <w:p w14:paraId="0315A35F">
            <w:pPr>
              <w:spacing w:line="240" w:lineRule="auto"/>
              <w:ind w:firstLine="0" w:firstLineChars="0"/>
              <w:contextualSpacing/>
              <w:jc w:val="center"/>
              <w:rPr>
                <w:rFonts w:hint="default" w:ascii="Times New Roman" w:hAnsi="Times New Roman" w:cs="Times New Roman"/>
                <w:color w:val="auto"/>
                <w:sz w:val="21"/>
                <w:szCs w:val="21"/>
                <w:u w:val="none"/>
                <w:shd w:val="clear" w:color="FFFFFF" w:fill="D9D9D9"/>
              </w:rPr>
            </w:pPr>
            <w:r>
              <w:rPr>
                <w:rFonts w:hint="default" w:ascii="Times New Roman" w:hAnsi="Times New Roman" w:cs="Times New Roman"/>
                <w:color w:val="auto"/>
                <w:sz w:val="21"/>
                <w:szCs w:val="21"/>
                <w:u w:val="none"/>
                <w:shd w:val="clear" w:color="FFFFFF" w:fill="D9D9D9"/>
              </w:rPr>
              <w:t>二</w:t>
            </w:r>
          </w:p>
        </w:tc>
        <w:tc>
          <w:tcPr>
            <w:tcW w:w="1003" w:type="pct"/>
            <w:tcBorders>
              <w:bottom w:val="single" w:color="000000" w:sz="12" w:space="0"/>
            </w:tcBorders>
            <w:vAlign w:val="center"/>
          </w:tcPr>
          <w:p w14:paraId="16E1E144">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三</w:t>
            </w:r>
          </w:p>
        </w:tc>
        <w:tc>
          <w:tcPr>
            <w:tcW w:w="1196" w:type="pct"/>
            <w:tcBorders>
              <w:bottom w:val="single" w:color="000000" w:sz="12" w:space="0"/>
              <w:right w:val="single" w:color="000000" w:sz="12" w:space="0"/>
            </w:tcBorders>
            <w:vAlign w:val="center"/>
          </w:tcPr>
          <w:p w14:paraId="64F32328">
            <w:pPr>
              <w:spacing w:line="240" w:lineRule="auto"/>
              <w:ind w:firstLine="0" w:firstLineChars="0"/>
              <w:contextualSpacing/>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简单分析</w:t>
            </w:r>
          </w:p>
        </w:tc>
      </w:tr>
    </w:tbl>
    <w:p w14:paraId="240492C2">
      <w:pPr>
        <w:ind w:firstLine="480"/>
        <w:rPr>
          <w:rFonts w:hint="default" w:ascii="Times New Roman" w:hAnsi="Times New Roman" w:cs="Times New Roman"/>
          <w:color w:val="auto"/>
          <w:kern w:val="0"/>
          <w:u w:val="none"/>
        </w:rPr>
      </w:pPr>
      <w:r>
        <w:rPr>
          <w:rFonts w:hint="default" w:ascii="Times New Roman" w:hAnsi="Times New Roman" w:cs="Times New Roman"/>
          <w:color w:val="auto"/>
          <w:u w:val="none"/>
        </w:rPr>
        <w:t>项目本项目大气环境风险潜势Ⅲ，地表水风险潜势均为Ⅱ，地下水风险潜势为Ⅰ，根据环境风险评价工作等级划分要求，判定项目大气风险评价风险评价等级为二级，地表水风险评价等级为三级，地下水风险评价等级为简单分析。同时根据《建设项目环境风险评价技术导则》（HJ169－2018）评价工作等级划分要求，建设项目环境风险潜势综合等级取各要素等级相对高的值，因此本项目环境风险等级判定为二级</w:t>
      </w:r>
      <w:r>
        <w:rPr>
          <w:rFonts w:hint="default" w:ascii="Times New Roman" w:hAnsi="Times New Roman" w:cs="Times New Roman"/>
          <w:color w:val="auto"/>
          <w:kern w:val="0"/>
          <w:u w:val="none"/>
        </w:rPr>
        <w:t>。</w:t>
      </w:r>
    </w:p>
    <w:p w14:paraId="6818D646">
      <w:pPr>
        <w:ind w:firstLine="480"/>
        <w:rPr>
          <w:rFonts w:hint="default" w:ascii="Times New Roman" w:hAnsi="Times New Roman" w:cs="Times New Roman"/>
          <w:color w:val="auto"/>
          <w:kern w:val="0"/>
          <w:u w:val="none"/>
        </w:rPr>
      </w:pPr>
      <w:r>
        <w:rPr>
          <w:rFonts w:hint="default" w:ascii="Times New Roman" w:hAnsi="Times New Roman" w:cs="Times New Roman"/>
          <w:color w:val="auto"/>
          <w:u w:val="none"/>
        </w:rPr>
        <w:t>评价范围：根据《建设项目环境风险评价技术导则》（HJ169-2018）的规定，本项目大气环境风险评价范围为距离项目厂界5km的范围；地表水环境风险评价范围园区污水处理厂上游500m至下游2500m，共3km范围；地下水环境风险评价范围为项目西侧边界外扩1.5km的长江，南侧边界外扩0.8km的芭蕉湖，北侧外扩至长江支流（象骨港），东侧外扩至长江支流，面积6.0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的区域。</w:t>
      </w:r>
    </w:p>
    <w:p w14:paraId="39F53406">
      <w:pPr>
        <w:pStyle w:val="4"/>
        <w:ind w:left="0" w:leftChars="0" w:firstLineChars="0"/>
        <w:rPr>
          <w:rFonts w:hint="default" w:ascii="Times New Roman" w:hAnsi="Times New Roman" w:cs="Times New Roman"/>
          <w:color w:val="auto"/>
          <w:u w:val="none"/>
        </w:rPr>
      </w:pPr>
      <w:bookmarkStart w:id="41" w:name="_Toc16751"/>
      <w:r>
        <w:rPr>
          <w:rFonts w:hint="default" w:ascii="Times New Roman" w:hAnsi="Times New Roman" w:cs="Times New Roman"/>
          <w:color w:val="auto"/>
          <w:u w:val="none"/>
        </w:rPr>
        <w:t>环境功能区划</w:t>
      </w:r>
      <w:bookmarkEnd w:id="39"/>
      <w:bookmarkEnd w:id="40"/>
      <w:bookmarkEnd w:id="41"/>
    </w:p>
    <w:p w14:paraId="2FB69EF2">
      <w:pPr>
        <w:pStyle w:val="5"/>
        <w:rPr>
          <w:rFonts w:hint="default" w:ascii="Times New Roman" w:hAnsi="Times New Roman" w:cs="Times New Roman"/>
          <w:color w:val="auto"/>
          <w:u w:val="none"/>
        </w:rPr>
      </w:pPr>
      <w:r>
        <w:rPr>
          <w:rFonts w:hint="default" w:ascii="Times New Roman" w:hAnsi="Times New Roman" w:cs="Times New Roman"/>
          <w:color w:val="auto"/>
          <w:u w:val="none"/>
        </w:rPr>
        <w:t>地表水环境功能区</w:t>
      </w:r>
    </w:p>
    <w:p w14:paraId="562202B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城陵矶临港产业新区污水处理厂经象骨港汇入长江，汇入口上游500m至下游1.5km的范围长江水域执行《地表水环境质量标准》（GB3838-2002）Ⅲ类标准；象骨港兼顾渔业用水、农业用水，从严执行《地表水环境质量标准》（GB3838-2002）中Ⅲ类标准。</w:t>
      </w:r>
    </w:p>
    <w:p w14:paraId="17A61ECB">
      <w:pPr>
        <w:pStyle w:val="5"/>
        <w:rPr>
          <w:rFonts w:hint="default" w:ascii="Times New Roman" w:hAnsi="Times New Roman" w:cs="Times New Roman"/>
          <w:color w:val="auto"/>
          <w:u w:val="none"/>
        </w:rPr>
      </w:pPr>
      <w:bookmarkStart w:id="42" w:name="_Toc220122764"/>
      <w:r>
        <w:rPr>
          <w:rFonts w:hint="default" w:ascii="Times New Roman" w:hAnsi="Times New Roman" w:cs="Times New Roman"/>
          <w:color w:val="auto"/>
          <w:u w:val="none"/>
        </w:rPr>
        <w:t>大气环境功能区划</w:t>
      </w:r>
      <w:bookmarkEnd w:id="42"/>
    </w:p>
    <w:p w14:paraId="16A42E3F">
      <w:pPr>
        <w:ind w:firstLine="480"/>
        <w:rPr>
          <w:rFonts w:hint="default" w:ascii="Times New Roman" w:hAnsi="Times New Roman" w:cs="Times New Roman"/>
          <w:color w:val="auto"/>
          <w:u w:val="none"/>
        </w:rPr>
      </w:pPr>
      <w:bookmarkStart w:id="43" w:name="_Toc220122765"/>
      <w:r>
        <w:rPr>
          <w:rFonts w:hint="default" w:ascii="Times New Roman" w:hAnsi="Times New Roman" w:cs="Times New Roman"/>
          <w:color w:val="auto"/>
          <w:u w:val="none"/>
        </w:rPr>
        <w:t>本项目场区所在地区属于工业园区，根据《环境空气质量标准》中环境空气质量功能区分类，属于二类区，执行《环境空气质量标准》（GB3095-2012）中二级标准。</w:t>
      </w:r>
    </w:p>
    <w:p w14:paraId="1F144B85">
      <w:pPr>
        <w:pStyle w:val="5"/>
        <w:rPr>
          <w:rFonts w:hint="default" w:ascii="Times New Roman" w:hAnsi="Times New Roman" w:cs="Times New Roman"/>
          <w:color w:val="auto"/>
          <w:u w:val="none"/>
        </w:rPr>
      </w:pPr>
      <w:r>
        <w:rPr>
          <w:rFonts w:hint="default" w:ascii="Times New Roman" w:hAnsi="Times New Roman" w:cs="Times New Roman"/>
          <w:color w:val="auto"/>
          <w:u w:val="none"/>
        </w:rPr>
        <w:t>声环境功能区划</w:t>
      </w:r>
      <w:bookmarkEnd w:id="43"/>
    </w:p>
    <w:p w14:paraId="6EF3197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根据《声环境质量标准》（GB3096-2008）中对噪声区域的划分，本项目厂界四侧执行《声环境质量标准》（GB3096-2008）中的3类标准，本项目位于3类声环境功能区，执行3类环境噪声限值。</w:t>
      </w:r>
    </w:p>
    <w:p w14:paraId="13CD6891">
      <w:pPr>
        <w:pStyle w:val="5"/>
        <w:rPr>
          <w:rFonts w:hint="default" w:ascii="Times New Roman" w:hAnsi="Times New Roman" w:cs="Times New Roman"/>
          <w:color w:val="auto"/>
          <w:u w:val="none"/>
        </w:rPr>
      </w:pPr>
      <w:r>
        <w:rPr>
          <w:rFonts w:hint="default" w:ascii="Times New Roman" w:hAnsi="Times New Roman" w:cs="Times New Roman"/>
          <w:color w:val="auto"/>
          <w:u w:val="none"/>
        </w:rPr>
        <w:t>项目所在区域环境功能属性汇总</w:t>
      </w:r>
    </w:p>
    <w:p w14:paraId="09F73A4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根据项目所在区域的环境功能区划和本项目的执行标准函，项目所在区域的环境功能属性见表2.5-1。</w:t>
      </w:r>
    </w:p>
    <w:p w14:paraId="4DA4ED2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表2.5-1   环境功能区划表</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53"/>
        <w:gridCol w:w="2783"/>
        <w:gridCol w:w="6314"/>
      </w:tblGrid>
      <w:tr w14:paraId="2DA84F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695F001F">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编号</w:t>
            </w:r>
          </w:p>
        </w:tc>
        <w:tc>
          <w:tcPr>
            <w:tcW w:w="1412" w:type="pct"/>
            <w:vAlign w:val="center"/>
          </w:tcPr>
          <w:p w14:paraId="57CCB75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环境要素</w:t>
            </w:r>
          </w:p>
        </w:tc>
        <w:tc>
          <w:tcPr>
            <w:tcW w:w="3204" w:type="pct"/>
            <w:vAlign w:val="center"/>
          </w:tcPr>
          <w:p w14:paraId="36CD85F3">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环境功能属性</w:t>
            </w:r>
          </w:p>
        </w:tc>
      </w:tr>
      <w:tr w14:paraId="14F9F2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4ED5E05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p>
        </w:tc>
        <w:tc>
          <w:tcPr>
            <w:tcW w:w="1412" w:type="pct"/>
            <w:vAlign w:val="center"/>
          </w:tcPr>
          <w:p w14:paraId="6F4C40D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环境空气</w:t>
            </w:r>
          </w:p>
        </w:tc>
        <w:tc>
          <w:tcPr>
            <w:tcW w:w="3204" w:type="pct"/>
            <w:vAlign w:val="center"/>
          </w:tcPr>
          <w:p w14:paraId="742ACFD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二类区，执行《环境空气质量标准》（GB3095-2012）二级标准</w:t>
            </w:r>
          </w:p>
        </w:tc>
      </w:tr>
      <w:tr w14:paraId="7B71D9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0D31B06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w:t>
            </w:r>
          </w:p>
        </w:tc>
        <w:tc>
          <w:tcPr>
            <w:tcW w:w="1412" w:type="pct"/>
            <w:vAlign w:val="center"/>
          </w:tcPr>
          <w:p w14:paraId="2CEC4CB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地表水</w:t>
            </w:r>
          </w:p>
        </w:tc>
        <w:tc>
          <w:tcPr>
            <w:tcW w:w="3204" w:type="pct"/>
            <w:vAlign w:val="center"/>
          </w:tcPr>
          <w:p w14:paraId="01766B6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湖南城陵矶临港产业新区污水处理厂经象骨港汇入长江，汇入口上游500m至下游1.5km的范围长江水域执行《地表水环境质量标准》（GB3838-2002）Ⅲ类标准；松杨湖属于景观娱乐用水域，执行《地表水环境质量标准》（GB3838-2002）中的Ⅳ类标准；象骨港兼顾渔业用水、农业用水，从严执行《地表水环境质量标准》（GB3838-2002）中Ⅲ类标准。</w:t>
            </w:r>
          </w:p>
        </w:tc>
      </w:tr>
      <w:tr w14:paraId="422818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6697CAD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w:t>
            </w:r>
          </w:p>
        </w:tc>
        <w:tc>
          <w:tcPr>
            <w:tcW w:w="1412" w:type="pct"/>
            <w:vAlign w:val="center"/>
          </w:tcPr>
          <w:p w14:paraId="4078E87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声环境</w:t>
            </w:r>
          </w:p>
        </w:tc>
        <w:tc>
          <w:tcPr>
            <w:tcW w:w="3204" w:type="pct"/>
            <w:vAlign w:val="center"/>
          </w:tcPr>
          <w:p w14:paraId="64B59D0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执行《声环境质量标准》（GB3096-2008）中3类标准</w:t>
            </w:r>
          </w:p>
        </w:tc>
      </w:tr>
      <w:tr w14:paraId="17FB1D6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1A6544B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4</w:t>
            </w:r>
          </w:p>
        </w:tc>
        <w:tc>
          <w:tcPr>
            <w:tcW w:w="1412" w:type="pct"/>
            <w:vAlign w:val="center"/>
          </w:tcPr>
          <w:p w14:paraId="47C0B3E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是否基本农田保护区</w:t>
            </w:r>
          </w:p>
        </w:tc>
        <w:tc>
          <w:tcPr>
            <w:tcW w:w="3204" w:type="pct"/>
            <w:vAlign w:val="center"/>
          </w:tcPr>
          <w:p w14:paraId="5015CE0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r w14:paraId="3C3D17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7511A7B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w:t>
            </w:r>
          </w:p>
        </w:tc>
        <w:tc>
          <w:tcPr>
            <w:tcW w:w="1412" w:type="pct"/>
            <w:vAlign w:val="center"/>
          </w:tcPr>
          <w:p w14:paraId="2EF56D2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是否森林公园</w:t>
            </w:r>
          </w:p>
        </w:tc>
        <w:tc>
          <w:tcPr>
            <w:tcW w:w="3204" w:type="pct"/>
            <w:vAlign w:val="center"/>
          </w:tcPr>
          <w:p w14:paraId="1DBCE95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r w14:paraId="7FEFAE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42548B9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6</w:t>
            </w:r>
          </w:p>
        </w:tc>
        <w:tc>
          <w:tcPr>
            <w:tcW w:w="1412" w:type="pct"/>
            <w:vAlign w:val="center"/>
          </w:tcPr>
          <w:p w14:paraId="26D64FD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是否生态功能保护区</w:t>
            </w:r>
          </w:p>
        </w:tc>
        <w:tc>
          <w:tcPr>
            <w:tcW w:w="3204" w:type="pct"/>
            <w:vAlign w:val="center"/>
          </w:tcPr>
          <w:p w14:paraId="7B0D426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r w14:paraId="6DFE31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3CE1F03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7</w:t>
            </w:r>
          </w:p>
        </w:tc>
        <w:tc>
          <w:tcPr>
            <w:tcW w:w="1412" w:type="pct"/>
            <w:vAlign w:val="center"/>
          </w:tcPr>
          <w:p w14:paraId="5DD3B9D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是否水土流失重点防治区</w:t>
            </w:r>
          </w:p>
        </w:tc>
        <w:tc>
          <w:tcPr>
            <w:tcW w:w="3204" w:type="pct"/>
            <w:vAlign w:val="center"/>
          </w:tcPr>
          <w:p w14:paraId="3DE79BC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r w14:paraId="63F9D4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67FAC3A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8</w:t>
            </w:r>
          </w:p>
        </w:tc>
        <w:tc>
          <w:tcPr>
            <w:tcW w:w="1412" w:type="pct"/>
            <w:vAlign w:val="center"/>
          </w:tcPr>
          <w:p w14:paraId="0919E0D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是否人口密集区</w:t>
            </w:r>
          </w:p>
        </w:tc>
        <w:tc>
          <w:tcPr>
            <w:tcW w:w="3204" w:type="pct"/>
            <w:vAlign w:val="center"/>
          </w:tcPr>
          <w:p w14:paraId="1E83858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w:t>
            </w:r>
          </w:p>
        </w:tc>
      </w:tr>
      <w:tr w14:paraId="46BC76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18585C9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9</w:t>
            </w:r>
          </w:p>
        </w:tc>
        <w:tc>
          <w:tcPr>
            <w:tcW w:w="1412" w:type="pct"/>
            <w:vAlign w:val="center"/>
          </w:tcPr>
          <w:p w14:paraId="27D23CA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是否重点文物保护单位</w:t>
            </w:r>
          </w:p>
        </w:tc>
        <w:tc>
          <w:tcPr>
            <w:tcW w:w="3204" w:type="pct"/>
            <w:vAlign w:val="center"/>
          </w:tcPr>
          <w:p w14:paraId="66D2663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r w14:paraId="747DA7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30DFA9C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w:t>
            </w:r>
          </w:p>
        </w:tc>
        <w:tc>
          <w:tcPr>
            <w:tcW w:w="1412" w:type="pct"/>
            <w:vAlign w:val="center"/>
          </w:tcPr>
          <w:p w14:paraId="057F2CF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是否三河、三湖、两控区</w:t>
            </w:r>
          </w:p>
        </w:tc>
        <w:tc>
          <w:tcPr>
            <w:tcW w:w="3204" w:type="pct"/>
            <w:vAlign w:val="center"/>
          </w:tcPr>
          <w:p w14:paraId="74EBD5A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w:t>
            </w:r>
          </w:p>
        </w:tc>
      </w:tr>
      <w:tr w14:paraId="47E3CC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2A524D7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11</w:t>
            </w:r>
          </w:p>
        </w:tc>
        <w:tc>
          <w:tcPr>
            <w:tcW w:w="1412" w:type="pct"/>
            <w:vAlign w:val="center"/>
          </w:tcPr>
          <w:p w14:paraId="424EBC7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是否水库库区</w:t>
            </w:r>
          </w:p>
        </w:tc>
        <w:tc>
          <w:tcPr>
            <w:tcW w:w="3204" w:type="pct"/>
            <w:vAlign w:val="center"/>
          </w:tcPr>
          <w:p w14:paraId="7C7B898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r w14:paraId="0A6767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82" w:type="pct"/>
            <w:vAlign w:val="center"/>
          </w:tcPr>
          <w:p w14:paraId="3AD286E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12</w:t>
            </w:r>
          </w:p>
        </w:tc>
        <w:tc>
          <w:tcPr>
            <w:tcW w:w="1412" w:type="pct"/>
            <w:vAlign w:val="center"/>
          </w:tcPr>
          <w:p w14:paraId="4BFCB1E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是否污水处理厂集水范围</w:t>
            </w:r>
          </w:p>
        </w:tc>
        <w:tc>
          <w:tcPr>
            <w:tcW w:w="3204" w:type="pct"/>
            <w:vAlign w:val="center"/>
          </w:tcPr>
          <w:p w14:paraId="5A3A450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是（湖南城陵矶临港产业新区污水处理厂）</w:t>
            </w:r>
          </w:p>
        </w:tc>
      </w:tr>
      <w:tr w14:paraId="5BD3AC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382" w:type="pct"/>
            <w:vAlign w:val="center"/>
          </w:tcPr>
          <w:p w14:paraId="28CEE1D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13</w:t>
            </w:r>
          </w:p>
        </w:tc>
        <w:tc>
          <w:tcPr>
            <w:tcW w:w="1412" w:type="pct"/>
            <w:vAlign w:val="center"/>
          </w:tcPr>
          <w:p w14:paraId="67F80A1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是否属于生态敏感与脆弱区</w:t>
            </w:r>
          </w:p>
        </w:tc>
        <w:tc>
          <w:tcPr>
            <w:tcW w:w="3204" w:type="pct"/>
            <w:vAlign w:val="center"/>
          </w:tcPr>
          <w:p w14:paraId="042928C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否</w:t>
            </w:r>
          </w:p>
        </w:tc>
      </w:tr>
    </w:tbl>
    <w:p w14:paraId="2944AE3C">
      <w:pPr>
        <w:pStyle w:val="4"/>
        <w:ind w:left="0" w:leftChars="0" w:firstLineChars="0"/>
        <w:rPr>
          <w:rFonts w:hint="default" w:ascii="Times New Roman" w:hAnsi="Times New Roman" w:cs="Times New Roman"/>
          <w:color w:val="auto"/>
          <w:u w:val="none"/>
        </w:rPr>
      </w:pPr>
      <w:bookmarkStart w:id="44" w:name="_Toc14492"/>
      <w:bookmarkStart w:id="45" w:name="_Toc24158"/>
      <w:bookmarkStart w:id="46" w:name="_Toc16344"/>
      <w:r>
        <w:rPr>
          <w:rFonts w:hint="default" w:ascii="Times New Roman" w:hAnsi="Times New Roman" w:cs="Times New Roman"/>
          <w:color w:val="auto"/>
          <w:u w:val="none"/>
        </w:rPr>
        <w:t>环境保护目标</w:t>
      </w:r>
      <w:bookmarkEnd w:id="44"/>
      <w:bookmarkEnd w:id="45"/>
      <w:bookmarkEnd w:id="46"/>
    </w:p>
    <w:p w14:paraId="70CED5FD">
      <w:pPr>
        <w:ind w:firstLine="468"/>
        <w:rPr>
          <w:rFonts w:hint="default" w:ascii="Times New Roman" w:hAnsi="Times New Roman" w:cs="Times New Roman"/>
          <w:color w:val="auto"/>
          <w:u w:val="none"/>
        </w:rPr>
      </w:pPr>
      <w:r>
        <w:rPr>
          <w:rFonts w:hint="default" w:ascii="Times New Roman" w:hAnsi="Times New Roman" w:cs="Times New Roman"/>
          <w:color w:val="auto"/>
          <w:spacing w:val="-3"/>
          <w:u w:val="none"/>
        </w:rPr>
        <w:t>根据项目现场初步调查，区域为城市，无重点保护文物和珍稀动植物。本次</w:t>
      </w:r>
      <w:r>
        <w:rPr>
          <w:rFonts w:hint="default" w:ascii="Times New Roman" w:hAnsi="Times New Roman" w:cs="Times New Roman"/>
          <w:color w:val="auto"/>
          <w:u w:val="none"/>
        </w:rPr>
        <w:t>评价根据周围居民分布、污染特征等确定环境保护目标，详见表</w:t>
      </w:r>
      <w:r>
        <w:rPr>
          <w:rFonts w:hint="default" w:ascii="Times New Roman" w:hAnsi="Times New Roman" w:cs="Times New Roman"/>
          <w:color w:val="auto"/>
          <w:spacing w:val="-61"/>
          <w:u w:val="none"/>
        </w:rPr>
        <w:t xml:space="preserve"> </w:t>
      </w:r>
      <w:r>
        <w:rPr>
          <w:rFonts w:hint="default" w:ascii="Times New Roman" w:hAnsi="Times New Roman" w:cs="Times New Roman"/>
          <w:color w:val="auto"/>
          <w:u w:val="none"/>
        </w:rPr>
        <w:t>2.6-1。</w:t>
      </w:r>
    </w:p>
    <w:p w14:paraId="685010E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表2.6-1  建设项目环境保护目标一览表</w:t>
      </w:r>
    </w:p>
    <w:tbl>
      <w:tblPr>
        <w:tblStyle w:val="3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07"/>
        <w:gridCol w:w="1343"/>
        <w:gridCol w:w="1876"/>
        <w:gridCol w:w="2271"/>
        <w:gridCol w:w="1708"/>
        <w:gridCol w:w="1841"/>
      </w:tblGrid>
      <w:tr w14:paraId="03964D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tcMar>
              <w:top w:w="0" w:type="dxa"/>
              <w:left w:w="57" w:type="dxa"/>
              <w:bottom w:w="0" w:type="dxa"/>
              <w:right w:w="57" w:type="dxa"/>
            </w:tcMar>
            <w:vAlign w:val="center"/>
          </w:tcPr>
          <w:p w14:paraId="41F3EAD1">
            <w:pPr>
              <w:pStyle w:val="41"/>
              <w:rPr>
                <w:rFonts w:hint="default" w:ascii="Times New Roman" w:hAnsi="Times New Roman" w:cs="Times New Roman"/>
                <w:b/>
                <w:bCs/>
                <w:color w:val="auto"/>
                <w:kern w:val="2"/>
                <w:u w:val="none"/>
              </w:rPr>
            </w:pPr>
            <w:bookmarkStart w:id="47" w:name="_Toc10523"/>
            <w:r>
              <w:rPr>
                <w:rFonts w:hint="default" w:ascii="Times New Roman" w:hAnsi="Times New Roman" w:cs="Times New Roman"/>
                <w:b/>
                <w:bCs/>
                <w:color w:val="auto"/>
                <w:kern w:val="2"/>
                <w:u w:val="none"/>
              </w:rPr>
              <w:t>环境要素</w:t>
            </w:r>
          </w:p>
        </w:tc>
        <w:tc>
          <w:tcPr>
            <w:tcW w:w="689" w:type="pct"/>
            <w:tcMar>
              <w:top w:w="0" w:type="dxa"/>
              <w:left w:w="57" w:type="dxa"/>
              <w:bottom w:w="0" w:type="dxa"/>
              <w:right w:w="57" w:type="dxa"/>
            </w:tcMar>
            <w:vAlign w:val="center"/>
          </w:tcPr>
          <w:p w14:paraId="5D2332EB">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敏感目标</w:t>
            </w:r>
          </w:p>
        </w:tc>
        <w:tc>
          <w:tcPr>
            <w:tcW w:w="962" w:type="pct"/>
            <w:tcMar>
              <w:top w:w="0" w:type="dxa"/>
              <w:left w:w="57" w:type="dxa"/>
              <w:bottom w:w="0" w:type="dxa"/>
              <w:right w:w="57" w:type="dxa"/>
            </w:tcMar>
            <w:vAlign w:val="center"/>
          </w:tcPr>
          <w:p w14:paraId="199F4F08">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坐标</w:t>
            </w:r>
          </w:p>
        </w:tc>
        <w:tc>
          <w:tcPr>
            <w:tcW w:w="1165" w:type="pct"/>
            <w:tcMar>
              <w:top w:w="0" w:type="dxa"/>
              <w:left w:w="57" w:type="dxa"/>
              <w:bottom w:w="0" w:type="dxa"/>
              <w:right w:w="57" w:type="dxa"/>
            </w:tcMar>
            <w:vAlign w:val="center"/>
          </w:tcPr>
          <w:p w14:paraId="1042B25D">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与项目的相对方位、高差及距离</w:t>
            </w:r>
          </w:p>
        </w:tc>
        <w:tc>
          <w:tcPr>
            <w:tcW w:w="875" w:type="pct"/>
            <w:tcMar>
              <w:top w:w="0" w:type="dxa"/>
              <w:left w:w="57" w:type="dxa"/>
              <w:bottom w:w="0" w:type="dxa"/>
              <w:right w:w="57" w:type="dxa"/>
            </w:tcMar>
            <w:vAlign w:val="center"/>
          </w:tcPr>
          <w:p w14:paraId="37824FE5">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功能/规模</w:t>
            </w:r>
          </w:p>
        </w:tc>
        <w:tc>
          <w:tcPr>
            <w:tcW w:w="944" w:type="pct"/>
            <w:tcMar>
              <w:top w:w="0" w:type="dxa"/>
              <w:left w:w="57" w:type="dxa"/>
              <w:bottom w:w="0" w:type="dxa"/>
              <w:right w:w="57" w:type="dxa"/>
            </w:tcMar>
            <w:vAlign w:val="center"/>
          </w:tcPr>
          <w:p w14:paraId="472FA10F">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保护级别</w:t>
            </w:r>
          </w:p>
        </w:tc>
      </w:tr>
      <w:tr w14:paraId="48FD2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restart"/>
            <w:tcMar>
              <w:top w:w="0" w:type="dxa"/>
              <w:left w:w="57" w:type="dxa"/>
              <w:bottom w:w="0" w:type="dxa"/>
              <w:right w:w="57" w:type="dxa"/>
            </w:tcMar>
            <w:vAlign w:val="center"/>
          </w:tcPr>
          <w:p w14:paraId="018567A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大气环境</w:t>
            </w:r>
          </w:p>
        </w:tc>
        <w:tc>
          <w:tcPr>
            <w:tcW w:w="689" w:type="pct"/>
            <w:tcMar>
              <w:top w:w="0" w:type="dxa"/>
              <w:left w:w="57" w:type="dxa"/>
              <w:bottom w:w="0" w:type="dxa"/>
              <w:right w:w="57" w:type="dxa"/>
            </w:tcMar>
            <w:vAlign w:val="center"/>
          </w:tcPr>
          <w:p w14:paraId="52C91F35">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松阳湖社区居民</w:t>
            </w:r>
          </w:p>
        </w:tc>
        <w:tc>
          <w:tcPr>
            <w:tcW w:w="962" w:type="pct"/>
            <w:tcMar>
              <w:top w:w="0" w:type="dxa"/>
              <w:left w:w="57" w:type="dxa"/>
              <w:bottom w:w="0" w:type="dxa"/>
              <w:right w:w="57" w:type="dxa"/>
            </w:tcMar>
            <w:vAlign w:val="center"/>
          </w:tcPr>
          <w:p w14:paraId="176DF6A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X：113.197156Y：29.484844</w:t>
            </w:r>
          </w:p>
        </w:tc>
        <w:tc>
          <w:tcPr>
            <w:tcW w:w="1165" w:type="pct"/>
            <w:tcMar>
              <w:top w:w="0" w:type="dxa"/>
              <w:left w:w="57" w:type="dxa"/>
              <w:bottom w:w="0" w:type="dxa"/>
              <w:right w:w="57" w:type="dxa"/>
            </w:tcMar>
            <w:vAlign w:val="center"/>
          </w:tcPr>
          <w:p w14:paraId="5CEFDAC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NE/2.</w:t>
            </w:r>
            <w:r>
              <w:rPr>
                <w:rFonts w:hint="eastAsia" w:cs="Times New Roman"/>
                <w:color w:val="auto"/>
                <w:kern w:val="2"/>
                <w:u w:val="none"/>
                <w:lang w:val="en-US" w:eastAsia="zh-CN"/>
              </w:rPr>
              <w:t>2</w:t>
            </w:r>
            <w:r>
              <w:rPr>
                <w:rFonts w:hint="default" w:ascii="Times New Roman" w:hAnsi="Times New Roman" w:cs="Times New Roman"/>
                <w:color w:val="auto"/>
                <w:kern w:val="2"/>
                <w:u w:val="none"/>
              </w:rPr>
              <w:t>-2.</w:t>
            </w:r>
            <w:r>
              <w:rPr>
                <w:rFonts w:hint="eastAsia" w:cs="Times New Roman"/>
                <w:color w:val="auto"/>
                <w:kern w:val="2"/>
                <w:u w:val="none"/>
                <w:lang w:val="en-US" w:eastAsia="zh-CN"/>
              </w:rPr>
              <w:t>4</w:t>
            </w:r>
            <w:r>
              <w:rPr>
                <w:rFonts w:hint="default" w:ascii="Times New Roman" w:hAnsi="Times New Roman" w:cs="Times New Roman"/>
                <w:color w:val="auto"/>
                <w:kern w:val="2"/>
                <w:u w:val="none"/>
              </w:rPr>
              <w:t>km，高差+1.0m</w:t>
            </w:r>
          </w:p>
        </w:tc>
        <w:tc>
          <w:tcPr>
            <w:tcW w:w="875" w:type="pct"/>
            <w:tcMar>
              <w:top w:w="0" w:type="dxa"/>
              <w:left w:w="57" w:type="dxa"/>
              <w:bottom w:w="0" w:type="dxa"/>
              <w:right w:w="57" w:type="dxa"/>
            </w:tcMar>
            <w:vAlign w:val="center"/>
          </w:tcPr>
          <w:p w14:paraId="490D3255">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居住，500人</w:t>
            </w:r>
          </w:p>
        </w:tc>
        <w:tc>
          <w:tcPr>
            <w:tcW w:w="944" w:type="pct"/>
            <w:vMerge w:val="restart"/>
            <w:tcMar>
              <w:top w:w="0" w:type="dxa"/>
              <w:left w:w="57" w:type="dxa"/>
              <w:bottom w:w="0" w:type="dxa"/>
              <w:right w:w="57" w:type="dxa"/>
            </w:tcMar>
            <w:vAlign w:val="center"/>
          </w:tcPr>
          <w:p w14:paraId="06C2C1E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《环境空气质量标准》（GB3095-2012）二级</w:t>
            </w:r>
          </w:p>
        </w:tc>
      </w:tr>
      <w:tr w14:paraId="16A57F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33195320">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2BB2E21C">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亚泰花园小区</w:t>
            </w:r>
          </w:p>
        </w:tc>
        <w:tc>
          <w:tcPr>
            <w:tcW w:w="962" w:type="pct"/>
            <w:tcMar>
              <w:top w:w="0" w:type="dxa"/>
              <w:left w:w="57" w:type="dxa"/>
              <w:bottom w:w="0" w:type="dxa"/>
              <w:right w:w="57" w:type="dxa"/>
            </w:tcMar>
            <w:vAlign w:val="center"/>
          </w:tcPr>
          <w:p w14:paraId="2BD0B51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X：113.196535Y：29.480042</w:t>
            </w:r>
          </w:p>
        </w:tc>
        <w:tc>
          <w:tcPr>
            <w:tcW w:w="1165" w:type="pct"/>
            <w:tcMar>
              <w:top w:w="0" w:type="dxa"/>
              <w:left w:w="57" w:type="dxa"/>
              <w:bottom w:w="0" w:type="dxa"/>
              <w:right w:w="57" w:type="dxa"/>
            </w:tcMar>
            <w:vAlign w:val="center"/>
          </w:tcPr>
          <w:p w14:paraId="6DA45E9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65</w:t>
            </w:r>
            <w:r>
              <w:rPr>
                <w:rFonts w:hint="default" w:ascii="Times New Roman" w:hAnsi="Times New Roman" w:cs="Times New Roman"/>
                <w:color w:val="auto"/>
                <w:kern w:val="2"/>
                <w:u w:val="none"/>
              </w:rPr>
              <w:t>-2.2</w:t>
            </w:r>
            <w:r>
              <w:rPr>
                <w:rFonts w:hint="eastAsia" w:cs="Times New Roman"/>
                <w:color w:val="auto"/>
                <w:kern w:val="2"/>
                <w:u w:val="none"/>
                <w:lang w:val="en-US" w:eastAsia="zh-CN"/>
              </w:rPr>
              <w:t>2</w:t>
            </w:r>
            <w:r>
              <w:rPr>
                <w:rFonts w:hint="default" w:ascii="Times New Roman" w:hAnsi="Times New Roman" w:cs="Times New Roman"/>
                <w:color w:val="auto"/>
                <w:kern w:val="2"/>
                <w:u w:val="none"/>
              </w:rPr>
              <w:t>km，高差+1.0m</w:t>
            </w:r>
          </w:p>
        </w:tc>
        <w:tc>
          <w:tcPr>
            <w:tcW w:w="875" w:type="pct"/>
            <w:tcMar>
              <w:top w:w="0" w:type="dxa"/>
              <w:left w:w="57" w:type="dxa"/>
              <w:bottom w:w="0" w:type="dxa"/>
              <w:right w:w="57" w:type="dxa"/>
            </w:tcMar>
            <w:vAlign w:val="center"/>
          </w:tcPr>
          <w:p w14:paraId="4FADE6F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居住，1300人</w:t>
            </w:r>
          </w:p>
        </w:tc>
        <w:tc>
          <w:tcPr>
            <w:tcW w:w="944" w:type="pct"/>
            <w:vMerge w:val="continue"/>
            <w:tcMar>
              <w:top w:w="0" w:type="dxa"/>
              <w:left w:w="57" w:type="dxa"/>
              <w:bottom w:w="0" w:type="dxa"/>
              <w:right w:w="57" w:type="dxa"/>
            </w:tcMar>
            <w:vAlign w:val="center"/>
          </w:tcPr>
          <w:p w14:paraId="2EC16CF5">
            <w:pPr>
              <w:pStyle w:val="41"/>
              <w:rPr>
                <w:rFonts w:hint="default" w:ascii="Times New Roman" w:hAnsi="Times New Roman" w:cs="Times New Roman"/>
                <w:color w:val="auto"/>
                <w:kern w:val="2"/>
                <w:u w:val="none"/>
              </w:rPr>
            </w:pPr>
          </w:p>
        </w:tc>
      </w:tr>
      <w:tr w14:paraId="358CDF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498F6AA3">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6D614918">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松阳湖安置区</w:t>
            </w:r>
          </w:p>
        </w:tc>
        <w:tc>
          <w:tcPr>
            <w:tcW w:w="962" w:type="pct"/>
            <w:tcMar>
              <w:top w:w="0" w:type="dxa"/>
              <w:left w:w="57" w:type="dxa"/>
              <w:bottom w:w="0" w:type="dxa"/>
              <w:right w:w="57" w:type="dxa"/>
            </w:tcMar>
            <w:vAlign w:val="center"/>
          </w:tcPr>
          <w:p w14:paraId="5AABC46D">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X：113.200783Y：29.485363</w:t>
            </w:r>
          </w:p>
        </w:tc>
        <w:tc>
          <w:tcPr>
            <w:tcW w:w="1165" w:type="pct"/>
            <w:tcMar>
              <w:top w:w="0" w:type="dxa"/>
              <w:left w:w="57" w:type="dxa"/>
              <w:bottom w:w="0" w:type="dxa"/>
              <w:right w:w="57" w:type="dxa"/>
            </w:tcMar>
            <w:vAlign w:val="center"/>
          </w:tcPr>
          <w:p w14:paraId="7469839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68</w:t>
            </w:r>
            <w:r>
              <w:rPr>
                <w:rFonts w:hint="default" w:ascii="Times New Roman" w:hAnsi="Times New Roman" w:cs="Times New Roman"/>
                <w:color w:val="auto"/>
                <w:kern w:val="2"/>
                <w:u w:val="none"/>
              </w:rPr>
              <w:t>-2.5</w:t>
            </w:r>
            <w:r>
              <w:rPr>
                <w:rFonts w:hint="eastAsia" w:cs="Times New Roman"/>
                <w:color w:val="auto"/>
                <w:kern w:val="2"/>
                <w:u w:val="none"/>
                <w:lang w:val="en-US" w:eastAsia="zh-CN"/>
              </w:rPr>
              <w:t>2</w:t>
            </w:r>
            <w:r>
              <w:rPr>
                <w:rFonts w:hint="default" w:ascii="Times New Roman" w:hAnsi="Times New Roman" w:cs="Times New Roman"/>
                <w:color w:val="auto"/>
                <w:kern w:val="2"/>
                <w:u w:val="none"/>
              </w:rPr>
              <w:t>km，高差+1.0m</w:t>
            </w:r>
          </w:p>
        </w:tc>
        <w:tc>
          <w:tcPr>
            <w:tcW w:w="875" w:type="pct"/>
            <w:tcMar>
              <w:top w:w="0" w:type="dxa"/>
              <w:left w:w="57" w:type="dxa"/>
              <w:bottom w:w="0" w:type="dxa"/>
              <w:right w:w="57" w:type="dxa"/>
            </w:tcMar>
            <w:vAlign w:val="center"/>
          </w:tcPr>
          <w:p w14:paraId="1BC337F3">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居住，1300人</w:t>
            </w:r>
          </w:p>
        </w:tc>
        <w:tc>
          <w:tcPr>
            <w:tcW w:w="944" w:type="pct"/>
            <w:vMerge w:val="continue"/>
            <w:tcMar>
              <w:top w:w="0" w:type="dxa"/>
              <w:left w:w="57" w:type="dxa"/>
              <w:bottom w:w="0" w:type="dxa"/>
              <w:right w:w="57" w:type="dxa"/>
            </w:tcMar>
            <w:vAlign w:val="center"/>
          </w:tcPr>
          <w:p w14:paraId="6D5393D6">
            <w:pPr>
              <w:pStyle w:val="41"/>
              <w:rPr>
                <w:rFonts w:hint="default" w:ascii="Times New Roman" w:hAnsi="Times New Roman" w:cs="Times New Roman"/>
                <w:color w:val="auto"/>
                <w:kern w:val="2"/>
                <w:u w:val="none"/>
              </w:rPr>
            </w:pPr>
          </w:p>
        </w:tc>
      </w:tr>
      <w:tr w14:paraId="233442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7BDCD783">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031C906F">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杨树港村二组</w:t>
            </w:r>
          </w:p>
        </w:tc>
        <w:tc>
          <w:tcPr>
            <w:tcW w:w="962" w:type="pct"/>
            <w:tcMar>
              <w:top w:w="0" w:type="dxa"/>
              <w:left w:w="57" w:type="dxa"/>
              <w:bottom w:w="0" w:type="dxa"/>
              <w:right w:w="57" w:type="dxa"/>
            </w:tcMar>
            <w:vAlign w:val="center"/>
          </w:tcPr>
          <w:p w14:paraId="041250A2">
            <w:pPr>
              <w:adjustRightInd w:val="0"/>
              <w:snapToGrid w:val="0"/>
              <w:spacing w:line="240" w:lineRule="auto"/>
              <w:ind w:firstLine="0" w:firstLineChars="0"/>
              <w:jc w:val="center"/>
              <w:rPr>
                <w:rFonts w:hint="default" w:ascii="Times New Roman" w:hAnsi="Times New Roman" w:cs="Times New Roman"/>
                <w:color w:val="auto"/>
                <w:u w:val="none"/>
              </w:rPr>
            </w:pPr>
            <w:r>
              <w:rPr>
                <w:rFonts w:hint="default" w:ascii="Times New Roman" w:hAnsi="Times New Roman" w:cs="Times New Roman"/>
                <w:color w:val="auto"/>
                <w:sz w:val="21"/>
                <w:szCs w:val="21"/>
                <w:u w:val="none"/>
              </w:rPr>
              <w:t>X：113.185162</w:t>
            </w:r>
            <w:r>
              <w:rPr>
                <w:rFonts w:hint="default" w:ascii="Times New Roman" w:hAnsi="Times New Roman" w:cs="Times New Roman"/>
                <w:color w:val="auto"/>
                <w:u w:val="none"/>
              </w:rPr>
              <w:t>Y：29.478128</w:t>
            </w:r>
          </w:p>
        </w:tc>
        <w:tc>
          <w:tcPr>
            <w:tcW w:w="1165" w:type="pct"/>
            <w:tcMar>
              <w:top w:w="0" w:type="dxa"/>
              <w:left w:w="57" w:type="dxa"/>
              <w:bottom w:w="0" w:type="dxa"/>
              <w:right w:w="57" w:type="dxa"/>
            </w:tcMar>
            <w:vAlign w:val="center"/>
          </w:tcPr>
          <w:p w14:paraId="2416C1F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NW/1.3</w:t>
            </w:r>
            <w:r>
              <w:rPr>
                <w:rFonts w:hint="eastAsia" w:cs="Times New Roman"/>
                <w:color w:val="auto"/>
                <w:kern w:val="2"/>
                <w:u w:val="none"/>
                <w:lang w:val="en-US" w:eastAsia="zh-CN"/>
              </w:rPr>
              <w:t>1</w:t>
            </w:r>
            <w:r>
              <w:rPr>
                <w:rFonts w:hint="default" w:ascii="Times New Roman" w:hAnsi="Times New Roman" w:cs="Times New Roman"/>
                <w:color w:val="auto"/>
                <w:kern w:val="2"/>
                <w:u w:val="none"/>
              </w:rPr>
              <w:t>-1.5</w:t>
            </w:r>
            <w:r>
              <w:rPr>
                <w:rFonts w:hint="eastAsia" w:cs="Times New Roman"/>
                <w:color w:val="auto"/>
                <w:kern w:val="2"/>
                <w:u w:val="none"/>
                <w:lang w:val="en-US" w:eastAsia="zh-CN"/>
              </w:rPr>
              <w:t>2</w:t>
            </w:r>
            <w:r>
              <w:rPr>
                <w:rFonts w:hint="default" w:ascii="Times New Roman" w:hAnsi="Times New Roman" w:cs="Times New Roman"/>
                <w:color w:val="auto"/>
                <w:kern w:val="2"/>
                <w:u w:val="none"/>
              </w:rPr>
              <w:t>km，高差+1.0m</w:t>
            </w:r>
          </w:p>
        </w:tc>
        <w:tc>
          <w:tcPr>
            <w:tcW w:w="875" w:type="pct"/>
            <w:tcMar>
              <w:top w:w="0" w:type="dxa"/>
              <w:left w:w="57" w:type="dxa"/>
              <w:bottom w:w="0" w:type="dxa"/>
              <w:right w:w="57" w:type="dxa"/>
            </w:tcMar>
            <w:vAlign w:val="center"/>
          </w:tcPr>
          <w:p w14:paraId="1B81F87A">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居住，50人</w:t>
            </w:r>
          </w:p>
        </w:tc>
        <w:tc>
          <w:tcPr>
            <w:tcW w:w="944" w:type="pct"/>
            <w:vMerge w:val="continue"/>
            <w:tcMar>
              <w:top w:w="0" w:type="dxa"/>
              <w:left w:w="57" w:type="dxa"/>
              <w:bottom w:w="0" w:type="dxa"/>
              <w:right w:w="57" w:type="dxa"/>
            </w:tcMar>
            <w:vAlign w:val="center"/>
          </w:tcPr>
          <w:p w14:paraId="5E26BCDF">
            <w:pPr>
              <w:pStyle w:val="41"/>
              <w:rPr>
                <w:rFonts w:hint="default" w:ascii="Times New Roman" w:hAnsi="Times New Roman" w:cs="Times New Roman"/>
                <w:color w:val="auto"/>
                <w:kern w:val="2"/>
                <w:u w:val="none"/>
              </w:rPr>
            </w:pPr>
          </w:p>
        </w:tc>
      </w:tr>
      <w:tr w14:paraId="234AD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708C5ADC">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0A686D67">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凌泊湖小区</w:t>
            </w:r>
          </w:p>
        </w:tc>
        <w:tc>
          <w:tcPr>
            <w:tcW w:w="962" w:type="pct"/>
            <w:tcMar>
              <w:top w:w="0" w:type="dxa"/>
              <w:left w:w="57" w:type="dxa"/>
              <w:bottom w:w="0" w:type="dxa"/>
              <w:right w:w="57" w:type="dxa"/>
            </w:tcMar>
            <w:vAlign w:val="center"/>
          </w:tcPr>
          <w:p w14:paraId="50044517">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X：113.158085Y：28.243775</w:t>
            </w:r>
          </w:p>
        </w:tc>
        <w:tc>
          <w:tcPr>
            <w:tcW w:w="1165" w:type="pct"/>
            <w:tcMar>
              <w:top w:w="0" w:type="dxa"/>
              <w:left w:w="57" w:type="dxa"/>
              <w:bottom w:w="0" w:type="dxa"/>
              <w:right w:w="57" w:type="dxa"/>
            </w:tcMar>
            <w:vAlign w:val="center"/>
          </w:tcPr>
          <w:p w14:paraId="25213AE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NE/1.8</w:t>
            </w:r>
            <w:r>
              <w:rPr>
                <w:rFonts w:hint="eastAsia" w:cs="Times New Roman"/>
                <w:color w:val="auto"/>
                <w:kern w:val="2"/>
                <w:u w:val="none"/>
                <w:lang w:val="en-US" w:eastAsia="zh-CN"/>
              </w:rPr>
              <w:t>2</w:t>
            </w:r>
            <w:r>
              <w:rPr>
                <w:rFonts w:hint="default" w:ascii="Times New Roman" w:hAnsi="Times New Roman" w:cs="Times New Roman"/>
                <w:color w:val="auto"/>
                <w:kern w:val="2"/>
                <w:u w:val="none"/>
              </w:rPr>
              <w:t>km-2.4</w:t>
            </w:r>
            <w:r>
              <w:rPr>
                <w:rFonts w:hint="eastAsia" w:cs="Times New Roman"/>
                <w:color w:val="auto"/>
                <w:kern w:val="2"/>
                <w:u w:val="none"/>
                <w:lang w:val="en-US" w:eastAsia="zh-CN"/>
              </w:rPr>
              <w:t>3</w:t>
            </w:r>
            <w:r>
              <w:rPr>
                <w:rFonts w:hint="default" w:ascii="Times New Roman" w:hAnsi="Times New Roman" w:cs="Times New Roman"/>
                <w:color w:val="auto"/>
                <w:kern w:val="2"/>
                <w:u w:val="none"/>
              </w:rPr>
              <w:t>km，高差+7.3m</w:t>
            </w:r>
          </w:p>
        </w:tc>
        <w:tc>
          <w:tcPr>
            <w:tcW w:w="875" w:type="pct"/>
            <w:tcMar>
              <w:top w:w="0" w:type="dxa"/>
              <w:left w:w="57" w:type="dxa"/>
              <w:bottom w:w="0" w:type="dxa"/>
              <w:right w:w="57" w:type="dxa"/>
            </w:tcMar>
            <w:vAlign w:val="center"/>
          </w:tcPr>
          <w:p w14:paraId="06890C44">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居住，1300户</w:t>
            </w:r>
          </w:p>
        </w:tc>
        <w:tc>
          <w:tcPr>
            <w:tcW w:w="944" w:type="pct"/>
            <w:vMerge w:val="continue"/>
            <w:tcMar>
              <w:top w:w="0" w:type="dxa"/>
              <w:left w:w="57" w:type="dxa"/>
              <w:bottom w:w="0" w:type="dxa"/>
              <w:right w:w="57" w:type="dxa"/>
            </w:tcMar>
            <w:vAlign w:val="center"/>
          </w:tcPr>
          <w:p w14:paraId="54413134">
            <w:pPr>
              <w:pStyle w:val="41"/>
              <w:rPr>
                <w:rFonts w:hint="default" w:ascii="Times New Roman" w:hAnsi="Times New Roman" w:cs="Times New Roman"/>
                <w:color w:val="auto"/>
                <w:kern w:val="2"/>
                <w:u w:val="none"/>
              </w:rPr>
            </w:pPr>
          </w:p>
        </w:tc>
      </w:tr>
      <w:tr w14:paraId="59661F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4EE5107E">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55A47D80">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永济中学</w:t>
            </w:r>
          </w:p>
        </w:tc>
        <w:tc>
          <w:tcPr>
            <w:tcW w:w="962" w:type="pct"/>
            <w:tcMar>
              <w:top w:w="0" w:type="dxa"/>
              <w:left w:w="57" w:type="dxa"/>
              <w:bottom w:w="0" w:type="dxa"/>
              <w:right w:w="57" w:type="dxa"/>
            </w:tcMar>
            <w:vAlign w:val="center"/>
          </w:tcPr>
          <w:p w14:paraId="236B5EAF">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X：113.153719Y：28.246178</w:t>
            </w:r>
          </w:p>
        </w:tc>
        <w:tc>
          <w:tcPr>
            <w:tcW w:w="1165" w:type="pct"/>
            <w:tcMar>
              <w:top w:w="0" w:type="dxa"/>
              <w:left w:w="57" w:type="dxa"/>
              <w:bottom w:w="0" w:type="dxa"/>
              <w:right w:w="57" w:type="dxa"/>
            </w:tcMar>
            <w:vAlign w:val="center"/>
          </w:tcPr>
          <w:p w14:paraId="1D8D0625">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cs="Times New Roman"/>
                <w:color w:val="auto"/>
                <w:u w:val="none"/>
              </w:rPr>
              <w:t>NE</w:t>
            </w:r>
            <w:r>
              <w:rPr>
                <w:rFonts w:hint="default" w:ascii="Times New Roman" w:hAnsi="Times New Roman" w:eastAsia="Calibri" w:cs="Times New Roman"/>
                <w:color w:val="auto"/>
                <w:spacing w:val="-10"/>
                <w:sz w:val="21"/>
                <w:szCs w:val="21"/>
                <w:u w:val="none"/>
              </w:rPr>
              <w:t>/2.</w:t>
            </w:r>
            <w:r>
              <w:rPr>
                <w:rFonts w:hint="eastAsia" w:ascii="Times New Roman" w:hAnsi="Times New Roman" w:eastAsia="宋体" w:cs="Times New Roman"/>
                <w:color w:val="auto"/>
                <w:spacing w:val="-10"/>
                <w:sz w:val="21"/>
                <w:szCs w:val="21"/>
                <w:u w:val="none"/>
                <w:lang w:val="en-US" w:eastAsia="zh-CN"/>
              </w:rPr>
              <w:t>2</w:t>
            </w:r>
            <w:r>
              <w:rPr>
                <w:rFonts w:hint="default" w:ascii="Times New Roman" w:hAnsi="Times New Roman" w:eastAsia="Calibri" w:cs="Times New Roman"/>
                <w:color w:val="auto"/>
                <w:spacing w:val="-10"/>
                <w:sz w:val="21"/>
                <w:szCs w:val="21"/>
                <w:u w:val="none"/>
              </w:rPr>
              <w:t>-2.</w:t>
            </w:r>
            <w:r>
              <w:rPr>
                <w:rFonts w:hint="eastAsia" w:ascii="Times New Roman" w:hAnsi="Times New Roman" w:eastAsia="宋体" w:cs="Times New Roman"/>
                <w:color w:val="auto"/>
                <w:spacing w:val="-10"/>
                <w:sz w:val="21"/>
                <w:szCs w:val="21"/>
                <w:u w:val="none"/>
                <w:lang w:val="en-US" w:eastAsia="zh-CN"/>
              </w:rPr>
              <w:t>.7</w:t>
            </w:r>
            <w:r>
              <w:rPr>
                <w:rFonts w:hint="default" w:ascii="Times New Roman" w:hAnsi="Times New Roman" w:eastAsia="Calibri" w:cs="Times New Roman"/>
                <w:color w:val="auto"/>
                <w:spacing w:val="-10"/>
                <w:sz w:val="21"/>
                <w:szCs w:val="21"/>
                <w:u w:val="none"/>
              </w:rPr>
              <w:t>km,高差+7.4m</w:t>
            </w:r>
          </w:p>
        </w:tc>
        <w:tc>
          <w:tcPr>
            <w:tcW w:w="875" w:type="pct"/>
            <w:tcMar>
              <w:top w:w="0" w:type="dxa"/>
              <w:left w:w="57" w:type="dxa"/>
              <w:bottom w:w="0" w:type="dxa"/>
              <w:right w:w="57" w:type="dxa"/>
            </w:tcMar>
            <w:vAlign w:val="center"/>
          </w:tcPr>
          <w:p w14:paraId="3A18E0F6">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学校，师生1200人</w:t>
            </w:r>
          </w:p>
        </w:tc>
        <w:tc>
          <w:tcPr>
            <w:tcW w:w="944" w:type="pct"/>
            <w:vMerge w:val="continue"/>
            <w:tcMar>
              <w:top w:w="0" w:type="dxa"/>
              <w:left w:w="57" w:type="dxa"/>
              <w:bottom w:w="0" w:type="dxa"/>
              <w:right w:w="57" w:type="dxa"/>
            </w:tcMar>
            <w:vAlign w:val="center"/>
          </w:tcPr>
          <w:p w14:paraId="6A19161F">
            <w:pPr>
              <w:pStyle w:val="41"/>
              <w:rPr>
                <w:rFonts w:hint="default" w:ascii="Times New Roman" w:hAnsi="Times New Roman" w:cs="Times New Roman"/>
                <w:color w:val="auto"/>
                <w:kern w:val="2"/>
                <w:u w:val="none"/>
              </w:rPr>
            </w:pPr>
          </w:p>
        </w:tc>
      </w:tr>
      <w:tr w14:paraId="792464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360A8567">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5BAF9923">
            <w:pPr>
              <w:spacing w:line="240" w:lineRule="auto"/>
              <w:ind w:firstLine="0" w:firstLineChars="0"/>
              <w:jc w:val="center"/>
              <w:rPr>
                <w:rFonts w:hint="default" w:ascii="Times New Roman" w:hAnsi="Times New Roman" w:eastAsia="宋体" w:cs="Times New Roman"/>
                <w:color w:val="auto"/>
                <w:spacing w:val="-10"/>
                <w:sz w:val="21"/>
                <w:szCs w:val="21"/>
                <w:u w:val="none"/>
                <w:lang w:val="en-US" w:eastAsia="zh-CN"/>
              </w:rPr>
            </w:pPr>
            <w:r>
              <w:rPr>
                <w:rFonts w:hint="default" w:ascii="Times New Roman" w:hAnsi="Times New Roman" w:eastAsia="宋体" w:cs="Times New Roman"/>
                <w:color w:val="auto"/>
                <w:spacing w:val="-10"/>
                <w:sz w:val="21"/>
                <w:szCs w:val="21"/>
                <w:u w:val="none"/>
                <w:lang w:val="en-US" w:eastAsia="zh-CN"/>
              </w:rPr>
              <w:t>湖南省港务集团有限公司、岳阳城陵矶新港公司</w:t>
            </w:r>
          </w:p>
        </w:tc>
        <w:tc>
          <w:tcPr>
            <w:tcW w:w="962" w:type="pct"/>
            <w:tcMar>
              <w:top w:w="0" w:type="dxa"/>
              <w:left w:w="57" w:type="dxa"/>
              <w:bottom w:w="0" w:type="dxa"/>
              <w:right w:w="57" w:type="dxa"/>
            </w:tcMar>
            <w:vAlign w:val="center"/>
          </w:tcPr>
          <w:p w14:paraId="1082BD38">
            <w:pPr>
              <w:spacing w:line="240" w:lineRule="auto"/>
              <w:ind w:firstLine="0" w:firstLineChars="0"/>
              <w:jc w:val="center"/>
              <w:rPr>
                <w:rFonts w:hint="default" w:ascii="Times New Roman" w:hAnsi="Times New Roman" w:eastAsia="Calibri" w:cs="Times New Roman"/>
                <w:color w:val="auto"/>
                <w:spacing w:val="-10"/>
                <w:sz w:val="21"/>
                <w:szCs w:val="21"/>
                <w:u w:val="none"/>
                <w:lang w:val="en-US" w:eastAsia="zh-CN"/>
              </w:rPr>
            </w:pPr>
            <w:r>
              <w:rPr>
                <w:rFonts w:hint="default" w:ascii="Times New Roman" w:hAnsi="Times New Roman" w:eastAsia="Calibri" w:cs="Times New Roman"/>
                <w:color w:val="auto"/>
                <w:spacing w:val="-10"/>
                <w:sz w:val="21"/>
                <w:szCs w:val="21"/>
                <w:u w:val="none"/>
              </w:rPr>
              <w:t>X：113.</w:t>
            </w:r>
            <w:r>
              <w:rPr>
                <w:rFonts w:hint="default" w:ascii="Times New Roman" w:hAnsi="Times New Roman" w:eastAsia="Calibri" w:cs="Times New Roman"/>
                <w:color w:val="auto"/>
                <w:spacing w:val="-10"/>
                <w:sz w:val="21"/>
                <w:szCs w:val="21"/>
                <w:u w:val="none"/>
                <w:lang w:val="en-US" w:eastAsia="zh-CN"/>
              </w:rPr>
              <w:t>181026</w:t>
            </w:r>
            <w:r>
              <w:rPr>
                <w:rFonts w:hint="default" w:ascii="Times New Roman" w:hAnsi="Times New Roman" w:eastAsia="Calibri" w:cs="Times New Roman"/>
                <w:color w:val="auto"/>
                <w:spacing w:val="-10"/>
                <w:sz w:val="21"/>
                <w:szCs w:val="21"/>
                <w:u w:val="none"/>
              </w:rPr>
              <w:t>Y：</w:t>
            </w:r>
            <w:r>
              <w:rPr>
                <w:rFonts w:hint="default" w:ascii="Times New Roman" w:hAnsi="Times New Roman" w:eastAsia="Calibri" w:cs="Times New Roman"/>
                <w:color w:val="auto"/>
                <w:spacing w:val="-10"/>
                <w:sz w:val="21"/>
                <w:szCs w:val="21"/>
                <w:u w:val="none"/>
                <w:lang w:val="en-US" w:eastAsia="zh-CN"/>
              </w:rPr>
              <w:t>29.469092</w:t>
            </w:r>
          </w:p>
        </w:tc>
        <w:tc>
          <w:tcPr>
            <w:tcW w:w="1165" w:type="pct"/>
            <w:tcMar>
              <w:top w:w="0" w:type="dxa"/>
              <w:left w:w="57" w:type="dxa"/>
              <w:bottom w:w="0" w:type="dxa"/>
              <w:right w:w="57" w:type="dxa"/>
            </w:tcMar>
            <w:vAlign w:val="center"/>
          </w:tcPr>
          <w:p w14:paraId="6A9E7F87">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NE/</w:t>
            </w:r>
            <w:r>
              <w:rPr>
                <w:rFonts w:hint="default" w:ascii="Times New Roman" w:hAnsi="Times New Roman" w:eastAsia="Calibri" w:cs="Times New Roman"/>
                <w:color w:val="auto"/>
                <w:spacing w:val="-10"/>
                <w:sz w:val="21"/>
                <w:szCs w:val="21"/>
                <w:u w:val="none"/>
                <w:lang w:val="en-US" w:eastAsia="zh-CN"/>
              </w:rPr>
              <w:t>0.1</w:t>
            </w:r>
            <w:r>
              <w:rPr>
                <w:rFonts w:hint="eastAsia" w:ascii="Times New Roman" w:hAnsi="Times New Roman" w:eastAsia="Calibri" w:cs="Times New Roman"/>
                <w:color w:val="auto"/>
                <w:spacing w:val="-10"/>
                <w:sz w:val="21"/>
                <w:szCs w:val="21"/>
                <w:u w:val="none"/>
                <w:lang w:val="en-US" w:eastAsia="zh-CN"/>
              </w:rPr>
              <w:t>5</w:t>
            </w:r>
            <w:r>
              <w:rPr>
                <w:rFonts w:hint="default" w:ascii="Times New Roman" w:hAnsi="Times New Roman" w:eastAsia="Calibri" w:cs="Times New Roman"/>
                <w:color w:val="auto"/>
                <w:spacing w:val="-10"/>
                <w:sz w:val="21"/>
                <w:szCs w:val="21"/>
                <w:u w:val="none"/>
              </w:rPr>
              <w:t>km,高差+</w:t>
            </w:r>
            <w:r>
              <w:rPr>
                <w:rFonts w:hint="default" w:ascii="Times New Roman" w:hAnsi="Times New Roman" w:eastAsia="Calibri" w:cs="Times New Roman"/>
                <w:color w:val="auto"/>
                <w:spacing w:val="-10"/>
                <w:sz w:val="21"/>
                <w:szCs w:val="21"/>
                <w:u w:val="none"/>
                <w:lang w:val="en-US" w:eastAsia="zh-CN"/>
              </w:rPr>
              <w:t>1.0</w:t>
            </w:r>
            <w:r>
              <w:rPr>
                <w:rFonts w:hint="default" w:ascii="Times New Roman" w:hAnsi="Times New Roman" w:eastAsia="Calibri" w:cs="Times New Roman"/>
                <w:color w:val="auto"/>
                <w:spacing w:val="-10"/>
                <w:sz w:val="21"/>
                <w:szCs w:val="21"/>
                <w:u w:val="none"/>
              </w:rPr>
              <w:t>m</w:t>
            </w:r>
          </w:p>
        </w:tc>
        <w:tc>
          <w:tcPr>
            <w:tcW w:w="875" w:type="pct"/>
            <w:tcMar>
              <w:top w:w="0" w:type="dxa"/>
              <w:left w:w="57" w:type="dxa"/>
              <w:bottom w:w="0" w:type="dxa"/>
              <w:right w:w="57" w:type="dxa"/>
            </w:tcMar>
            <w:vAlign w:val="center"/>
          </w:tcPr>
          <w:p w14:paraId="13271444">
            <w:pPr>
              <w:spacing w:line="240" w:lineRule="auto"/>
              <w:ind w:firstLine="0" w:firstLineChars="0"/>
              <w:jc w:val="center"/>
              <w:rPr>
                <w:rFonts w:hint="default" w:ascii="Times New Roman" w:hAnsi="Times New Roman" w:eastAsia="Calibri" w:cs="Times New Roman"/>
                <w:color w:val="auto"/>
                <w:spacing w:val="-10"/>
                <w:sz w:val="21"/>
                <w:szCs w:val="21"/>
                <w:u w:val="none"/>
                <w:lang w:val="en-US" w:eastAsia="zh-CN"/>
              </w:rPr>
            </w:pPr>
            <w:r>
              <w:rPr>
                <w:rFonts w:hint="default" w:ascii="Times New Roman" w:hAnsi="Times New Roman" w:eastAsia="Calibri" w:cs="Times New Roman"/>
                <w:color w:val="auto"/>
                <w:spacing w:val="-10"/>
                <w:sz w:val="21"/>
                <w:szCs w:val="21"/>
                <w:u w:val="none"/>
                <w:lang w:val="en-US" w:eastAsia="zh-CN"/>
              </w:rPr>
              <w:t>公司倒班、办公楼（工业用地），500人</w:t>
            </w:r>
          </w:p>
        </w:tc>
        <w:tc>
          <w:tcPr>
            <w:tcW w:w="944" w:type="pct"/>
            <w:vMerge w:val="continue"/>
            <w:tcMar>
              <w:top w:w="0" w:type="dxa"/>
              <w:left w:w="57" w:type="dxa"/>
              <w:bottom w:w="0" w:type="dxa"/>
              <w:right w:w="57" w:type="dxa"/>
            </w:tcMar>
            <w:vAlign w:val="center"/>
          </w:tcPr>
          <w:p w14:paraId="6F39431A">
            <w:pPr>
              <w:pStyle w:val="41"/>
              <w:rPr>
                <w:rFonts w:hint="default" w:ascii="Times New Roman" w:hAnsi="Times New Roman" w:cs="Times New Roman"/>
                <w:color w:val="auto"/>
                <w:kern w:val="2"/>
                <w:u w:val="none"/>
              </w:rPr>
            </w:pPr>
          </w:p>
        </w:tc>
      </w:tr>
      <w:tr w14:paraId="762293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21610BE8">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48ECDD59">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苏家坡居民</w:t>
            </w:r>
          </w:p>
        </w:tc>
        <w:tc>
          <w:tcPr>
            <w:tcW w:w="962" w:type="pct"/>
            <w:tcMar>
              <w:top w:w="0" w:type="dxa"/>
              <w:left w:w="57" w:type="dxa"/>
              <w:bottom w:w="0" w:type="dxa"/>
              <w:right w:w="57" w:type="dxa"/>
            </w:tcMar>
            <w:vAlign w:val="center"/>
          </w:tcPr>
          <w:p w14:paraId="6DC545AB">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eastAsia="Calibri" w:cs="Times New Roman"/>
                <w:color w:val="auto"/>
                <w:spacing w:val="-10"/>
                <w:sz w:val="21"/>
                <w:szCs w:val="21"/>
                <w:u w:val="none"/>
              </w:rPr>
              <w:t>X：113.177512Y：29.451845</w:t>
            </w:r>
          </w:p>
        </w:tc>
        <w:tc>
          <w:tcPr>
            <w:tcW w:w="1165" w:type="pct"/>
            <w:tcMar>
              <w:top w:w="0" w:type="dxa"/>
              <w:left w:w="57" w:type="dxa"/>
              <w:bottom w:w="0" w:type="dxa"/>
              <w:right w:w="57" w:type="dxa"/>
            </w:tcMar>
            <w:vAlign w:val="center"/>
          </w:tcPr>
          <w:p w14:paraId="36262AA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WS</w:t>
            </w:r>
            <w:r>
              <w:rPr>
                <w:rFonts w:hint="default" w:ascii="Times New Roman" w:hAnsi="Times New Roman" w:eastAsia="Calibri" w:cs="Times New Roman"/>
                <w:color w:val="auto"/>
                <w:spacing w:val="-10"/>
                <w:u w:val="none"/>
              </w:rPr>
              <w:t>/1.</w:t>
            </w:r>
            <w:r>
              <w:rPr>
                <w:rFonts w:hint="eastAsia" w:eastAsia="宋体" w:cs="Times New Roman"/>
                <w:color w:val="auto"/>
                <w:spacing w:val="-10"/>
                <w:u w:val="none"/>
                <w:lang w:val="en-US" w:eastAsia="zh-CN"/>
              </w:rPr>
              <w:t>1</w:t>
            </w:r>
            <w:r>
              <w:rPr>
                <w:rFonts w:hint="default" w:ascii="Times New Roman" w:hAnsi="Times New Roman" w:eastAsia="Calibri" w:cs="Times New Roman"/>
                <w:color w:val="auto"/>
                <w:spacing w:val="-10"/>
                <w:u w:val="none"/>
              </w:rPr>
              <w:t>-1.</w:t>
            </w:r>
            <w:r>
              <w:rPr>
                <w:rFonts w:hint="eastAsia" w:eastAsia="宋体" w:cs="Times New Roman"/>
                <w:color w:val="auto"/>
                <w:spacing w:val="-10"/>
                <w:u w:val="none"/>
                <w:lang w:val="en-US" w:eastAsia="zh-CN"/>
              </w:rPr>
              <w:t>6</w:t>
            </w:r>
            <w:r>
              <w:rPr>
                <w:rFonts w:hint="default" w:ascii="Times New Roman" w:hAnsi="Times New Roman" w:eastAsia="Calibri" w:cs="Times New Roman"/>
                <w:color w:val="auto"/>
                <w:spacing w:val="-10"/>
                <w:u w:val="none"/>
              </w:rPr>
              <w:t>km,高差+8.0m</w:t>
            </w:r>
          </w:p>
        </w:tc>
        <w:tc>
          <w:tcPr>
            <w:tcW w:w="875" w:type="pct"/>
            <w:tcMar>
              <w:top w:w="0" w:type="dxa"/>
              <w:left w:w="57" w:type="dxa"/>
              <w:bottom w:w="0" w:type="dxa"/>
              <w:right w:w="57" w:type="dxa"/>
            </w:tcMar>
            <w:vAlign w:val="center"/>
          </w:tcPr>
          <w:p w14:paraId="1891CC69">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居住，220人</w:t>
            </w:r>
          </w:p>
        </w:tc>
        <w:tc>
          <w:tcPr>
            <w:tcW w:w="944" w:type="pct"/>
            <w:vMerge w:val="continue"/>
            <w:tcMar>
              <w:top w:w="0" w:type="dxa"/>
              <w:left w:w="57" w:type="dxa"/>
              <w:bottom w:w="0" w:type="dxa"/>
              <w:right w:w="57" w:type="dxa"/>
            </w:tcMar>
            <w:vAlign w:val="center"/>
          </w:tcPr>
          <w:p w14:paraId="36DC25A4">
            <w:pPr>
              <w:pStyle w:val="41"/>
              <w:rPr>
                <w:rFonts w:hint="default" w:ascii="Times New Roman" w:hAnsi="Times New Roman" w:cs="Times New Roman"/>
                <w:color w:val="auto"/>
                <w:kern w:val="2"/>
                <w:u w:val="none"/>
              </w:rPr>
            </w:pPr>
          </w:p>
        </w:tc>
      </w:tr>
      <w:tr w14:paraId="00D3E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30980292">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2E6E2A15">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罗家畔居民</w:t>
            </w:r>
          </w:p>
        </w:tc>
        <w:tc>
          <w:tcPr>
            <w:tcW w:w="962" w:type="pct"/>
            <w:tcMar>
              <w:top w:w="0" w:type="dxa"/>
              <w:left w:w="57" w:type="dxa"/>
              <w:bottom w:w="0" w:type="dxa"/>
              <w:right w:w="57" w:type="dxa"/>
            </w:tcMar>
            <w:vAlign w:val="center"/>
          </w:tcPr>
          <w:p w14:paraId="3EE00826">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X：113.183585Y：29.451223</w:t>
            </w:r>
          </w:p>
        </w:tc>
        <w:tc>
          <w:tcPr>
            <w:tcW w:w="1165" w:type="pct"/>
            <w:tcMar>
              <w:top w:w="0" w:type="dxa"/>
              <w:left w:w="57" w:type="dxa"/>
              <w:bottom w:w="0" w:type="dxa"/>
              <w:right w:w="57" w:type="dxa"/>
            </w:tcMar>
            <w:vAlign w:val="center"/>
          </w:tcPr>
          <w:p w14:paraId="498D7B2A">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cs="Times New Roman"/>
                <w:color w:val="auto"/>
                <w:u w:val="none"/>
              </w:rPr>
              <w:t>WS</w:t>
            </w:r>
            <w:r>
              <w:rPr>
                <w:rFonts w:hint="default" w:ascii="Times New Roman" w:hAnsi="Times New Roman" w:eastAsia="Calibri" w:cs="Times New Roman"/>
                <w:color w:val="auto"/>
                <w:spacing w:val="-10"/>
                <w:sz w:val="21"/>
                <w:szCs w:val="21"/>
                <w:u w:val="none"/>
              </w:rPr>
              <w:t>/1</w:t>
            </w:r>
            <w:r>
              <w:rPr>
                <w:rFonts w:hint="eastAsia" w:ascii="Times New Roman" w:hAnsi="Times New Roman" w:eastAsia="宋体" w:cs="Times New Roman"/>
                <w:color w:val="auto"/>
                <w:spacing w:val="-10"/>
                <w:sz w:val="21"/>
                <w:szCs w:val="21"/>
                <w:u w:val="none"/>
                <w:lang w:val="en-US" w:eastAsia="zh-CN"/>
              </w:rPr>
              <w:t>.2</w:t>
            </w:r>
            <w:r>
              <w:rPr>
                <w:rFonts w:hint="default" w:ascii="Times New Roman" w:hAnsi="Times New Roman" w:eastAsia="Calibri" w:cs="Times New Roman"/>
                <w:color w:val="auto"/>
                <w:spacing w:val="-10"/>
                <w:sz w:val="21"/>
                <w:szCs w:val="21"/>
                <w:u w:val="none"/>
              </w:rPr>
              <w:t>-1.</w:t>
            </w:r>
            <w:r>
              <w:rPr>
                <w:rFonts w:hint="eastAsia" w:ascii="Times New Roman" w:hAnsi="Times New Roman" w:eastAsia="宋体" w:cs="Times New Roman"/>
                <w:color w:val="auto"/>
                <w:spacing w:val="-10"/>
                <w:sz w:val="21"/>
                <w:szCs w:val="21"/>
                <w:u w:val="none"/>
                <w:lang w:val="en-US" w:eastAsia="zh-CN"/>
              </w:rPr>
              <w:t>7</w:t>
            </w:r>
            <w:r>
              <w:rPr>
                <w:rFonts w:hint="default" w:ascii="Times New Roman" w:hAnsi="Times New Roman" w:eastAsia="Calibri" w:cs="Times New Roman"/>
                <w:color w:val="auto"/>
                <w:spacing w:val="-10"/>
                <w:sz w:val="21"/>
                <w:szCs w:val="21"/>
                <w:u w:val="none"/>
              </w:rPr>
              <w:t>km,高差+8.0m</w:t>
            </w:r>
          </w:p>
        </w:tc>
        <w:tc>
          <w:tcPr>
            <w:tcW w:w="875" w:type="pct"/>
            <w:tcMar>
              <w:top w:w="0" w:type="dxa"/>
              <w:left w:w="57" w:type="dxa"/>
              <w:bottom w:w="0" w:type="dxa"/>
              <w:right w:w="57" w:type="dxa"/>
            </w:tcMar>
            <w:vAlign w:val="center"/>
          </w:tcPr>
          <w:p w14:paraId="267AE6D6">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居住，60人</w:t>
            </w:r>
          </w:p>
        </w:tc>
        <w:tc>
          <w:tcPr>
            <w:tcW w:w="944" w:type="pct"/>
            <w:vMerge w:val="continue"/>
            <w:tcMar>
              <w:top w:w="0" w:type="dxa"/>
              <w:left w:w="57" w:type="dxa"/>
              <w:bottom w:w="0" w:type="dxa"/>
              <w:right w:w="57" w:type="dxa"/>
            </w:tcMar>
            <w:vAlign w:val="center"/>
          </w:tcPr>
          <w:p w14:paraId="6FEA7A84">
            <w:pPr>
              <w:pStyle w:val="41"/>
              <w:rPr>
                <w:rFonts w:hint="default" w:ascii="Times New Roman" w:hAnsi="Times New Roman" w:cs="Times New Roman"/>
                <w:color w:val="auto"/>
                <w:kern w:val="2"/>
                <w:u w:val="none"/>
              </w:rPr>
            </w:pPr>
          </w:p>
        </w:tc>
      </w:tr>
      <w:tr w14:paraId="3870F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363" w:type="pct"/>
            <w:vMerge w:val="continue"/>
            <w:tcMar>
              <w:top w:w="0" w:type="dxa"/>
              <w:left w:w="57" w:type="dxa"/>
              <w:bottom w:w="0" w:type="dxa"/>
              <w:right w:w="57" w:type="dxa"/>
            </w:tcMar>
            <w:vAlign w:val="center"/>
          </w:tcPr>
          <w:p w14:paraId="63DFBEA4">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4DFC4B5E">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麻雀坡居民</w:t>
            </w:r>
          </w:p>
        </w:tc>
        <w:tc>
          <w:tcPr>
            <w:tcW w:w="962" w:type="pct"/>
            <w:tcMar>
              <w:top w:w="0" w:type="dxa"/>
              <w:left w:w="57" w:type="dxa"/>
              <w:bottom w:w="0" w:type="dxa"/>
              <w:right w:w="57" w:type="dxa"/>
            </w:tcMar>
            <w:vAlign w:val="center"/>
          </w:tcPr>
          <w:p w14:paraId="7FC18FE4">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X：113.197779Y：29.485384</w:t>
            </w:r>
          </w:p>
        </w:tc>
        <w:tc>
          <w:tcPr>
            <w:tcW w:w="1165" w:type="pct"/>
            <w:tcMar>
              <w:top w:w="0" w:type="dxa"/>
              <w:left w:w="57" w:type="dxa"/>
              <w:bottom w:w="0" w:type="dxa"/>
              <w:right w:w="57" w:type="dxa"/>
            </w:tcMar>
            <w:vAlign w:val="center"/>
          </w:tcPr>
          <w:p w14:paraId="4947E23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E，SE/1.</w:t>
            </w:r>
            <w:r>
              <w:rPr>
                <w:rFonts w:hint="eastAsia" w:cs="Times New Roman"/>
                <w:color w:val="auto"/>
                <w:kern w:val="2"/>
                <w:u w:val="none"/>
                <w:lang w:val="en-US" w:eastAsia="zh-CN"/>
              </w:rPr>
              <w:t>3</w:t>
            </w:r>
            <w:r>
              <w:rPr>
                <w:rFonts w:hint="default" w:ascii="Times New Roman" w:hAnsi="Times New Roman" w:cs="Times New Roman"/>
                <w:color w:val="auto"/>
                <w:kern w:val="2"/>
                <w:u w:val="none"/>
              </w:rPr>
              <w:t>-1.</w:t>
            </w:r>
            <w:r>
              <w:rPr>
                <w:rFonts w:hint="eastAsia" w:cs="Times New Roman"/>
                <w:color w:val="auto"/>
                <w:kern w:val="2"/>
                <w:u w:val="none"/>
                <w:lang w:val="en-US" w:eastAsia="zh-CN"/>
              </w:rPr>
              <w:t>7</w:t>
            </w:r>
            <w:r>
              <w:rPr>
                <w:rFonts w:hint="default" w:ascii="Times New Roman" w:hAnsi="Times New Roman" w:eastAsia="Calibri" w:cs="Times New Roman"/>
                <w:color w:val="auto"/>
                <w:spacing w:val="-10"/>
                <w:u w:val="none"/>
              </w:rPr>
              <w:t>km,高差+7.0m</w:t>
            </w:r>
          </w:p>
        </w:tc>
        <w:tc>
          <w:tcPr>
            <w:tcW w:w="875" w:type="pct"/>
            <w:tcMar>
              <w:top w:w="0" w:type="dxa"/>
              <w:left w:w="57" w:type="dxa"/>
              <w:bottom w:w="0" w:type="dxa"/>
              <w:right w:w="57" w:type="dxa"/>
            </w:tcMar>
            <w:vAlign w:val="center"/>
          </w:tcPr>
          <w:p w14:paraId="148BCF66">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居住，300人</w:t>
            </w:r>
          </w:p>
        </w:tc>
        <w:tc>
          <w:tcPr>
            <w:tcW w:w="944" w:type="pct"/>
            <w:vMerge w:val="continue"/>
            <w:tcMar>
              <w:top w:w="0" w:type="dxa"/>
              <w:left w:w="57" w:type="dxa"/>
              <w:bottom w:w="0" w:type="dxa"/>
              <w:right w:w="57" w:type="dxa"/>
            </w:tcMar>
            <w:vAlign w:val="center"/>
          </w:tcPr>
          <w:p w14:paraId="2FF53F8E">
            <w:pPr>
              <w:pStyle w:val="41"/>
              <w:rPr>
                <w:rFonts w:hint="default" w:ascii="Times New Roman" w:hAnsi="Times New Roman" w:cs="Times New Roman"/>
                <w:color w:val="auto"/>
                <w:kern w:val="2"/>
                <w:u w:val="none"/>
              </w:rPr>
            </w:pPr>
          </w:p>
        </w:tc>
      </w:tr>
      <w:tr w14:paraId="0E5FBB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63" w:type="pct"/>
            <w:vMerge w:val="continue"/>
            <w:tcMar>
              <w:top w:w="0" w:type="dxa"/>
              <w:left w:w="57" w:type="dxa"/>
              <w:bottom w:w="0" w:type="dxa"/>
              <w:right w:w="57" w:type="dxa"/>
            </w:tcMar>
            <w:vAlign w:val="center"/>
          </w:tcPr>
          <w:p w14:paraId="2B059DF4">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664D1456">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张家门居民</w:t>
            </w:r>
          </w:p>
        </w:tc>
        <w:tc>
          <w:tcPr>
            <w:tcW w:w="962" w:type="pct"/>
            <w:tcMar>
              <w:top w:w="0" w:type="dxa"/>
              <w:left w:w="57" w:type="dxa"/>
              <w:bottom w:w="0" w:type="dxa"/>
              <w:right w:w="57" w:type="dxa"/>
            </w:tcMar>
            <w:vAlign w:val="center"/>
          </w:tcPr>
          <w:p w14:paraId="5F7F4C33">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X：113.193541Y：29.453476</w:t>
            </w:r>
          </w:p>
        </w:tc>
        <w:tc>
          <w:tcPr>
            <w:tcW w:w="1165" w:type="pct"/>
            <w:tcMar>
              <w:top w:w="0" w:type="dxa"/>
              <w:left w:w="57" w:type="dxa"/>
              <w:bottom w:w="0" w:type="dxa"/>
              <w:right w:w="57" w:type="dxa"/>
            </w:tcMar>
            <w:vAlign w:val="center"/>
          </w:tcPr>
          <w:p w14:paraId="1E7A916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SE/1.</w:t>
            </w:r>
            <w:r>
              <w:rPr>
                <w:rFonts w:hint="eastAsia" w:cs="Times New Roman"/>
                <w:color w:val="auto"/>
                <w:kern w:val="2"/>
                <w:u w:val="none"/>
                <w:lang w:val="en-US" w:eastAsia="zh-CN"/>
              </w:rPr>
              <w:t>2</w:t>
            </w:r>
            <w:r>
              <w:rPr>
                <w:rFonts w:hint="default" w:ascii="Times New Roman" w:hAnsi="Times New Roman" w:cs="Times New Roman"/>
                <w:color w:val="auto"/>
                <w:kern w:val="2"/>
                <w:u w:val="none"/>
              </w:rPr>
              <w:t>-1.</w:t>
            </w:r>
            <w:r>
              <w:rPr>
                <w:rFonts w:hint="eastAsia" w:cs="Times New Roman"/>
                <w:color w:val="auto"/>
                <w:kern w:val="2"/>
                <w:u w:val="none"/>
                <w:lang w:val="en-US" w:eastAsia="zh-CN"/>
              </w:rPr>
              <w:t>8</w:t>
            </w:r>
            <w:r>
              <w:rPr>
                <w:rFonts w:hint="default" w:ascii="Times New Roman" w:hAnsi="Times New Roman" w:eastAsia="Calibri" w:cs="Times New Roman"/>
                <w:color w:val="auto"/>
                <w:spacing w:val="-10"/>
                <w:u w:val="none"/>
              </w:rPr>
              <w:t>km,高差+10.0m</w:t>
            </w:r>
          </w:p>
        </w:tc>
        <w:tc>
          <w:tcPr>
            <w:tcW w:w="875" w:type="pct"/>
            <w:tcMar>
              <w:top w:w="0" w:type="dxa"/>
              <w:left w:w="57" w:type="dxa"/>
              <w:bottom w:w="0" w:type="dxa"/>
              <w:right w:w="57" w:type="dxa"/>
            </w:tcMar>
            <w:vAlign w:val="center"/>
          </w:tcPr>
          <w:p w14:paraId="2721B8EA">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居住，260人</w:t>
            </w:r>
          </w:p>
        </w:tc>
        <w:tc>
          <w:tcPr>
            <w:tcW w:w="944" w:type="pct"/>
            <w:vMerge w:val="continue"/>
            <w:tcMar>
              <w:top w:w="0" w:type="dxa"/>
              <w:left w:w="57" w:type="dxa"/>
              <w:bottom w:w="0" w:type="dxa"/>
              <w:right w:w="57" w:type="dxa"/>
            </w:tcMar>
            <w:vAlign w:val="center"/>
          </w:tcPr>
          <w:p w14:paraId="038682B8">
            <w:pPr>
              <w:pStyle w:val="41"/>
              <w:rPr>
                <w:rFonts w:hint="default" w:ascii="Times New Roman" w:hAnsi="Times New Roman" w:cs="Times New Roman"/>
                <w:color w:val="auto"/>
                <w:kern w:val="2"/>
                <w:u w:val="none"/>
              </w:rPr>
            </w:pPr>
          </w:p>
        </w:tc>
      </w:tr>
      <w:tr w14:paraId="12C3A1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097FBCC8">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1EC71CCB">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陈家冲居民</w:t>
            </w:r>
          </w:p>
        </w:tc>
        <w:tc>
          <w:tcPr>
            <w:tcW w:w="962" w:type="pct"/>
            <w:tcMar>
              <w:top w:w="0" w:type="dxa"/>
              <w:left w:w="57" w:type="dxa"/>
              <w:bottom w:w="0" w:type="dxa"/>
              <w:right w:w="57" w:type="dxa"/>
            </w:tcMar>
            <w:vAlign w:val="center"/>
          </w:tcPr>
          <w:p w14:paraId="12686D5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X：113.204549Y：29.452725</w:t>
            </w:r>
          </w:p>
        </w:tc>
        <w:tc>
          <w:tcPr>
            <w:tcW w:w="1165" w:type="pct"/>
            <w:tcMar>
              <w:top w:w="0" w:type="dxa"/>
              <w:left w:w="57" w:type="dxa"/>
              <w:bottom w:w="0" w:type="dxa"/>
              <w:right w:w="57" w:type="dxa"/>
            </w:tcMar>
            <w:vAlign w:val="center"/>
          </w:tcPr>
          <w:p w14:paraId="6FF9A9A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5</w:t>
            </w:r>
            <w:r>
              <w:rPr>
                <w:rFonts w:hint="default" w:ascii="Times New Roman" w:hAnsi="Times New Roman" w:cs="Times New Roman"/>
                <w:color w:val="auto"/>
                <w:kern w:val="2"/>
                <w:u w:val="none"/>
              </w:rPr>
              <w:t>-2.</w:t>
            </w:r>
            <w:r>
              <w:rPr>
                <w:rFonts w:hint="eastAsia" w:cs="Times New Roman"/>
                <w:color w:val="auto"/>
                <w:kern w:val="2"/>
                <w:u w:val="none"/>
                <w:lang w:val="en-US" w:eastAsia="zh-CN"/>
              </w:rPr>
              <w:t>3</w:t>
            </w:r>
            <w:r>
              <w:rPr>
                <w:rFonts w:hint="default" w:ascii="Times New Roman" w:hAnsi="Times New Roman" w:cs="Times New Roman"/>
                <w:color w:val="auto"/>
                <w:kern w:val="2"/>
                <w:u w:val="none"/>
              </w:rPr>
              <w:t>km，高差+5.5m</w:t>
            </w:r>
          </w:p>
        </w:tc>
        <w:tc>
          <w:tcPr>
            <w:tcW w:w="875" w:type="pct"/>
            <w:tcMar>
              <w:top w:w="0" w:type="dxa"/>
              <w:left w:w="57" w:type="dxa"/>
              <w:bottom w:w="0" w:type="dxa"/>
              <w:right w:w="57" w:type="dxa"/>
            </w:tcMar>
            <w:vAlign w:val="center"/>
          </w:tcPr>
          <w:p w14:paraId="693C2599">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居住，200人</w:t>
            </w:r>
          </w:p>
        </w:tc>
        <w:tc>
          <w:tcPr>
            <w:tcW w:w="944" w:type="pct"/>
            <w:vMerge w:val="continue"/>
            <w:tcMar>
              <w:top w:w="0" w:type="dxa"/>
              <w:left w:w="57" w:type="dxa"/>
              <w:bottom w:w="0" w:type="dxa"/>
              <w:right w:w="57" w:type="dxa"/>
            </w:tcMar>
            <w:vAlign w:val="center"/>
          </w:tcPr>
          <w:p w14:paraId="2427BF7B">
            <w:pPr>
              <w:pStyle w:val="41"/>
              <w:rPr>
                <w:rFonts w:hint="default" w:ascii="Times New Roman" w:hAnsi="Times New Roman" w:cs="Times New Roman"/>
                <w:color w:val="auto"/>
                <w:kern w:val="2"/>
                <w:u w:val="none"/>
              </w:rPr>
            </w:pPr>
          </w:p>
        </w:tc>
      </w:tr>
      <w:tr w14:paraId="025996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tcMar>
              <w:top w:w="0" w:type="dxa"/>
              <w:left w:w="57" w:type="dxa"/>
              <w:bottom w:w="0" w:type="dxa"/>
              <w:right w:w="57" w:type="dxa"/>
            </w:tcMar>
            <w:vAlign w:val="center"/>
          </w:tcPr>
          <w:p w14:paraId="492E92B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声环境</w:t>
            </w:r>
          </w:p>
        </w:tc>
        <w:tc>
          <w:tcPr>
            <w:tcW w:w="3692" w:type="pct"/>
            <w:gridSpan w:val="4"/>
            <w:tcMar>
              <w:top w:w="0" w:type="dxa"/>
              <w:left w:w="57" w:type="dxa"/>
              <w:bottom w:w="0" w:type="dxa"/>
              <w:right w:w="57" w:type="dxa"/>
            </w:tcMar>
            <w:vAlign w:val="center"/>
          </w:tcPr>
          <w:p w14:paraId="52E3F968">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项目周边200m范围内无声环境敏目标</w:t>
            </w:r>
          </w:p>
        </w:tc>
        <w:tc>
          <w:tcPr>
            <w:tcW w:w="944" w:type="pct"/>
            <w:tcMar>
              <w:top w:w="0" w:type="dxa"/>
              <w:left w:w="57" w:type="dxa"/>
              <w:bottom w:w="0" w:type="dxa"/>
              <w:right w:w="57" w:type="dxa"/>
            </w:tcMar>
            <w:vAlign w:val="center"/>
          </w:tcPr>
          <w:p w14:paraId="47A048A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《声环境质量标准》（GB3096-2008）中的2类标准</w:t>
            </w:r>
          </w:p>
        </w:tc>
      </w:tr>
      <w:tr w14:paraId="42B2F4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restart"/>
            <w:tcMar>
              <w:top w:w="0" w:type="dxa"/>
              <w:left w:w="57" w:type="dxa"/>
              <w:bottom w:w="0" w:type="dxa"/>
              <w:right w:w="57" w:type="dxa"/>
            </w:tcMar>
            <w:vAlign w:val="center"/>
          </w:tcPr>
          <w:p w14:paraId="4D7FFF0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地表水环境</w:t>
            </w:r>
          </w:p>
        </w:tc>
        <w:tc>
          <w:tcPr>
            <w:tcW w:w="689" w:type="pct"/>
            <w:tcMar>
              <w:top w:w="0" w:type="dxa"/>
              <w:left w:w="57" w:type="dxa"/>
              <w:bottom w:w="0" w:type="dxa"/>
              <w:right w:w="57" w:type="dxa"/>
            </w:tcMar>
            <w:vAlign w:val="center"/>
          </w:tcPr>
          <w:p w14:paraId="4337EAB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长江</w:t>
            </w:r>
          </w:p>
        </w:tc>
        <w:tc>
          <w:tcPr>
            <w:tcW w:w="962" w:type="pct"/>
            <w:tcMar>
              <w:top w:w="0" w:type="dxa"/>
              <w:left w:w="57" w:type="dxa"/>
              <w:bottom w:w="0" w:type="dxa"/>
              <w:right w:w="57" w:type="dxa"/>
            </w:tcMar>
            <w:vAlign w:val="center"/>
          </w:tcPr>
          <w:p w14:paraId="2735459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165" w:type="pct"/>
            <w:tcMar>
              <w:top w:w="0" w:type="dxa"/>
              <w:left w:w="57" w:type="dxa"/>
              <w:bottom w:w="0" w:type="dxa"/>
              <w:right w:w="57" w:type="dxa"/>
            </w:tcMar>
            <w:vAlign w:val="center"/>
          </w:tcPr>
          <w:p w14:paraId="1FCC39F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W/1.</w:t>
            </w:r>
            <w:r>
              <w:rPr>
                <w:rFonts w:hint="eastAsia" w:cs="Times New Roman"/>
                <w:color w:val="auto"/>
                <w:kern w:val="2"/>
                <w:u w:val="none"/>
                <w:lang w:val="en-US" w:eastAsia="zh-CN"/>
              </w:rPr>
              <w:t>6</w:t>
            </w:r>
            <w:r>
              <w:rPr>
                <w:rFonts w:hint="default" w:ascii="Times New Roman" w:hAnsi="Times New Roman" w:cs="Times New Roman"/>
                <w:color w:val="auto"/>
                <w:kern w:val="2"/>
                <w:u w:val="none"/>
              </w:rPr>
              <w:t>km，高差-1.6m</w:t>
            </w:r>
          </w:p>
        </w:tc>
        <w:tc>
          <w:tcPr>
            <w:tcW w:w="875" w:type="pct"/>
            <w:tcMar>
              <w:top w:w="0" w:type="dxa"/>
              <w:left w:w="57" w:type="dxa"/>
              <w:bottom w:w="0" w:type="dxa"/>
              <w:right w:w="57" w:type="dxa"/>
            </w:tcMar>
            <w:vAlign w:val="center"/>
          </w:tcPr>
          <w:p w14:paraId="49DA6BD5">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长江塔市驿（湖北省流入湖南省断面）至黄盖湖（湖南省流入湖北省断面）一般渔业用水区</w:t>
            </w:r>
          </w:p>
        </w:tc>
        <w:tc>
          <w:tcPr>
            <w:tcW w:w="944" w:type="pct"/>
            <w:tcMar>
              <w:top w:w="0" w:type="dxa"/>
              <w:left w:w="57" w:type="dxa"/>
              <w:bottom w:w="0" w:type="dxa"/>
              <w:right w:w="57" w:type="dxa"/>
            </w:tcMar>
            <w:vAlign w:val="center"/>
          </w:tcPr>
          <w:p w14:paraId="75276B7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《地表水环境质量标准》（GB3838-2002）中Ⅲ类标准</w:t>
            </w:r>
          </w:p>
        </w:tc>
      </w:tr>
      <w:tr w14:paraId="316F49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7B3227BC">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1626763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象骨港</w:t>
            </w:r>
          </w:p>
        </w:tc>
        <w:tc>
          <w:tcPr>
            <w:tcW w:w="962" w:type="pct"/>
            <w:tcMar>
              <w:top w:w="0" w:type="dxa"/>
              <w:left w:w="57" w:type="dxa"/>
              <w:bottom w:w="0" w:type="dxa"/>
              <w:right w:w="57" w:type="dxa"/>
            </w:tcMar>
            <w:vAlign w:val="center"/>
          </w:tcPr>
          <w:p w14:paraId="4702CBE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165" w:type="pct"/>
            <w:tcMar>
              <w:top w:w="0" w:type="dxa"/>
              <w:left w:w="57" w:type="dxa"/>
              <w:bottom w:w="0" w:type="dxa"/>
              <w:right w:w="57" w:type="dxa"/>
            </w:tcMar>
            <w:vAlign w:val="center"/>
          </w:tcPr>
          <w:p w14:paraId="63DA576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N/2.</w:t>
            </w:r>
            <w:r>
              <w:rPr>
                <w:rFonts w:hint="eastAsia" w:cs="Times New Roman"/>
                <w:color w:val="auto"/>
                <w:kern w:val="2"/>
                <w:u w:val="none"/>
                <w:lang w:val="en-US" w:eastAsia="zh-CN"/>
              </w:rPr>
              <w:t>2</w:t>
            </w:r>
            <w:r>
              <w:rPr>
                <w:rFonts w:hint="default" w:ascii="Times New Roman" w:hAnsi="Times New Roman" w:cs="Times New Roman"/>
                <w:color w:val="auto"/>
                <w:kern w:val="2"/>
                <w:u w:val="none"/>
              </w:rPr>
              <w:t>km，高差-0.2m</w:t>
            </w:r>
          </w:p>
        </w:tc>
        <w:tc>
          <w:tcPr>
            <w:tcW w:w="875" w:type="pct"/>
            <w:tcMar>
              <w:top w:w="0" w:type="dxa"/>
              <w:left w:w="57" w:type="dxa"/>
              <w:bottom w:w="0" w:type="dxa"/>
              <w:right w:w="57" w:type="dxa"/>
            </w:tcMar>
            <w:vAlign w:val="center"/>
          </w:tcPr>
          <w:p w14:paraId="24B37B3A">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防洪、灌溉</w:t>
            </w:r>
          </w:p>
        </w:tc>
        <w:tc>
          <w:tcPr>
            <w:tcW w:w="944" w:type="pct"/>
            <w:tcMar>
              <w:top w:w="0" w:type="dxa"/>
              <w:left w:w="57" w:type="dxa"/>
              <w:bottom w:w="0" w:type="dxa"/>
              <w:right w:w="57" w:type="dxa"/>
            </w:tcMar>
            <w:vAlign w:val="center"/>
          </w:tcPr>
          <w:p w14:paraId="66F22E3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《地表水环境质量标准》（GB3838-2002）中Ⅲ类标准</w:t>
            </w:r>
          </w:p>
        </w:tc>
      </w:tr>
      <w:tr w14:paraId="4863B2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vMerge w:val="continue"/>
            <w:tcMar>
              <w:top w:w="0" w:type="dxa"/>
              <w:left w:w="57" w:type="dxa"/>
              <w:bottom w:w="0" w:type="dxa"/>
              <w:right w:w="57" w:type="dxa"/>
            </w:tcMar>
            <w:vAlign w:val="center"/>
          </w:tcPr>
          <w:p w14:paraId="2E60A085">
            <w:pPr>
              <w:pStyle w:val="41"/>
              <w:rPr>
                <w:rFonts w:hint="default" w:ascii="Times New Roman" w:hAnsi="Times New Roman" w:cs="Times New Roman"/>
                <w:color w:val="auto"/>
                <w:kern w:val="2"/>
                <w:u w:val="none"/>
              </w:rPr>
            </w:pPr>
          </w:p>
        </w:tc>
        <w:tc>
          <w:tcPr>
            <w:tcW w:w="689" w:type="pct"/>
            <w:tcMar>
              <w:top w:w="0" w:type="dxa"/>
              <w:left w:w="57" w:type="dxa"/>
              <w:bottom w:w="0" w:type="dxa"/>
              <w:right w:w="57" w:type="dxa"/>
            </w:tcMar>
            <w:vAlign w:val="center"/>
          </w:tcPr>
          <w:p w14:paraId="75BCCF6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芭蕉湖</w:t>
            </w:r>
          </w:p>
        </w:tc>
        <w:tc>
          <w:tcPr>
            <w:tcW w:w="962" w:type="pct"/>
            <w:tcMar>
              <w:top w:w="0" w:type="dxa"/>
              <w:left w:w="57" w:type="dxa"/>
              <w:bottom w:w="0" w:type="dxa"/>
              <w:right w:w="57" w:type="dxa"/>
            </w:tcMar>
            <w:vAlign w:val="center"/>
          </w:tcPr>
          <w:p w14:paraId="547CD0D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165" w:type="pct"/>
            <w:tcMar>
              <w:top w:w="0" w:type="dxa"/>
              <w:left w:w="57" w:type="dxa"/>
              <w:bottom w:w="0" w:type="dxa"/>
              <w:right w:w="57" w:type="dxa"/>
            </w:tcMar>
            <w:vAlign w:val="center"/>
          </w:tcPr>
          <w:p w14:paraId="27FCCFA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w:t>
            </w:r>
            <w:r>
              <w:rPr>
                <w:rFonts w:hint="eastAsia" w:cs="Times New Roman"/>
                <w:color w:val="auto"/>
                <w:kern w:val="2"/>
                <w:u w:val="none"/>
                <w:lang w:val="en-US" w:eastAsia="zh-CN"/>
              </w:rPr>
              <w:t>1.85</w:t>
            </w:r>
            <w:r>
              <w:rPr>
                <w:rFonts w:hint="default" w:ascii="Times New Roman" w:hAnsi="Times New Roman" w:cs="Times New Roman"/>
                <w:color w:val="auto"/>
                <w:kern w:val="2"/>
                <w:u w:val="none"/>
              </w:rPr>
              <w:t>km，高差-0.2m</w:t>
            </w:r>
          </w:p>
        </w:tc>
        <w:tc>
          <w:tcPr>
            <w:tcW w:w="875" w:type="pct"/>
            <w:tcMar>
              <w:top w:w="0" w:type="dxa"/>
              <w:left w:w="57" w:type="dxa"/>
              <w:bottom w:w="0" w:type="dxa"/>
              <w:right w:w="57" w:type="dxa"/>
            </w:tcMar>
            <w:vAlign w:val="center"/>
          </w:tcPr>
          <w:p w14:paraId="63F0344E">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防洪、灌溉</w:t>
            </w:r>
          </w:p>
        </w:tc>
        <w:tc>
          <w:tcPr>
            <w:tcW w:w="944" w:type="pct"/>
            <w:tcMar>
              <w:top w:w="0" w:type="dxa"/>
              <w:left w:w="57" w:type="dxa"/>
              <w:bottom w:w="0" w:type="dxa"/>
              <w:right w:w="57" w:type="dxa"/>
            </w:tcMar>
            <w:vAlign w:val="center"/>
          </w:tcPr>
          <w:p w14:paraId="445520F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《地表水环境质量标准》（GB3838-2002）中Ⅲ类标准</w:t>
            </w:r>
          </w:p>
        </w:tc>
      </w:tr>
      <w:tr w14:paraId="5BE875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tcMar>
              <w:top w:w="0" w:type="dxa"/>
              <w:left w:w="57" w:type="dxa"/>
              <w:bottom w:w="0" w:type="dxa"/>
              <w:right w:w="57" w:type="dxa"/>
            </w:tcMar>
            <w:vAlign w:val="center"/>
          </w:tcPr>
          <w:p w14:paraId="290E2A5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地下水环境</w:t>
            </w:r>
          </w:p>
        </w:tc>
        <w:tc>
          <w:tcPr>
            <w:tcW w:w="689" w:type="pct"/>
            <w:tcMar>
              <w:top w:w="0" w:type="dxa"/>
              <w:left w:w="57" w:type="dxa"/>
              <w:bottom w:w="0" w:type="dxa"/>
              <w:right w:w="57" w:type="dxa"/>
            </w:tcMar>
            <w:vAlign w:val="center"/>
          </w:tcPr>
          <w:p w14:paraId="51F889D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地下水</w:t>
            </w:r>
          </w:p>
        </w:tc>
        <w:tc>
          <w:tcPr>
            <w:tcW w:w="3002" w:type="pct"/>
            <w:gridSpan w:val="3"/>
            <w:tcMar>
              <w:top w:w="0" w:type="dxa"/>
              <w:left w:w="57" w:type="dxa"/>
              <w:bottom w:w="0" w:type="dxa"/>
              <w:right w:w="57" w:type="dxa"/>
            </w:tcMar>
            <w:vAlign w:val="center"/>
          </w:tcPr>
          <w:p w14:paraId="0F2FCB69">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项目所在地周边6km</w:t>
            </w:r>
            <w:r>
              <w:rPr>
                <w:rFonts w:hint="default" w:ascii="Times New Roman" w:hAnsi="Times New Roman" w:cs="Times New Roman"/>
                <w:color w:val="auto"/>
                <w:sz w:val="21"/>
                <w:szCs w:val="21"/>
                <w:u w:val="none"/>
                <w:vertAlign w:val="superscript"/>
              </w:rPr>
              <w:t>2</w:t>
            </w:r>
            <w:r>
              <w:rPr>
                <w:rFonts w:hint="default" w:ascii="Times New Roman" w:hAnsi="Times New Roman" w:cs="Times New Roman"/>
                <w:color w:val="auto"/>
                <w:sz w:val="21"/>
                <w:szCs w:val="21"/>
                <w:u w:val="none"/>
              </w:rPr>
              <w:t>范围</w:t>
            </w:r>
          </w:p>
        </w:tc>
        <w:tc>
          <w:tcPr>
            <w:tcW w:w="944" w:type="pct"/>
            <w:tcMar>
              <w:top w:w="0" w:type="dxa"/>
              <w:left w:w="57" w:type="dxa"/>
              <w:bottom w:w="0" w:type="dxa"/>
              <w:right w:w="57" w:type="dxa"/>
            </w:tcMar>
            <w:vAlign w:val="center"/>
          </w:tcPr>
          <w:p w14:paraId="332C504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《地下水质量标准》（GB/T 14848—2017）Ⅲ类标准</w:t>
            </w:r>
          </w:p>
        </w:tc>
      </w:tr>
      <w:tr w14:paraId="7E880F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tcMar>
              <w:top w:w="0" w:type="dxa"/>
              <w:left w:w="57" w:type="dxa"/>
              <w:bottom w:w="0" w:type="dxa"/>
              <w:right w:w="57" w:type="dxa"/>
            </w:tcMar>
            <w:vAlign w:val="center"/>
          </w:tcPr>
          <w:p w14:paraId="4B120052">
            <w:pPr>
              <w:pStyle w:val="41"/>
              <w:jc w:val="left"/>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土壤环境</w:t>
            </w:r>
          </w:p>
        </w:tc>
        <w:tc>
          <w:tcPr>
            <w:tcW w:w="689" w:type="pct"/>
            <w:tcMar>
              <w:top w:w="0" w:type="dxa"/>
              <w:left w:w="57" w:type="dxa"/>
              <w:bottom w:w="0" w:type="dxa"/>
              <w:right w:w="57" w:type="dxa"/>
            </w:tcMar>
            <w:vAlign w:val="center"/>
          </w:tcPr>
          <w:p w14:paraId="16E5CFA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建设用地</w:t>
            </w:r>
          </w:p>
        </w:tc>
        <w:tc>
          <w:tcPr>
            <w:tcW w:w="3002" w:type="pct"/>
            <w:gridSpan w:val="3"/>
            <w:tcMar>
              <w:top w:w="0" w:type="dxa"/>
              <w:left w:w="57" w:type="dxa"/>
              <w:bottom w:w="0" w:type="dxa"/>
              <w:right w:w="57" w:type="dxa"/>
            </w:tcMar>
            <w:vAlign w:val="center"/>
          </w:tcPr>
          <w:p w14:paraId="384FBE9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项目周边1km范围内</w:t>
            </w:r>
          </w:p>
        </w:tc>
        <w:tc>
          <w:tcPr>
            <w:tcW w:w="944" w:type="pct"/>
            <w:tcMar>
              <w:top w:w="0" w:type="dxa"/>
              <w:left w:w="57" w:type="dxa"/>
              <w:bottom w:w="0" w:type="dxa"/>
              <w:right w:w="57" w:type="dxa"/>
            </w:tcMar>
            <w:vAlign w:val="center"/>
          </w:tcPr>
          <w:p w14:paraId="6A14FD3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《土壤环境质量建设用地土壤污染风险管控标准（试行）》（GB36600-2018）</w:t>
            </w:r>
          </w:p>
        </w:tc>
      </w:tr>
      <w:tr w14:paraId="723157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7" w:hRule="atLeast"/>
          <w:jc w:val="center"/>
        </w:trPr>
        <w:tc>
          <w:tcPr>
            <w:tcW w:w="363" w:type="pct"/>
            <w:tcMar>
              <w:top w:w="0" w:type="dxa"/>
              <w:left w:w="57" w:type="dxa"/>
              <w:bottom w:w="0" w:type="dxa"/>
              <w:right w:w="57" w:type="dxa"/>
            </w:tcMar>
            <w:vAlign w:val="center"/>
          </w:tcPr>
          <w:p w14:paraId="6935B18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社会环境</w:t>
            </w:r>
          </w:p>
        </w:tc>
        <w:tc>
          <w:tcPr>
            <w:tcW w:w="689" w:type="pct"/>
            <w:tcMar>
              <w:top w:w="0" w:type="dxa"/>
              <w:left w:w="57" w:type="dxa"/>
              <w:bottom w:w="0" w:type="dxa"/>
              <w:right w:w="57" w:type="dxa"/>
            </w:tcMar>
            <w:vAlign w:val="center"/>
          </w:tcPr>
          <w:p w14:paraId="28E1C53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湖南城陵矶临港产业新区污水处理厂</w:t>
            </w:r>
          </w:p>
        </w:tc>
        <w:tc>
          <w:tcPr>
            <w:tcW w:w="962" w:type="pct"/>
            <w:tcMar>
              <w:top w:w="0" w:type="dxa"/>
              <w:left w:w="57" w:type="dxa"/>
              <w:bottom w:w="0" w:type="dxa"/>
              <w:right w:w="57" w:type="dxa"/>
            </w:tcMar>
            <w:vAlign w:val="center"/>
          </w:tcPr>
          <w:p w14:paraId="6A29499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X：113.190968Y：29.48204</w:t>
            </w:r>
          </w:p>
        </w:tc>
        <w:tc>
          <w:tcPr>
            <w:tcW w:w="2040" w:type="pct"/>
            <w:gridSpan w:val="2"/>
            <w:tcMar>
              <w:top w:w="0" w:type="dxa"/>
              <w:left w:w="57" w:type="dxa"/>
              <w:bottom w:w="0" w:type="dxa"/>
              <w:right w:w="57" w:type="dxa"/>
            </w:tcMar>
            <w:vAlign w:val="center"/>
          </w:tcPr>
          <w:p w14:paraId="0EEF304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WN/2.</w:t>
            </w:r>
            <w:r>
              <w:rPr>
                <w:rFonts w:hint="eastAsia" w:cs="Times New Roman"/>
                <w:color w:val="auto"/>
                <w:kern w:val="2"/>
                <w:u w:val="none"/>
                <w:lang w:val="en-US" w:eastAsia="zh-CN"/>
              </w:rPr>
              <w:t>5</w:t>
            </w:r>
            <w:r>
              <w:rPr>
                <w:rFonts w:hint="default" w:ascii="Times New Roman" w:hAnsi="Times New Roman" w:cs="Times New Roman"/>
                <w:color w:val="auto"/>
                <w:kern w:val="2"/>
                <w:u w:val="none"/>
              </w:rPr>
              <w:t>km，高差-0.1m</w:t>
            </w:r>
          </w:p>
        </w:tc>
        <w:tc>
          <w:tcPr>
            <w:tcW w:w="944" w:type="pct"/>
            <w:tcMar>
              <w:top w:w="0" w:type="dxa"/>
              <w:left w:w="57" w:type="dxa"/>
              <w:bottom w:w="0" w:type="dxa"/>
              <w:right w:w="57" w:type="dxa"/>
            </w:tcMar>
            <w:vAlign w:val="center"/>
          </w:tcPr>
          <w:p w14:paraId="2E83415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湖南城陵矶临港产业新区污水处理厂纳管协议标准</w:t>
            </w:r>
          </w:p>
        </w:tc>
      </w:tr>
      <w:tr w14:paraId="171E89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127" w:hRule="atLeast"/>
          <w:jc w:val="center"/>
        </w:trPr>
        <w:tc>
          <w:tcPr>
            <w:tcW w:w="363" w:type="pct"/>
            <w:tcMar>
              <w:top w:w="0" w:type="dxa"/>
              <w:left w:w="57" w:type="dxa"/>
              <w:bottom w:w="0" w:type="dxa"/>
              <w:right w:w="57" w:type="dxa"/>
            </w:tcMar>
            <w:vAlign w:val="center"/>
          </w:tcPr>
          <w:p w14:paraId="1D7DAEE3">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风险环境</w:t>
            </w:r>
          </w:p>
        </w:tc>
        <w:tc>
          <w:tcPr>
            <w:tcW w:w="3692" w:type="pct"/>
            <w:gridSpan w:val="4"/>
            <w:tcMar>
              <w:top w:w="0" w:type="dxa"/>
              <w:left w:w="57" w:type="dxa"/>
              <w:bottom w:w="0" w:type="dxa"/>
              <w:right w:w="57" w:type="dxa"/>
            </w:tcMar>
            <w:vAlign w:val="center"/>
          </w:tcPr>
          <w:p w14:paraId="330A692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项目周边2.5km范围内</w:t>
            </w:r>
          </w:p>
        </w:tc>
        <w:tc>
          <w:tcPr>
            <w:tcW w:w="944" w:type="pct"/>
            <w:tcMar>
              <w:top w:w="0" w:type="dxa"/>
              <w:left w:w="57" w:type="dxa"/>
              <w:bottom w:w="0" w:type="dxa"/>
              <w:right w:w="57" w:type="dxa"/>
            </w:tcMar>
            <w:vAlign w:val="center"/>
          </w:tcPr>
          <w:p w14:paraId="0D76D6D7">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w:t>
            </w:r>
          </w:p>
        </w:tc>
      </w:tr>
      <w:tr w14:paraId="7A3CB8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363" w:type="pct"/>
            <w:tcMar>
              <w:top w:w="0" w:type="dxa"/>
              <w:left w:w="57" w:type="dxa"/>
              <w:bottom w:w="0" w:type="dxa"/>
              <w:right w:w="57" w:type="dxa"/>
            </w:tcMar>
            <w:vAlign w:val="center"/>
          </w:tcPr>
          <w:p w14:paraId="7F90C79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生态环境</w:t>
            </w:r>
          </w:p>
        </w:tc>
        <w:tc>
          <w:tcPr>
            <w:tcW w:w="3692" w:type="pct"/>
            <w:gridSpan w:val="4"/>
            <w:tcMar>
              <w:top w:w="0" w:type="dxa"/>
              <w:left w:w="57" w:type="dxa"/>
              <w:bottom w:w="0" w:type="dxa"/>
              <w:right w:w="57" w:type="dxa"/>
            </w:tcMar>
            <w:vAlign w:val="center"/>
          </w:tcPr>
          <w:p w14:paraId="7A178D9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工程区及周边500米范围内的植被、景观等</w:t>
            </w:r>
          </w:p>
        </w:tc>
        <w:tc>
          <w:tcPr>
            <w:tcW w:w="944" w:type="pct"/>
            <w:tcMar>
              <w:top w:w="0" w:type="dxa"/>
              <w:left w:w="57" w:type="dxa"/>
              <w:bottom w:w="0" w:type="dxa"/>
              <w:right w:w="57" w:type="dxa"/>
            </w:tcMar>
            <w:vAlign w:val="center"/>
          </w:tcPr>
          <w:p w14:paraId="192EA71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保持水土，维持生态平衡</w:t>
            </w:r>
          </w:p>
        </w:tc>
      </w:tr>
      <w:bookmarkEnd w:id="47"/>
    </w:tbl>
    <w:p w14:paraId="5361269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p>
    <w:p w14:paraId="76EACF4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p>
    <w:p w14:paraId="721B66E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p>
    <w:p w14:paraId="1109EC5B">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表2.6</w:t>
      </w:r>
      <w:r>
        <w:rPr>
          <w:rFonts w:hint="default" w:ascii="Times New Roman" w:hAnsi="Times New Roman" w:cs="Times New Roman"/>
          <w:b/>
          <w:bCs/>
          <w:color w:val="auto"/>
          <w:u w:val="none"/>
          <w:lang w:val="en-US" w:eastAsia="zh-CN"/>
        </w:rPr>
        <w:t>-2</w:t>
      </w:r>
      <w:r>
        <w:rPr>
          <w:rFonts w:hint="default" w:ascii="Times New Roman" w:hAnsi="Times New Roman" w:cs="Times New Roman"/>
          <w:b/>
          <w:bCs/>
          <w:color w:val="auto"/>
          <w:u w:val="none"/>
        </w:rPr>
        <w:t xml:space="preserve">  </w:t>
      </w:r>
      <w:r>
        <w:rPr>
          <w:rFonts w:hint="default" w:ascii="Times New Roman" w:hAnsi="Times New Roman" w:cs="Times New Roman"/>
          <w:b/>
          <w:bCs/>
          <w:color w:val="auto"/>
          <w:u w:val="none"/>
          <w:lang w:val="en-US" w:eastAsia="zh-CN"/>
        </w:rPr>
        <w:t>环境风险</w:t>
      </w:r>
      <w:r>
        <w:rPr>
          <w:rFonts w:hint="default" w:ascii="Times New Roman" w:hAnsi="Times New Roman" w:cs="Times New Roman"/>
          <w:b/>
          <w:bCs/>
          <w:color w:val="auto"/>
          <w:u w:val="none"/>
        </w:rPr>
        <w:t>保护目标一览表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86"/>
        <w:gridCol w:w="3089"/>
        <w:gridCol w:w="3042"/>
        <w:gridCol w:w="2034"/>
      </w:tblGrid>
      <w:tr w14:paraId="658745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46E7757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敏感目标</w:t>
            </w:r>
          </w:p>
        </w:tc>
        <w:tc>
          <w:tcPr>
            <w:tcW w:w="2909" w:type="dxa"/>
            <w:tcMar>
              <w:top w:w="0" w:type="dxa"/>
              <w:left w:w="57" w:type="dxa"/>
              <w:bottom w:w="0" w:type="dxa"/>
              <w:right w:w="57" w:type="dxa"/>
            </w:tcMar>
            <w:vAlign w:val="center"/>
          </w:tcPr>
          <w:p w14:paraId="1CD5844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坐标</w:t>
            </w:r>
          </w:p>
        </w:tc>
        <w:tc>
          <w:tcPr>
            <w:tcW w:w="2865" w:type="dxa"/>
            <w:tcMar>
              <w:top w:w="0" w:type="dxa"/>
              <w:left w:w="57" w:type="dxa"/>
              <w:bottom w:w="0" w:type="dxa"/>
              <w:right w:w="57" w:type="dxa"/>
            </w:tcMar>
            <w:vAlign w:val="center"/>
          </w:tcPr>
          <w:p w14:paraId="6ECC0E5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与项目的相对方位及距离</w:t>
            </w:r>
          </w:p>
        </w:tc>
        <w:tc>
          <w:tcPr>
            <w:tcW w:w="1916" w:type="dxa"/>
            <w:tcMar>
              <w:top w:w="0" w:type="dxa"/>
              <w:left w:w="57" w:type="dxa"/>
              <w:bottom w:w="0" w:type="dxa"/>
              <w:right w:w="57" w:type="dxa"/>
            </w:tcMar>
            <w:vAlign w:val="center"/>
          </w:tcPr>
          <w:p w14:paraId="3E4C2379">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功能/规模</w:t>
            </w:r>
          </w:p>
        </w:tc>
      </w:tr>
      <w:tr w14:paraId="183900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51AA192D">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松阳湖社区居民</w:t>
            </w:r>
          </w:p>
        </w:tc>
        <w:tc>
          <w:tcPr>
            <w:tcW w:w="2909" w:type="dxa"/>
            <w:tcMar>
              <w:top w:w="0" w:type="dxa"/>
              <w:left w:w="57" w:type="dxa"/>
              <w:bottom w:w="0" w:type="dxa"/>
              <w:right w:w="57" w:type="dxa"/>
            </w:tcMar>
            <w:vAlign w:val="center"/>
          </w:tcPr>
          <w:p w14:paraId="5E8DEFBA">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X：113.197156Y：29.484844</w:t>
            </w:r>
          </w:p>
        </w:tc>
        <w:tc>
          <w:tcPr>
            <w:tcW w:w="2865" w:type="dxa"/>
            <w:tcMar>
              <w:top w:w="0" w:type="dxa"/>
              <w:left w:w="57" w:type="dxa"/>
              <w:bottom w:w="0" w:type="dxa"/>
              <w:right w:w="57" w:type="dxa"/>
            </w:tcMar>
            <w:vAlign w:val="center"/>
          </w:tcPr>
          <w:p w14:paraId="493CFD1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NE/2.</w:t>
            </w:r>
            <w:r>
              <w:rPr>
                <w:rFonts w:hint="eastAsia" w:cs="Times New Roman"/>
                <w:color w:val="auto"/>
                <w:kern w:val="2"/>
                <w:u w:val="none"/>
                <w:lang w:val="en-US" w:eastAsia="zh-CN"/>
              </w:rPr>
              <w:t>5</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140B1823">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居住，500人</w:t>
            </w:r>
          </w:p>
        </w:tc>
      </w:tr>
      <w:tr w14:paraId="0E4F15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7B781918">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亚泰花园小区</w:t>
            </w:r>
          </w:p>
        </w:tc>
        <w:tc>
          <w:tcPr>
            <w:tcW w:w="2909" w:type="dxa"/>
            <w:tcMar>
              <w:top w:w="0" w:type="dxa"/>
              <w:left w:w="57" w:type="dxa"/>
              <w:bottom w:w="0" w:type="dxa"/>
              <w:right w:w="57" w:type="dxa"/>
            </w:tcMar>
            <w:vAlign w:val="center"/>
          </w:tcPr>
          <w:p w14:paraId="6B8A8AF0">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X：113.196535Y：29.480042</w:t>
            </w:r>
          </w:p>
        </w:tc>
        <w:tc>
          <w:tcPr>
            <w:tcW w:w="2865" w:type="dxa"/>
            <w:tcMar>
              <w:top w:w="0" w:type="dxa"/>
              <w:left w:w="57" w:type="dxa"/>
              <w:bottom w:w="0" w:type="dxa"/>
              <w:right w:w="57" w:type="dxa"/>
            </w:tcMar>
            <w:vAlign w:val="center"/>
          </w:tcPr>
          <w:p w14:paraId="33A9CED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5</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38F91BA9">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居住，1300人</w:t>
            </w:r>
          </w:p>
        </w:tc>
      </w:tr>
      <w:tr w14:paraId="73FC24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1EA90ED8">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松阳湖安置区</w:t>
            </w:r>
          </w:p>
        </w:tc>
        <w:tc>
          <w:tcPr>
            <w:tcW w:w="2909" w:type="dxa"/>
            <w:tcMar>
              <w:top w:w="0" w:type="dxa"/>
              <w:left w:w="57" w:type="dxa"/>
              <w:bottom w:w="0" w:type="dxa"/>
              <w:right w:w="57" w:type="dxa"/>
            </w:tcMar>
            <w:vAlign w:val="center"/>
          </w:tcPr>
          <w:p w14:paraId="3F95FB41">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X：113.200783Y：29.485363</w:t>
            </w:r>
          </w:p>
        </w:tc>
        <w:tc>
          <w:tcPr>
            <w:tcW w:w="2865" w:type="dxa"/>
            <w:tcMar>
              <w:top w:w="0" w:type="dxa"/>
              <w:left w:w="57" w:type="dxa"/>
              <w:bottom w:w="0" w:type="dxa"/>
              <w:right w:w="57" w:type="dxa"/>
            </w:tcMar>
            <w:vAlign w:val="center"/>
          </w:tcPr>
          <w:p w14:paraId="203FC39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9</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5BA68A42">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居住，1300人</w:t>
            </w:r>
          </w:p>
        </w:tc>
      </w:tr>
      <w:tr w14:paraId="3353C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54E7E04A">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杨树港村二组</w:t>
            </w:r>
          </w:p>
        </w:tc>
        <w:tc>
          <w:tcPr>
            <w:tcW w:w="2909" w:type="dxa"/>
            <w:tcMar>
              <w:top w:w="0" w:type="dxa"/>
              <w:left w:w="57" w:type="dxa"/>
              <w:bottom w:w="0" w:type="dxa"/>
              <w:right w:w="57" w:type="dxa"/>
            </w:tcMar>
            <w:vAlign w:val="center"/>
          </w:tcPr>
          <w:p w14:paraId="0F5DF2EC">
            <w:pPr>
              <w:adjustRightInd w:val="0"/>
              <w:snapToGrid w:val="0"/>
              <w:spacing w:line="240" w:lineRule="auto"/>
              <w:ind w:firstLine="0" w:firstLineChars="0"/>
              <w:jc w:val="center"/>
              <w:rPr>
                <w:rFonts w:hint="default" w:ascii="Times New Roman" w:hAnsi="Times New Roman" w:cs="Times New Roman"/>
                <w:color w:val="auto"/>
                <w:u w:val="none"/>
              </w:rPr>
            </w:pPr>
            <w:r>
              <w:rPr>
                <w:rFonts w:hint="default" w:ascii="Times New Roman" w:hAnsi="Times New Roman" w:cs="Times New Roman"/>
                <w:color w:val="auto"/>
                <w:sz w:val="21"/>
                <w:szCs w:val="21"/>
                <w:u w:val="none"/>
              </w:rPr>
              <w:t>X：113.185162</w:t>
            </w:r>
            <w:r>
              <w:rPr>
                <w:rFonts w:hint="default" w:ascii="Times New Roman" w:hAnsi="Times New Roman" w:cs="Times New Roman"/>
                <w:color w:val="auto"/>
                <w:u w:val="none"/>
              </w:rPr>
              <w:t>Y：29.478128</w:t>
            </w:r>
          </w:p>
        </w:tc>
        <w:tc>
          <w:tcPr>
            <w:tcW w:w="2865" w:type="dxa"/>
            <w:tcMar>
              <w:top w:w="0" w:type="dxa"/>
              <w:left w:w="57" w:type="dxa"/>
              <w:bottom w:w="0" w:type="dxa"/>
              <w:right w:w="57" w:type="dxa"/>
            </w:tcMar>
            <w:vAlign w:val="center"/>
          </w:tcPr>
          <w:p w14:paraId="3AC2339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NW/1.</w:t>
            </w:r>
            <w:r>
              <w:rPr>
                <w:rFonts w:hint="eastAsia" w:cs="Times New Roman"/>
                <w:color w:val="auto"/>
                <w:kern w:val="2"/>
                <w:u w:val="none"/>
                <w:lang w:val="en-US" w:eastAsia="zh-CN"/>
              </w:rPr>
              <w:t>4</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65B1B9E2">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居住，50人</w:t>
            </w:r>
          </w:p>
        </w:tc>
      </w:tr>
      <w:tr w14:paraId="7D62FC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5DF411A6">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凌泊湖小区</w:t>
            </w:r>
          </w:p>
        </w:tc>
        <w:tc>
          <w:tcPr>
            <w:tcW w:w="2909" w:type="dxa"/>
            <w:tcMar>
              <w:top w:w="0" w:type="dxa"/>
              <w:left w:w="57" w:type="dxa"/>
              <w:bottom w:w="0" w:type="dxa"/>
              <w:right w:w="57" w:type="dxa"/>
            </w:tcMar>
            <w:vAlign w:val="center"/>
          </w:tcPr>
          <w:p w14:paraId="735F60DD">
            <w:pPr>
              <w:adjustRightInd w:val="0"/>
              <w:snapToGrid w:val="0"/>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X：113.158085Y：28.243775</w:t>
            </w:r>
          </w:p>
        </w:tc>
        <w:tc>
          <w:tcPr>
            <w:tcW w:w="2865" w:type="dxa"/>
            <w:tcMar>
              <w:top w:w="0" w:type="dxa"/>
              <w:left w:w="57" w:type="dxa"/>
              <w:bottom w:w="0" w:type="dxa"/>
              <w:right w:w="57" w:type="dxa"/>
            </w:tcMar>
            <w:vAlign w:val="center"/>
          </w:tcPr>
          <w:p w14:paraId="757738B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9</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71D1C429">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居住，1300户</w:t>
            </w:r>
          </w:p>
        </w:tc>
      </w:tr>
      <w:tr w14:paraId="78688A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0D7835CF">
            <w:pPr>
              <w:spacing w:line="240" w:lineRule="auto"/>
              <w:ind w:firstLine="0" w:firstLineChars="0"/>
              <w:jc w:val="center"/>
              <w:rPr>
                <w:rFonts w:hint="default" w:ascii="Times New Roman" w:hAnsi="Times New Roman" w:eastAsia="宋体" w:cs="Times New Roman"/>
                <w:color w:val="auto"/>
                <w:spacing w:val="-10"/>
                <w:kern w:val="2"/>
                <w:sz w:val="21"/>
                <w:szCs w:val="21"/>
                <w:u w:val="none"/>
                <w:lang w:val="en-US" w:eastAsia="zh-CN" w:bidi="ar-SA"/>
              </w:rPr>
            </w:pPr>
            <w:r>
              <w:rPr>
                <w:rFonts w:hint="default" w:ascii="Times New Roman" w:hAnsi="Times New Roman" w:eastAsia="宋体" w:cs="Times New Roman"/>
                <w:color w:val="auto"/>
                <w:spacing w:val="-10"/>
                <w:sz w:val="21"/>
                <w:szCs w:val="21"/>
                <w:u w:val="none"/>
                <w:lang w:val="en-US" w:eastAsia="zh-CN"/>
              </w:rPr>
              <w:t>湖南省港务集团有限公司、岳阳城陵矶新港公司</w:t>
            </w:r>
          </w:p>
        </w:tc>
        <w:tc>
          <w:tcPr>
            <w:tcW w:w="2909" w:type="dxa"/>
            <w:tcMar>
              <w:top w:w="0" w:type="dxa"/>
              <w:left w:w="57" w:type="dxa"/>
              <w:bottom w:w="0" w:type="dxa"/>
              <w:right w:w="57" w:type="dxa"/>
            </w:tcMar>
            <w:vAlign w:val="center"/>
          </w:tcPr>
          <w:p w14:paraId="7619C160">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rPr>
              <w:t>X：113.</w:t>
            </w:r>
            <w:r>
              <w:rPr>
                <w:rFonts w:hint="default" w:ascii="Times New Roman" w:hAnsi="Times New Roman" w:cs="Times New Roman"/>
                <w:color w:val="auto"/>
                <w:sz w:val="21"/>
                <w:szCs w:val="21"/>
                <w:u w:val="none"/>
                <w:lang w:val="en-US" w:eastAsia="zh-CN"/>
              </w:rPr>
              <w:t>181026</w:t>
            </w:r>
            <w:r>
              <w:rPr>
                <w:rFonts w:hint="default" w:ascii="Times New Roman" w:hAnsi="Times New Roman" w:cs="Times New Roman"/>
                <w:color w:val="auto"/>
                <w:sz w:val="21"/>
                <w:szCs w:val="21"/>
                <w:u w:val="none"/>
              </w:rPr>
              <w:t>Y：</w:t>
            </w:r>
            <w:r>
              <w:rPr>
                <w:rFonts w:hint="default" w:ascii="Times New Roman" w:hAnsi="Times New Roman" w:cs="Times New Roman"/>
                <w:color w:val="auto"/>
                <w:sz w:val="21"/>
                <w:szCs w:val="21"/>
                <w:u w:val="none"/>
                <w:lang w:val="en-US" w:eastAsia="zh-CN"/>
              </w:rPr>
              <w:t>29.469092</w:t>
            </w:r>
          </w:p>
        </w:tc>
        <w:tc>
          <w:tcPr>
            <w:tcW w:w="2865" w:type="dxa"/>
            <w:tcMar>
              <w:top w:w="0" w:type="dxa"/>
              <w:left w:w="57" w:type="dxa"/>
              <w:bottom w:w="0" w:type="dxa"/>
              <w:right w:w="57" w:type="dxa"/>
            </w:tcMar>
            <w:vAlign w:val="center"/>
          </w:tcPr>
          <w:p w14:paraId="62349BA5">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rPr>
              <w:t>NE/</w:t>
            </w:r>
            <w:r>
              <w:rPr>
                <w:rFonts w:hint="default" w:ascii="Times New Roman" w:hAnsi="Times New Roman" w:cs="Times New Roman"/>
                <w:color w:val="auto"/>
                <w:sz w:val="21"/>
                <w:szCs w:val="21"/>
                <w:u w:val="none"/>
                <w:lang w:val="en-US" w:eastAsia="zh-CN"/>
              </w:rPr>
              <w:t>0.1</w:t>
            </w:r>
            <w:r>
              <w:rPr>
                <w:rFonts w:hint="eastAsia" w:ascii="Times New Roman" w:hAnsi="Times New Roman" w:cs="Times New Roman"/>
                <w:color w:val="auto"/>
                <w:sz w:val="21"/>
                <w:szCs w:val="21"/>
                <w:u w:val="none"/>
                <w:lang w:val="en-US" w:eastAsia="zh-CN"/>
              </w:rPr>
              <w:t>3</w:t>
            </w:r>
            <w:r>
              <w:rPr>
                <w:rFonts w:hint="default" w:ascii="Times New Roman" w:hAnsi="Times New Roman" w:cs="Times New Roman"/>
                <w:color w:val="auto"/>
                <w:sz w:val="21"/>
                <w:szCs w:val="21"/>
                <w:u w:val="none"/>
              </w:rPr>
              <w:t>km</w:t>
            </w:r>
          </w:p>
        </w:tc>
        <w:tc>
          <w:tcPr>
            <w:tcW w:w="1916" w:type="dxa"/>
            <w:tcMar>
              <w:top w:w="0" w:type="dxa"/>
              <w:left w:w="57" w:type="dxa"/>
              <w:bottom w:w="0" w:type="dxa"/>
              <w:right w:w="57" w:type="dxa"/>
            </w:tcMar>
            <w:vAlign w:val="center"/>
          </w:tcPr>
          <w:p w14:paraId="7E8160AD">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lang w:val="en-US" w:eastAsia="zh-CN"/>
              </w:rPr>
              <w:t>企业，</w:t>
            </w:r>
            <w:r>
              <w:rPr>
                <w:rFonts w:hint="default" w:ascii="Times New Roman" w:hAnsi="Times New Roman" w:cs="Times New Roman"/>
                <w:color w:val="auto"/>
                <w:sz w:val="21"/>
                <w:szCs w:val="21"/>
                <w:u w:val="none"/>
              </w:rPr>
              <w:t>500人</w:t>
            </w:r>
          </w:p>
        </w:tc>
      </w:tr>
      <w:tr w14:paraId="02CD2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3D500F75">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永济中学</w:t>
            </w:r>
          </w:p>
        </w:tc>
        <w:tc>
          <w:tcPr>
            <w:tcW w:w="2909" w:type="dxa"/>
            <w:tcMar>
              <w:top w:w="0" w:type="dxa"/>
              <w:left w:w="57" w:type="dxa"/>
              <w:bottom w:w="0" w:type="dxa"/>
              <w:right w:w="57" w:type="dxa"/>
            </w:tcMar>
            <w:vAlign w:val="center"/>
          </w:tcPr>
          <w:p w14:paraId="5226087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X：113.153719Y：28.246178</w:t>
            </w:r>
          </w:p>
        </w:tc>
        <w:tc>
          <w:tcPr>
            <w:tcW w:w="2865" w:type="dxa"/>
            <w:tcMar>
              <w:top w:w="0" w:type="dxa"/>
              <w:left w:w="57" w:type="dxa"/>
              <w:bottom w:w="0" w:type="dxa"/>
              <w:right w:w="57" w:type="dxa"/>
            </w:tcMar>
            <w:vAlign w:val="center"/>
          </w:tcPr>
          <w:p w14:paraId="1B92D95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NE/2.</w:t>
            </w:r>
            <w:r>
              <w:rPr>
                <w:rFonts w:hint="eastAsia" w:cs="Times New Roman"/>
                <w:color w:val="auto"/>
                <w:kern w:val="2"/>
                <w:u w:val="none"/>
                <w:lang w:val="en-US" w:eastAsia="zh-CN"/>
              </w:rPr>
              <w:t>2</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7403F85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学校，师生1200人</w:t>
            </w:r>
          </w:p>
        </w:tc>
      </w:tr>
      <w:tr w14:paraId="21319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6A6B3D5E">
            <w:pPr>
              <w:spacing w:line="240" w:lineRule="auto"/>
              <w:ind w:firstLine="0" w:firstLineChars="0"/>
              <w:jc w:val="center"/>
              <w:rPr>
                <w:rFonts w:hint="default" w:ascii="Times New Roman" w:hAnsi="Times New Roman" w:eastAsia="宋体" w:cs="Times New Roman"/>
                <w:color w:val="auto"/>
                <w:spacing w:val="-10"/>
                <w:sz w:val="21"/>
                <w:szCs w:val="21"/>
                <w:u w:val="none"/>
                <w:lang w:val="en-US" w:eastAsia="zh-CN"/>
              </w:rPr>
            </w:pPr>
            <w:r>
              <w:rPr>
                <w:rFonts w:hint="default" w:ascii="Times New Roman" w:hAnsi="Times New Roman" w:eastAsia="宋体" w:cs="Times New Roman"/>
                <w:color w:val="auto"/>
                <w:spacing w:val="-10"/>
                <w:sz w:val="21"/>
                <w:szCs w:val="21"/>
                <w:u w:val="none"/>
                <w:lang w:val="en-US" w:eastAsia="zh-CN"/>
              </w:rPr>
              <w:t>郡华长郡里小区</w:t>
            </w:r>
          </w:p>
        </w:tc>
        <w:tc>
          <w:tcPr>
            <w:tcW w:w="2909" w:type="dxa"/>
            <w:tcMar>
              <w:top w:w="0" w:type="dxa"/>
              <w:left w:w="57" w:type="dxa"/>
              <w:bottom w:w="0" w:type="dxa"/>
              <w:right w:w="57" w:type="dxa"/>
            </w:tcMar>
            <w:vAlign w:val="center"/>
          </w:tcPr>
          <w:p w14:paraId="1A5592EA">
            <w:pPr>
              <w:pStyle w:val="41"/>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X：</w:t>
            </w:r>
            <w:r>
              <w:rPr>
                <w:rFonts w:hint="default" w:ascii="Times New Roman" w:hAnsi="Times New Roman" w:cs="Times New Roman"/>
                <w:color w:val="auto"/>
                <w:kern w:val="2"/>
                <w:u w:val="none"/>
                <w:lang w:val="en-US" w:eastAsia="zh-CN"/>
              </w:rPr>
              <w:t>113.215419Y</w:t>
            </w:r>
            <w:r>
              <w:rPr>
                <w:rFonts w:hint="default" w:ascii="Times New Roman" w:hAnsi="Times New Roman" w:cs="Times New Roman"/>
                <w:color w:val="auto"/>
                <w:kern w:val="2"/>
                <w:u w:val="none"/>
              </w:rPr>
              <w:t>：</w:t>
            </w:r>
            <w:r>
              <w:rPr>
                <w:rFonts w:hint="default" w:ascii="Times New Roman" w:hAnsi="Times New Roman" w:cs="Times New Roman"/>
                <w:color w:val="auto"/>
                <w:kern w:val="2"/>
                <w:u w:val="none"/>
                <w:lang w:val="en-US" w:eastAsia="zh-CN"/>
              </w:rPr>
              <w:t>29.765892</w:t>
            </w:r>
          </w:p>
        </w:tc>
        <w:tc>
          <w:tcPr>
            <w:tcW w:w="2865" w:type="dxa"/>
            <w:tcMar>
              <w:top w:w="0" w:type="dxa"/>
              <w:left w:w="57" w:type="dxa"/>
              <w:bottom w:w="0" w:type="dxa"/>
              <w:right w:w="57" w:type="dxa"/>
            </w:tcMar>
            <w:vAlign w:val="center"/>
          </w:tcPr>
          <w:p w14:paraId="23B189C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w:t>
            </w:r>
            <w:r>
              <w:rPr>
                <w:rFonts w:hint="default" w:ascii="Times New Roman" w:hAnsi="Times New Roman" w:cs="Times New Roman"/>
                <w:color w:val="auto"/>
                <w:kern w:val="2"/>
                <w:u w:val="none"/>
                <w:lang w:val="en-US" w:eastAsia="zh-CN"/>
              </w:rPr>
              <w:t>3.</w:t>
            </w:r>
            <w:r>
              <w:rPr>
                <w:rFonts w:hint="eastAsia" w:cs="Times New Roman"/>
                <w:color w:val="auto"/>
                <w:kern w:val="2"/>
                <w:u w:val="none"/>
                <w:lang w:val="en-US" w:eastAsia="zh-CN"/>
              </w:rPr>
              <w:t>3</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5C849B42">
            <w:pPr>
              <w:pStyle w:val="41"/>
              <w:rPr>
                <w:rFonts w:hint="default" w:ascii="Times New Roman" w:hAnsi="Times New Roman" w:cs="Times New Roman"/>
                <w:color w:val="auto"/>
                <w:kern w:val="2"/>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6000</w:t>
            </w:r>
            <w:r>
              <w:rPr>
                <w:rFonts w:hint="default" w:ascii="Times New Roman" w:hAnsi="Times New Roman" w:cs="Times New Roman"/>
                <w:color w:val="auto"/>
                <w:sz w:val="21"/>
                <w:szCs w:val="21"/>
                <w:u w:val="none"/>
              </w:rPr>
              <w:t>人</w:t>
            </w:r>
          </w:p>
        </w:tc>
      </w:tr>
      <w:tr w14:paraId="62E99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7A62DCF3">
            <w:pPr>
              <w:spacing w:line="240" w:lineRule="auto"/>
              <w:ind w:firstLine="0" w:firstLineChars="0"/>
              <w:jc w:val="center"/>
              <w:rPr>
                <w:rFonts w:hint="default" w:ascii="Times New Roman" w:hAnsi="Times New Roman" w:eastAsia="宋体" w:cs="Times New Roman"/>
                <w:color w:val="auto"/>
                <w:spacing w:val="-10"/>
                <w:sz w:val="21"/>
                <w:szCs w:val="21"/>
                <w:u w:val="none"/>
                <w:lang w:val="en-US" w:eastAsia="zh-CN"/>
              </w:rPr>
            </w:pPr>
            <w:r>
              <w:rPr>
                <w:rFonts w:hint="default" w:ascii="Times New Roman" w:hAnsi="Times New Roman" w:eastAsia="宋体" w:cs="Times New Roman"/>
                <w:color w:val="auto"/>
                <w:spacing w:val="-10"/>
                <w:sz w:val="21"/>
                <w:szCs w:val="21"/>
                <w:u w:val="none"/>
                <w:lang w:val="en-US" w:eastAsia="zh-CN"/>
              </w:rPr>
              <w:t>岳阳市郡华学校</w:t>
            </w:r>
          </w:p>
        </w:tc>
        <w:tc>
          <w:tcPr>
            <w:tcW w:w="2909" w:type="dxa"/>
            <w:tcMar>
              <w:top w:w="0" w:type="dxa"/>
              <w:left w:w="57" w:type="dxa"/>
              <w:bottom w:w="0" w:type="dxa"/>
              <w:right w:w="57" w:type="dxa"/>
            </w:tcMar>
            <w:vAlign w:val="center"/>
          </w:tcPr>
          <w:p w14:paraId="17CF3BB0">
            <w:pPr>
              <w:pStyle w:val="41"/>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X：</w:t>
            </w:r>
            <w:r>
              <w:rPr>
                <w:rFonts w:hint="default" w:ascii="Times New Roman" w:hAnsi="Times New Roman" w:cs="Times New Roman"/>
                <w:color w:val="auto"/>
                <w:kern w:val="2"/>
                <w:u w:val="none"/>
                <w:lang w:val="en-US" w:eastAsia="zh-CN"/>
              </w:rPr>
              <w:t>113.221834Y</w:t>
            </w:r>
            <w:r>
              <w:rPr>
                <w:rFonts w:hint="default" w:ascii="Times New Roman" w:hAnsi="Times New Roman" w:cs="Times New Roman"/>
                <w:color w:val="auto"/>
                <w:kern w:val="2"/>
                <w:u w:val="none"/>
              </w:rPr>
              <w:t>：</w:t>
            </w:r>
            <w:r>
              <w:rPr>
                <w:rFonts w:hint="default" w:ascii="Times New Roman" w:hAnsi="Times New Roman" w:cs="Times New Roman"/>
                <w:color w:val="auto"/>
                <w:kern w:val="2"/>
                <w:u w:val="none"/>
                <w:lang w:val="en-US" w:eastAsia="zh-CN"/>
              </w:rPr>
              <w:t>29.464207</w:t>
            </w:r>
          </w:p>
        </w:tc>
        <w:tc>
          <w:tcPr>
            <w:tcW w:w="2865" w:type="dxa"/>
            <w:tcMar>
              <w:top w:w="0" w:type="dxa"/>
              <w:left w:w="57" w:type="dxa"/>
              <w:bottom w:w="0" w:type="dxa"/>
              <w:right w:w="57" w:type="dxa"/>
            </w:tcMar>
            <w:vAlign w:val="center"/>
          </w:tcPr>
          <w:p w14:paraId="6327EE3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w:t>
            </w:r>
            <w:r>
              <w:rPr>
                <w:rFonts w:hint="default" w:ascii="Times New Roman" w:hAnsi="Times New Roman" w:cs="Times New Roman"/>
                <w:color w:val="auto"/>
                <w:kern w:val="2"/>
                <w:u w:val="none"/>
                <w:lang w:val="en-US" w:eastAsia="zh-CN"/>
              </w:rPr>
              <w:t>3.</w:t>
            </w:r>
            <w:r>
              <w:rPr>
                <w:rFonts w:hint="eastAsia" w:cs="Times New Roman"/>
                <w:color w:val="auto"/>
                <w:kern w:val="2"/>
                <w:u w:val="none"/>
                <w:lang w:val="en-US" w:eastAsia="zh-CN"/>
              </w:rPr>
              <w:t>5</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4E674AF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学校，师生1200人</w:t>
            </w:r>
          </w:p>
        </w:tc>
      </w:tr>
      <w:tr w14:paraId="1C9D6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2657206B">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苏家坡居民</w:t>
            </w:r>
          </w:p>
        </w:tc>
        <w:tc>
          <w:tcPr>
            <w:tcW w:w="2909" w:type="dxa"/>
            <w:tcMar>
              <w:top w:w="0" w:type="dxa"/>
              <w:left w:w="57" w:type="dxa"/>
              <w:bottom w:w="0" w:type="dxa"/>
              <w:right w:w="57" w:type="dxa"/>
            </w:tcMar>
            <w:vAlign w:val="center"/>
          </w:tcPr>
          <w:p w14:paraId="006A89D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X：113.177512Y：29.451845</w:t>
            </w:r>
          </w:p>
        </w:tc>
        <w:tc>
          <w:tcPr>
            <w:tcW w:w="2865" w:type="dxa"/>
            <w:tcMar>
              <w:top w:w="0" w:type="dxa"/>
              <w:left w:w="57" w:type="dxa"/>
              <w:bottom w:w="0" w:type="dxa"/>
              <w:right w:w="57" w:type="dxa"/>
            </w:tcMar>
            <w:vAlign w:val="center"/>
          </w:tcPr>
          <w:p w14:paraId="198E653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WS/1.</w:t>
            </w:r>
            <w:r>
              <w:rPr>
                <w:rFonts w:hint="eastAsia" w:cs="Times New Roman"/>
                <w:color w:val="auto"/>
                <w:kern w:val="2"/>
                <w:u w:val="none"/>
                <w:lang w:val="en-US" w:eastAsia="zh-CN"/>
              </w:rPr>
              <w:t>2</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2F2683D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居住，220人</w:t>
            </w:r>
          </w:p>
        </w:tc>
      </w:tr>
      <w:tr w14:paraId="598691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19B061E5">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罗家畔居民</w:t>
            </w:r>
          </w:p>
        </w:tc>
        <w:tc>
          <w:tcPr>
            <w:tcW w:w="2909" w:type="dxa"/>
            <w:tcMar>
              <w:top w:w="0" w:type="dxa"/>
              <w:left w:w="57" w:type="dxa"/>
              <w:bottom w:w="0" w:type="dxa"/>
              <w:right w:w="57" w:type="dxa"/>
            </w:tcMar>
            <w:vAlign w:val="center"/>
          </w:tcPr>
          <w:p w14:paraId="03F53CD6">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eastAsia="Calibri" w:cs="Times New Roman"/>
                <w:color w:val="auto"/>
                <w:spacing w:val="-10"/>
                <w:sz w:val="21"/>
                <w:szCs w:val="21"/>
                <w:u w:val="none"/>
              </w:rPr>
              <w:t>X：113.183585Y：29.451223</w:t>
            </w:r>
          </w:p>
        </w:tc>
        <w:tc>
          <w:tcPr>
            <w:tcW w:w="2865" w:type="dxa"/>
            <w:tcMar>
              <w:top w:w="0" w:type="dxa"/>
              <w:left w:w="57" w:type="dxa"/>
              <w:bottom w:w="0" w:type="dxa"/>
              <w:right w:w="57" w:type="dxa"/>
            </w:tcMar>
            <w:vAlign w:val="center"/>
          </w:tcPr>
          <w:p w14:paraId="121441AF">
            <w:pPr>
              <w:spacing w:line="240" w:lineRule="auto"/>
              <w:ind w:firstLine="0" w:firstLineChars="0"/>
              <w:jc w:val="center"/>
              <w:rPr>
                <w:rFonts w:hint="default" w:ascii="Times New Roman" w:hAnsi="Times New Roman" w:eastAsia="Calibri" w:cs="Times New Roman"/>
                <w:color w:val="auto"/>
                <w:spacing w:val="-10"/>
                <w:sz w:val="21"/>
                <w:szCs w:val="21"/>
                <w:u w:val="none"/>
              </w:rPr>
            </w:pPr>
            <w:r>
              <w:rPr>
                <w:rFonts w:hint="default" w:ascii="Times New Roman" w:hAnsi="Times New Roman" w:cs="Times New Roman"/>
                <w:color w:val="auto"/>
                <w:u w:val="none"/>
              </w:rPr>
              <w:t>WS</w:t>
            </w:r>
            <w:r>
              <w:rPr>
                <w:rFonts w:hint="default" w:ascii="Times New Roman" w:hAnsi="Times New Roman" w:eastAsia="Calibri" w:cs="Times New Roman"/>
                <w:color w:val="auto"/>
                <w:spacing w:val="-10"/>
                <w:sz w:val="21"/>
                <w:szCs w:val="21"/>
                <w:u w:val="none"/>
              </w:rPr>
              <w:t>/1.</w:t>
            </w:r>
            <w:r>
              <w:rPr>
                <w:rFonts w:hint="eastAsia" w:ascii="Times New Roman" w:hAnsi="Times New Roman" w:eastAsia="宋体" w:cs="Times New Roman"/>
                <w:color w:val="auto"/>
                <w:spacing w:val="-10"/>
                <w:sz w:val="21"/>
                <w:szCs w:val="21"/>
                <w:u w:val="none"/>
                <w:lang w:val="en-US" w:eastAsia="zh-CN"/>
              </w:rPr>
              <w:t>2</w:t>
            </w:r>
            <w:r>
              <w:rPr>
                <w:rFonts w:hint="default" w:ascii="Times New Roman" w:hAnsi="Times New Roman" w:eastAsia="Calibri" w:cs="Times New Roman"/>
                <w:color w:val="auto"/>
                <w:spacing w:val="-10"/>
                <w:sz w:val="21"/>
                <w:szCs w:val="21"/>
                <w:u w:val="none"/>
              </w:rPr>
              <w:t>km,</w:t>
            </w:r>
          </w:p>
        </w:tc>
        <w:tc>
          <w:tcPr>
            <w:tcW w:w="1916" w:type="dxa"/>
            <w:tcMar>
              <w:top w:w="0" w:type="dxa"/>
              <w:left w:w="57" w:type="dxa"/>
              <w:bottom w:w="0" w:type="dxa"/>
              <w:right w:w="57" w:type="dxa"/>
            </w:tcMar>
            <w:vAlign w:val="center"/>
          </w:tcPr>
          <w:p w14:paraId="1E9E0B3C">
            <w:pPr>
              <w:spacing w:line="240" w:lineRule="auto"/>
              <w:ind w:firstLine="0" w:firstLineChars="0"/>
              <w:jc w:val="center"/>
              <w:rPr>
                <w:rFonts w:hint="default" w:ascii="Times New Roman" w:hAnsi="Times New Roman" w:eastAsia="Calibri" w:cs="Times New Roman"/>
                <w:color w:val="auto"/>
                <w:sz w:val="21"/>
                <w:szCs w:val="21"/>
                <w:u w:val="none"/>
              </w:rPr>
            </w:pPr>
            <w:r>
              <w:rPr>
                <w:rFonts w:hint="default" w:ascii="Times New Roman" w:hAnsi="Times New Roman" w:cs="Times New Roman"/>
                <w:color w:val="auto"/>
                <w:sz w:val="21"/>
                <w:szCs w:val="21"/>
                <w:u w:val="none"/>
              </w:rPr>
              <w:t>居住，60人</w:t>
            </w:r>
          </w:p>
        </w:tc>
      </w:tr>
      <w:tr w14:paraId="5D0FB4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494" w:type="dxa"/>
            <w:tcMar>
              <w:top w:w="0" w:type="dxa"/>
              <w:left w:w="57" w:type="dxa"/>
              <w:bottom w:w="0" w:type="dxa"/>
              <w:right w:w="57" w:type="dxa"/>
            </w:tcMar>
            <w:vAlign w:val="center"/>
          </w:tcPr>
          <w:p w14:paraId="3A4E6EE0">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麻雀坡居民</w:t>
            </w:r>
          </w:p>
        </w:tc>
        <w:tc>
          <w:tcPr>
            <w:tcW w:w="2909" w:type="dxa"/>
            <w:tcMar>
              <w:top w:w="0" w:type="dxa"/>
              <w:left w:w="57" w:type="dxa"/>
              <w:bottom w:w="0" w:type="dxa"/>
              <w:right w:w="57" w:type="dxa"/>
            </w:tcMar>
            <w:vAlign w:val="center"/>
          </w:tcPr>
          <w:p w14:paraId="7048528F">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X：113.197779Y：29.485384</w:t>
            </w:r>
          </w:p>
        </w:tc>
        <w:tc>
          <w:tcPr>
            <w:tcW w:w="2865" w:type="dxa"/>
            <w:tcMar>
              <w:top w:w="0" w:type="dxa"/>
              <w:left w:w="57" w:type="dxa"/>
              <w:bottom w:w="0" w:type="dxa"/>
              <w:right w:w="57" w:type="dxa"/>
            </w:tcMar>
            <w:vAlign w:val="center"/>
          </w:tcPr>
          <w:p w14:paraId="2E3BD7A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E，SE/1.</w:t>
            </w:r>
            <w:r>
              <w:rPr>
                <w:rFonts w:hint="eastAsia" w:cs="Times New Roman"/>
                <w:color w:val="auto"/>
                <w:kern w:val="2"/>
                <w:u w:val="none"/>
                <w:lang w:val="en-US" w:eastAsia="zh-CN"/>
              </w:rPr>
              <w:t>4</w:t>
            </w:r>
            <w:r>
              <w:rPr>
                <w:rFonts w:hint="default" w:ascii="Times New Roman" w:hAnsi="Times New Roman" w:eastAsia="Calibri" w:cs="Times New Roman"/>
                <w:color w:val="auto"/>
                <w:spacing w:val="-10"/>
                <w:u w:val="none"/>
              </w:rPr>
              <w:t>km</w:t>
            </w:r>
          </w:p>
        </w:tc>
        <w:tc>
          <w:tcPr>
            <w:tcW w:w="1916" w:type="dxa"/>
            <w:tcMar>
              <w:top w:w="0" w:type="dxa"/>
              <w:left w:w="57" w:type="dxa"/>
              <w:bottom w:w="0" w:type="dxa"/>
              <w:right w:w="57" w:type="dxa"/>
            </w:tcMar>
            <w:vAlign w:val="center"/>
          </w:tcPr>
          <w:p w14:paraId="067ED648">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居住，300人</w:t>
            </w:r>
          </w:p>
        </w:tc>
      </w:tr>
      <w:tr w14:paraId="3676D9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494" w:type="dxa"/>
            <w:tcMar>
              <w:top w:w="0" w:type="dxa"/>
              <w:left w:w="57" w:type="dxa"/>
              <w:bottom w:w="0" w:type="dxa"/>
              <w:right w:w="57" w:type="dxa"/>
            </w:tcMar>
            <w:vAlign w:val="center"/>
          </w:tcPr>
          <w:p w14:paraId="2B432A93">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谭家湖安置小区</w:t>
            </w:r>
          </w:p>
        </w:tc>
        <w:tc>
          <w:tcPr>
            <w:tcW w:w="2909" w:type="dxa"/>
            <w:tcMar>
              <w:top w:w="0" w:type="dxa"/>
              <w:left w:w="57" w:type="dxa"/>
              <w:bottom w:w="0" w:type="dxa"/>
              <w:right w:w="57" w:type="dxa"/>
            </w:tcMar>
            <w:vAlign w:val="center"/>
          </w:tcPr>
          <w:p w14:paraId="19CE8315">
            <w:pPr>
              <w:adjustRightInd w:val="0"/>
              <w:snapToGrid w:val="0"/>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X：</w:t>
            </w:r>
            <w:r>
              <w:rPr>
                <w:rFonts w:hint="default" w:ascii="Times New Roman" w:hAnsi="Times New Roman" w:cs="Times New Roman"/>
                <w:color w:val="auto"/>
                <w:sz w:val="21"/>
                <w:szCs w:val="21"/>
                <w:u w:val="none"/>
                <w:lang w:val="en-US" w:eastAsia="zh-CN"/>
              </w:rPr>
              <w:t>113.201707Y:29.485858</w:t>
            </w:r>
          </w:p>
        </w:tc>
        <w:tc>
          <w:tcPr>
            <w:tcW w:w="2865" w:type="dxa"/>
            <w:tcMar>
              <w:top w:w="0" w:type="dxa"/>
              <w:left w:w="57" w:type="dxa"/>
              <w:bottom w:w="0" w:type="dxa"/>
              <w:right w:w="57" w:type="dxa"/>
            </w:tcMar>
            <w:vAlign w:val="center"/>
          </w:tcPr>
          <w:p w14:paraId="5EB9B4CA">
            <w:pPr>
              <w:pStyle w:val="41"/>
              <w:rPr>
                <w:rFonts w:hint="default" w:ascii="Times New Roman" w:hAnsi="Times New Roman" w:cs="Times New Roman"/>
                <w:color w:val="auto"/>
                <w:kern w:val="2"/>
                <w:u w:val="none"/>
                <w:lang w:val="en-US" w:eastAsia="zh-CN"/>
              </w:rPr>
            </w:pPr>
            <w:r>
              <w:rPr>
                <w:rFonts w:hint="default" w:ascii="Times New Roman" w:hAnsi="Times New Roman" w:cs="Times New Roman"/>
                <w:color w:val="auto"/>
                <w:kern w:val="2"/>
                <w:u w:val="none"/>
                <w:lang w:val="en-US" w:eastAsia="zh-CN"/>
              </w:rPr>
              <w:t>WN/3.</w:t>
            </w:r>
            <w:r>
              <w:rPr>
                <w:rFonts w:hint="eastAsia" w:cs="Times New Roman"/>
                <w:color w:val="auto"/>
                <w:kern w:val="2"/>
                <w:u w:val="none"/>
                <w:lang w:val="en-US" w:eastAsia="zh-CN"/>
              </w:rPr>
              <w:t>3</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36424BBF">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约1500人</w:t>
            </w:r>
          </w:p>
        </w:tc>
      </w:tr>
      <w:tr w14:paraId="64AB80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494" w:type="dxa"/>
            <w:tcMar>
              <w:top w:w="0" w:type="dxa"/>
              <w:left w:w="57" w:type="dxa"/>
              <w:bottom w:w="0" w:type="dxa"/>
              <w:right w:w="57" w:type="dxa"/>
            </w:tcMar>
            <w:vAlign w:val="center"/>
          </w:tcPr>
          <w:p w14:paraId="65A7EDF6">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今创新港首府居民区</w:t>
            </w:r>
          </w:p>
        </w:tc>
        <w:tc>
          <w:tcPr>
            <w:tcW w:w="2909" w:type="dxa"/>
            <w:tcMar>
              <w:top w:w="0" w:type="dxa"/>
              <w:left w:w="57" w:type="dxa"/>
              <w:bottom w:w="0" w:type="dxa"/>
              <w:right w:w="57" w:type="dxa"/>
            </w:tcMar>
            <w:vAlign w:val="center"/>
          </w:tcPr>
          <w:p w14:paraId="15285165">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rPr>
              <w:t>X：</w:t>
            </w:r>
            <w:r>
              <w:rPr>
                <w:rFonts w:hint="default" w:ascii="Times New Roman" w:hAnsi="Times New Roman" w:cs="Times New Roman"/>
                <w:color w:val="auto"/>
                <w:sz w:val="21"/>
                <w:szCs w:val="21"/>
                <w:u w:val="none"/>
                <w:lang w:val="en-US" w:eastAsia="zh-CN"/>
              </w:rPr>
              <w:t>113.212542Y:29.475216</w:t>
            </w:r>
          </w:p>
        </w:tc>
        <w:tc>
          <w:tcPr>
            <w:tcW w:w="2865" w:type="dxa"/>
            <w:tcMar>
              <w:top w:w="0" w:type="dxa"/>
              <w:left w:w="57" w:type="dxa"/>
              <w:bottom w:w="0" w:type="dxa"/>
              <w:right w:w="57" w:type="dxa"/>
            </w:tcMar>
            <w:vAlign w:val="center"/>
          </w:tcPr>
          <w:p w14:paraId="63D06900">
            <w:pPr>
              <w:pStyle w:val="41"/>
              <w:rPr>
                <w:rFonts w:hint="default" w:ascii="Times New Roman" w:hAnsi="Times New Roman" w:cs="Times New Roman"/>
                <w:color w:val="auto"/>
                <w:kern w:val="2"/>
                <w:u w:val="none"/>
                <w:lang w:val="en-US" w:eastAsia="zh-CN"/>
              </w:rPr>
            </w:pPr>
            <w:r>
              <w:rPr>
                <w:rFonts w:hint="default" w:ascii="Times New Roman" w:hAnsi="Times New Roman" w:cs="Times New Roman"/>
                <w:color w:val="auto"/>
                <w:kern w:val="2"/>
                <w:u w:val="none"/>
                <w:lang w:val="en-US" w:eastAsia="zh-CN"/>
              </w:rPr>
              <w:t>WN/</w:t>
            </w:r>
            <w:r>
              <w:rPr>
                <w:rFonts w:hint="eastAsia" w:cs="Times New Roman"/>
                <w:color w:val="auto"/>
                <w:kern w:val="2"/>
                <w:u w:val="none"/>
                <w:lang w:val="en-US" w:eastAsia="zh-CN"/>
              </w:rPr>
              <w:t>3.1</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30AF7D77">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eastAsia="zh-CN"/>
              </w:rPr>
              <w:t>，</w:t>
            </w:r>
            <w:r>
              <w:rPr>
                <w:rFonts w:hint="default" w:ascii="Times New Roman" w:hAnsi="Times New Roman" w:cs="Times New Roman"/>
                <w:color w:val="auto"/>
                <w:sz w:val="21"/>
                <w:szCs w:val="21"/>
                <w:u w:val="none"/>
                <w:lang w:val="en-US" w:eastAsia="zh-CN"/>
              </w:rPr>
              <w:t>约5000人</w:t>
            </w:r>
          </w:p>
        </w:tc>
      </w:tr>
      <w:tr w14:paraId="4F74BA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494" w:type="dxa"/>
            <w:tcMar>
              <w:top w:w="0" w:type="dxa"/>
              <w:left w:w="57" w:type="dxa"/>
              <w:bottom w:w="0" w:type="dxa"/>
              <w:right w:w="57" w:type="dxa"/>
            </w:tcMar>
            <w:vAlign w:val="center"/>
          </w:tcPr>
          <w:p w14:paraId="5D072E75">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张家门居民</w:t>
            </w:r>
          </w:p>
        </w:tc>
        <w:tc>
          <w:tcPr>
            <w:tcW w:w="2909" w:type="dxa"/>
            <w:tcMar>
              <w:top w:w="0" w:type="dxa"/>
              <w:left w:w="57" w:type="dxa"/>
              <w:bottom w:w="0" w:type="dxa"/>
              <w:right w:w="57" w:type="dxa"/>
            </w:tcMar>
            <w:vAlign w:val="center"/>
          </w:tcPr>
          <w:p w14:paraId="6E08AB16">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X：113.193541Y：29.453476</w:t>
            </w:r>
          </w:p>
        </w:tc>
        <w:tc>
          <w:tcPr>
            <w:tcW w:w="2865" w:type="dxa"/>
            <w:tcMar>
              <w:top w:w="0" w:type="dxa"/>
              <w:left w:w="57" w:type="dxa"/>
              <w:bottom w:w="0" w:type="dxa"/>
              <w:right w:w="57" w:type="dxa"/>
            </w:tcMar>
            <w:vAlign w:val="center"/>
          </w:tcPr>
          <w:p w14:paraId="0523692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SE/1.</w:t>
            </w:r>
            <w:r>
              <w:rPr>
                <w:rFonts w:hint="eastAsia" w:cs="Times New Roman"/>
                <w:color w:val="auto"/>
                <w:kern w:val="2"/>
                <w:u w:val="none"/>
                <w:lang w:val="en-US" w:eastAsia="zh-CN"/>
              </w:rPr>
              <w:t>2</w:t>
            </w:r>
            <w:r>
              <w:rPr>
                <w:rFonts w:hint="default" w:ascii="Times New Roman" w:hAnsi="Times New Roman" w:eastAsia="Calibri" w:cs="Times New Roman"/>
                <w:color w:val="auto"/>
                <w:spacing w:val="-10"/>
                <w:u w:val="none"/>
              </w:rPr>
              <w:t>km,</w:t>
            </w:r>
          </w:p>
        </w:tc>
        <w:tc>
          <w:tcPr>
            <w:tcW w:w="1916" w:type="dxa"/>
            <w:tcMar>
              <w:top w:w="0" w:type="dxa"/>
              <w:left w:w="57" w:type="dxa"/>
              <w:bottom w:w="0" w:type="dxa"/>
              <w:right w:w="57" w:type="dxa"/>
            </w:tcMar>
            <w:vAlign w:val="center"/>
          </w:tcPr>
          <w:p w14:paraId="19A6A9F4">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居住，260人</w:t>
            </w:r>
          </w:p>
        </w:tc>
      </w:tr>
      <w:tr w14:paraId="7AB550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0EEDAD1E">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陈家冲居民</w:t>
            </w:r>
          </w:p>
        </w:tc>
        <w:tc>
          <w:tcPr>
            <w:tcW w:w="2909" w:type="dxa"/>
            <w:tcMar>
              <w:top w:w="0" w:type="dxa"/>
              <w:left w:w="57" w:type="dxa"/>
              <w:bottom w:w="0" w:type="dxa"/>
              <w:right w:w="57" w:type="dxa"/>
            </w:tcMar>
            <w:vAlign w:val="center"/>
          </w:tcPr>
          <w:p w14:paraId="102937EC">
            <w:pPr>
              <w:adjustRightInd w:val="0"/>
              <w:snapToGrid w:val="0"/>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X：113.204549Y：29.452725</w:t>
            </w:r>
          </w:p>
        </w:tc>
        <w:tc>
          <w:tcPr>
            <w:tcW w:w="2865" w:type="dxa"/>
            <w:tcMar>
              <w:top w:w="0" w:type="dxa"/>
              <w:left w:w="57" w:type="dxa"/>
              <w:bottom w:w="0" w:type="dxa"/>
              <w:right w:w="57" w:type="dxa"/>
            </w:tcMar>
            <w:vAlign w:val="center"/>
          </w:tcPr>
          <w:p w14:paraId="465C56D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NE1.</w:t>
            </w:r>
            <w:r>
              <w:rPr>
                <w:rFonts w:hint="eastAsia" w:cs="Times New Roman"/>
                <w:color w:val="auto"/>
                <w:kern w:val="2"/>
                <w:u w:val="none"/>
                <w:lang w:val="en-US" w:eastAsia="zh-CN"/>
              </w:rPr>
              <w:t>9</w:t>
            </w:r>
            <w:r>
              <w:rPr>
                <w:rFonts w:hint="default" w:ascii="Times New Roman" w:hAnsi="Times New Roman" w:cs="Times New Roman"/>
                <w:color w:val="auto"/>
                <w:kern w:val="2"/>
                <w:u w:val="none"/>
              </w:rPr>
              <w:t>km</w:t>
            </w:r>
          </w:p>
        </w:tc>
        <w:tc>
          <w:tcPr>
            <w:tcW w:w="1916" w:type="dxa"/>
            <w:tcMar>
              <w:top w:w="0" w:type="dxa"/>
              <w:left w:w="57" w:type="dxa"/>
              <w:bottom w:w="0" w:type="dxa"/>
              <w:right w:w="57" w:type="dxa"/>
            </w:tcMar>
            <w:vAlign w:val="center"/>
          </w:tcPr>
          <w:p w14:paraId="30C6003D">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居住，200人</w:t>
            </w:r>
          </w:p>
        </w:tc>
      </w:tr>
      <w:tr w14:paraId="2FDAB8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7A9BFF01">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恒泰小区</w:t>
            </w:r>
          </w:p>
        </w:tc>
        <w:tc>
          <w:tcPr>
            <w:tcW w:w="2909" w:type="dxa"/>
            <w:tcMar>
              <w:top w:w="0" w:type="dxa"/>
              <w:left w:w="57" w:type="dxa"/>
              <w:bottom w:w="0" w:type="dxa"/>
              <w:right w:w="57" w:type="dxa"/>
            </w:tcMar>
            <w:vAlign w:val="center"/>
          </w:tcPr>
          <w:p w14:paraId="4AB893EE">
            <w:pPr>
              <w:adjustRightInd w:val="0"/>
              <w:snapToGrid w:val="0"/>
              <w:spacing w:line="240" w:lineRule="auto"/>
              <w:ind w:firstLine="0" w:firstLineChars="0"/>
              <w:jc w:val="both"/>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X：113.157425Y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29.438657</w:t>
            </w:r>
          </w:p>
        </w:tc>
        <w:tc>
          <w:tcPr>
            <w:tcW w:w="2865" w:type="dxa"/>
            <w:tcMar>
              <w:top w:w="0" w:type="dxa"/>
              <w:left w:w="57" w:type="dxa"/>
              <w:bottom w:w="0" w:type="dxa"/>
              <w:right w:w="57" w:type="dxa"/>
            </w:tcMar>
            <w:vAlign w:val="center"/>
          </w:tcPr>
          <w:p w14:paraId="341D507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lang w:val="en-US" w:eastAsia="zh-CN"/>
              </w:rPr>
              <w:t>WS/</w:t>
            </w:r>
            <w:r>
              <w:rPr>
                <w:rFonts w:hint="eastAsia" w:cs="Times New Roman"/>
                <w:color w:val="auto"/>
                <w:kern w:val="2"/>
                <w:u w:val="none"/>
                <w:lang w:val="en-US" w:eastAsia="zh-CN"/>
              </w:rPr>
              <w:t>3.2</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50C47065">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8000</w:t>
            </w:r>
            <w:r>
              <w:rPr>
                <w:rFonts w:hint="default" w:ascii="Times New Roman" w:hAnsi="Times New Roman" w:cs="Times New Roman"/>
                <w:color w:val="auto"/>
                <w:sz w:val="21"/>
                <w:szCs w:val="21"/>
                <w:u w:val="none"/>
              </w:rPr>
              <w:t>人</w:t>
            </w:r>
          </w:p>
        </w:tc>
      </w:tr>
      <w:tr w14:paraId="44C903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31844246">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安居小区</w:t>
            </w:r>
          </w:p>
        </w:tc>
        <w:tc>
          <w:tcPr>
            <w:tcW w:w="2909" w:type="dxa"/>
            <w:tcMar>
              <w:top w:w="0" w:type="dxa"/>
              <w:left w:w="57" w:type="dxa"/>
              <w:bottom w:w="0" w:type="dxa"/>
              <w:right w:w="57" w:type="dxa"/>
            </w:tcMar>
            <w:vAlign w:val="center"/>
          </w:tcPr>
          <w:p w14:paraId="14A0D18B">
            <w:pPr>
              <w:adjustRightInd w:val="0"/>
              <w:snapToGrid w:val="0"/>
              <w:spacing w:line="240" w:lineRule="auto"/>
              <w:ind w:firstLine="0" w:firstLineChars="0"/>
              <w:jc w:val="both"/>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X：113.158215Y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29.438828</w:t>
            </w:r>
          </w:p>
        </w:tc>
        <w:tc>
          <w:tcPr>
            <w:tcW w:w="2865" w:type="dxa"/>
            <w:tcMar>
              <w:top w:w="0" w:type="dxa"/>
              <w:left w:w="57" w:type="dxa"/>
              <w:bottom w:w="0" w:type="dxa"/>
              <w:right w:w="57" w:type="dxa"/>
            </w:tcMar>
            <w:vAlign w:val="center"/>
          </w:tcPr>
          <w:p w14:paraId="04B2850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lang w:val="en-US" w:eastAsia="zh-CN"/>
              </w:rPr>
              <w:t>WS3.</w:t>
            </w:r>
            <w:r>
              <w:rPr>
                <w:rFonts w:hint="eastAsia" w:cs="Times New Roman"/>
                <w:color w:val="auto"/>
                <w:kern w:val="2"/>
                <w:u w:val="none"/>
                <w:lang w:val="en-US" w:eastAsia="zh-CN"/>
              </w:rPr>
              <w:t>1</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58F61E15">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5000</w:t>
            </w:r>
            <w:r>
              <w:rPr>
                <w:rFonts w:hint="default" w:ascii="Times New Roman" w:hAnsi="Times New Roman" w:cs="Times New Roman"/>
                <w:color w:val="auto"/>
                <w:sz w:val="21"/>
                <w:szCs w:val="21"/>
                <w:u w:val="none"/>
              </w:rPr>
              <w:t>人</w:t>
            </w:r>
          </w:p>
        </w:tc>
      </w:tr>
      <w:tr w14:paraId="1AAC8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1AB1F73A">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环岛小区</w:t>
            </w:r>
          </w:p>
        </w:tc>
        <w:tc>
          <w:tcPr>
            <w:tcW w:w="2909" w:type="dxa"/>
            <w:tcMar>
              <w:top w:w="0" w:type="dxa"/>
              <w:left w:w="57" w:type="dxa"/>
              <w:bottom w:w="0" w:type="dxa"/>
              <w:right w:w="57" w:type="dxa"/>
            </w:tcMar>
            <w:vAlign w:val="center"/>
          </w:tcPr>
          <w:p w14:paraId="6BDCEE8A">
            <w:pPr>
              <w:adjustRightInd w:val="0"/>
              <w:snapToGrid w:val="0"/>
              <w:spacing w:line="240" w:lineRule="auto"/>
              <w:ind w:firstLine="0" w:firstLineChars="0"/>
              <w:jc w:val="both"/>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X：113.156518Y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29.438685</w:t>
            </w:r>
          </w:p>
        </w:tc>
        <w:tc>
          <w:tcPr>
            <w:tcW w:w="2865" w:type="dxa"/>
            <w:tcMar>
              <w:top w:w="0" w:type="dxa"/>
              <w:left w:w="57" w:type="dxa"/>
              <w:bottom w:w="0" w:type="dxa"/>
              <w:right w:w="57" w:type="dxa"/>
            </w:tcMar>
            <w:vAlign w:val="center"/>
          </w:tcPr>
          <w:p w14:paraId="575AE93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lang w:val="en-US" w:eastAsia="zh-CN"/>
              </w:rPr>
              <w:t>WS/3.</w:t>
            </w:r>
            <w:r>
              <w:rPr>
                <w:rFonts w:hint="eastAsia" w:cs="Times New Roman"/>
                <w:color w:val="auto"/>
                <w:kern w:val="2"/>
                <w:u w:val="none"/>
                <w:lang w:val="en-US" w:eastAsia="zh-CN"/>
              </w:rPr>
              <w:t>7</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6FDDB14E">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5000</w:t>
            </w:r>
            <w:r>
              <w:rPr>
                <w:rFonts w:hint="default" w:ascii="Times New Roman" w:hAnsi="Times New Roman" w:cs="Times New Roman"/>
                <w:color w:val="auto"/>
                <w:sz w:val="21"/>
                <w:szCs w:val="21"/>
                <w:u w:val="none"/>
              </w:rPr>
              <w:t>人</w:t>
            </w:r>
          </w:p>
        </w:tc>
      </w:tr>
      <w:tr w14:paraId="64433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2F9197F1">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林纸集团花园小区</w:t>
            </w:r>
          </w:p>
        </w:tc>
        <w:tc>
          <w:tcPr>
            <w:tcW w:w="2909" w:type="dxa"/>
            <w:tcMar>
              <w:top w:w="0" w:type="dxa"/>
              <w:left w:w="57" w:type="dxa"/>
              <w:bottom w:w="0" w:type="dxa"/>
              <w:right w:w="57" w:type="dxa"/>
            </w:tcMar>
            <w:vAlign w:val="center"/>
          </w:tcPr>
          <w:p w14:paraId="6FB9CC4E">
            <w:pPr>
              <w:adjustRightInd w:val="0"/>
              <w:snapToGrid w:val="0"/>
              <w:spacing w:line="240" w:lineRule="auto"/>
              <w:ind w:firstLine="0" w:firstLineChars="0"/>
              <w:jc w:val="both"/>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X：113.157211Y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29.438624</w:t>
            </w:r>
          </w:p>
        </w:tc>
        <w:tc>
          <w:tcPr>
            <w:tcW w:w="2865" w:type="dxa"/>
            <w:tcMar>
              <w:top w:w="0" w:type="dxa"/>
              <w:left w:w="57" w:type="dxa"/>
              <w:bottom w:w="0" w:type="dxa"/>
              <w:right w:w="57" w:type="dxa"/>
            </w:tcMar>
            <w:vAlign w:val="center"/>
          </w:tcPr>
          <w:p w14:paraId="558AA56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lang w:val="en-US" w:eastAsia="zh-CN"/>
              </w:rPr>
              <w:t>WS3.</w:t>
            </w:r>
            <w:r>
              <w:rPr>
                <w:rFonts w:hint="eastAsia" w:cs="Times New Roman"/>
                <w:color w:val="auto"/>
                <w:kern w:val="2"/>
                <w:u w:val="none"/>
                <w:lang w:val="en-US" w:eastAsia="zh-CN"/>
              </w:rPr>
              <w:t>1</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232F51F4">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350</w:t>
            </w:r>
            <w:r>
              <w:rPr>
                <w:rFonts w:hint="default" w:ascii="Times New Roman" w:hAnsi="Times New Roman" w:cs="Times New Roman"/>
                <w:color w:val="auto"/>
                <w:sz w:val="21"/>
                <w:szCs w:val="21"/>
                <w:u w:val="none"/>
              </w:rPr>
              <w:t>0人</w:t>
            </w:r>
          </w:p>
        </w:tc>
      </w:tr>
      <w:tr w14:paraId="18C9FD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2B3CCC30">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芭蕉湖小区</w:t>
            </w:r>
          </w:p>
        </w:tc>
        <w:tc>
          <w:tcPr>
            <w:tcW w:w="2909" w:type="dxa"/>
            <w:tcMar>
              <w:top w:w="0" w:type="dxa"/>
              <w:left w:w="57" w:type="dxa"/>
              <w:bottom w:w="0" w:type="dxa"/>
              <w:right w:w="57" w:type="dxa"/>
            </w:tcMar>
            <w:vAlign w:val="center"/>
          </w:tcPr>
          <w:p w14:paraId="0524708B">
            <w:pPr>
              <w:adjustRightInd w:val="0"/>
              <w:snapToGrid w:val="0"/>
              <w:spacing w:line="240" w:lineRule="auto"/>
              <w:ind w:firstLine="0" w:firstLineChars="0"/>
              <w:jc w:val="both"/>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X：113.1676062Y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29.4292783</w:t>
            </w:r>
          </w:p>
        </w:tc>
        <w:tc>
          <w:tcPr>
            <w:tcW w:w="2865" w:type="dxa"/>
            <w:tcMar>
              <w:top w:w="0" w:type="dxa"/>
              <w:left w:w="57" w:type="dxa"/>
              <w:bottom w:w="0" w:type="dxa"/>
              <w:right w:w="57" w:type="dxa"/>
            </w:tcMar>
            <w:vAlign w:val="center"/>
          </w:tcPr>
          <w:p w14:paraId="065CAF7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lang w:val="en-US" w:eastAsia="zh-CN"/>
              </w:rPr>
              <w:t>WS/3.</w:t>
            </w:r>
            <w:r>
              <w:rPr>
                <w:rFonts w:hint="eastAsia" w:cs="Times New Roman"/>
                <w:color w:val="auto"/>
                <w:kern w:val="2"/>
                <w:u w:val="none"/>
                <w:lang w:val="en-US" w:eastAsia="zh-CN"/>
              </w:rPr>
              <w:t>8</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035D145E">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400</w:t>
            </w:r>
            <w:r>
              <w:rPr>
                <w:rFonts w:hint="default" w:ascii="Times New Roman" w:hAnsi="Times New Roman" w:cs="Times New Roman"/>
                <w:color w:val="auto"/>
                <w:sz w:val="21"/>
                <w:szCs w:val="21"/>
                <w:u w:val="none"/>
              </w:rPr>
              <w:t>0人</w:t>
            </w:r>
          </w:p>
        </w:tc>
      </w:tr>
      <w:tr w14:paraId="55F54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2084F363">
            <w:pPr>
              <w:spacing w:line="240" w:lineRule="auto"/>
              <w:ind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保利堂悦小区</w:t>
            </w:r>
          </w:p>
        </w:tc>
        <w:tc>
          <w:tcPr>
            <w:tcW w:w="2909" w:type="dxa"/>
            <w:tcMar>
              <w:top w:w="0" w:type="dxa"/>
              <w:left w:w="57" w:type="dxa"/>
              <w:bottom w:w="0" w:type="dxa"/>
              <w:right w:w="57" w:type="dxa"/>
            </w:tcMar>
            <w:vAlign w:val="center"/>
          </w:tcPr>
          <w:p w14:paraId="4F24164F">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X：113.163998Y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29.426983</w:t>
            </w:r>
          </w:p>
        </w:tc>
        <w:tc>
          <w:tcPr>
            <w:tcW w:w="2865" w:type="dxa"/>
            <w:tcMar>
              <w:top w:w="0" w:type="dxa"/>
              <w:left w:w="57" w:type="dxa"/>
              <w:bottom w:w="0" w:type="dxa"/>
              <w:right w:w="57" w:type="dxa"/>
            </w:tcMar>
            <w:vAlign w:val="center"/>
          </w:tcPr>
          <w:p w14:paraId="4FF39AF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lang w:val="en-US" w:eastAsia="zh-CN"/>
              </w:rPr>
              <w:t>WS/4.</w:t>
            </w:r>
            <w:r>
              <w:rPr>
                <w:rFonts w:hint="eastAsia" w:cs="Times New Roman"/>
                <w:color w:val="auto"/>
                <w:kern w:val="2"/>
                <w:u w:val="none"/>
                <w:lang w:val="en-US" w:eastAsia="zh-CN"/>
              </w:rPr>
              <w:t>2</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05A84E8F">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6000</w:t>
            </w:r>
            <w:r>
              <w:rPr>
                <w:rFonts w:hint="default" w:ascii="Times New Roman" w:hAnsi="Times New Roman" w:cs="Times New Roman"/>
                <w:color w:val="auto"/>
                <w:sz w:val="21"/>
                <w:szCs w:val="21"/>
                <w:u w:val="none"/>
              </w:rPr>
              <w:t>人</w:t>
            </w:r>
          </w:p>
        </w:tc>
      </w:tr>
      <w:tr w14:paraId="1C793A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94" w:type="dxa"/>
            <w:tcMar>
              <w:top w:w="0" w:type="dxa"/>
              <w:left w:w="57" w:type="dxa"/>
              <w:bottom w:w="0" w:type="dxa"/>
              <w:right w:w="57" w:type="dxa"/>
            </w:tcMar>
            <w:vAlign w:val="center"/>
          </w:tcPr>
          <w:p w14:paraId="2D90076F">
            <w:pPr>
              <w:spacing w:line="240" w:lineRule="auto"/>
              <w:ind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滨湖村</w:t>
            </w:r>
          </w:p>
        </w:tc>
        <w:tc>
          <w:tcPr>
            <w:tcW w:w="2909" w:type="dxa"/>
            <w:tcMar>
              <w:top w:w="0" w:type="dxa"/>
              <w:left w:w="57" w:type="dxa"/>
              <w:bottom w:w="0" w:type="dxa"/>
              <w:right w:w="57" w:type="dxa"/>
            </w:tcMar>
            <w:vAlign w:val="center"/>
          </w:tcPr>
          <w:p w14:paraId="78717E13">
            <w:pPr>
              <w:adjustRightInd w:val="0"/>
              <w:snapToGrid w:val="0"/>
              <w:spacing w:line="240" w:lineRule="auto"/>
              <w:ind w:firstLine="0" w:firstLineChars="0"/>
              <w:jc w:val="center"/>
              <w:rPr>
                <w:rFonts w:hint="default" w:ascii="Times New Roman" w:hAnsi="Times New Roman" w:cs="Times New Roman"/>
                <w:color w:val="auto"/>
                <w:sz w:val="21"/>
                <w:szCs w:val="21"/>
                <w:u w:val="none"/>
                <w:lang w:val="en-US"/>
              </w:rPr>
            </w:pPr>
            <w:r>
              <w:rPr>
                <w:rFonts w:hint="default" w:ascii="Times New Roman" w:hAnsi="Times New Roman" w:cs="Times New Roman"/>
                <w:color w:val="auto"/>
                <w:sz w:val="21"/>
                <w:szCs w:val="21"/>
                <w:u w:val="none"/>
                <w:lang w:val="en-US" w:eastAsia="zh-CN"/>
              </w:rPr>
              <w:t>X：113.222516Y</w:t>
            </w:r>
            <w:r>
              <w:rPr>
                <w:rFonts w:hint="default" w:ascii="Times New Roman" w:hAnsi="Times New Roman" w:cs="Times New Roman"/>
                <w:color w:val="auto"/>
                <w:sz w:val="21"/>
                <w:szCs w:val="21"/>
                <w:u w:val="none"/>
              </w:rPr>
              <w:t>：</w:t>
            </w:r>
            <w:r>
              <w:rPr>
                <w:rFonts w:hint="default" w:ascii="Times New Roman" w:hAnsi="Times New Roman" w:cs="Times New Roman"/>
                <w:color w:val="auto"/>
                <w:sz w:val="21"/>
                <w:szCs w:val="21"/>
                <w:u w:val="none"/>
                <w:lang w:val="en-US" w:eastAsia="zh-CN"/>
              </w:rPr>
              <w:t>29.458634</w:t>
            </w:r>
          </w:p>
        </w:tc>
        <w:tc>
          <w:tcPr>
            <w:tcW w:w="2865" w:type="dxa"/>
            <w:tcMar>
              <w:top w:w="0" w:type="dxa"/>
              <w:left w:w="57" w:type="dxa"/>
              <w:bottom w:w="0" w:type="dxa"/>
              <w:right w:w="57" w:type="dxa"/>
            </w:tcMar>
            <w:vAlign w:val="center"/>
          </w:tcPr>
          <w:p w14:paraId="4211E225">
            <w:pPr>
              <w:pStyle w:val="41"/>
              <w:rPr>
                <w:rFonts w:hint="default" w:ascii="Times New Roman" w:hAnsi="Times New Roman" w:cs="Times New Roman"/>
                <w:color w:val="auto"/>
                <w:kern w:val="2"/>
                <w:u w:val="none"/>
                <w:lang w:val="en-US" w:eastAsia="zh-CN"/>
              </w:rPr>
            </w:pPr>
            <w:r>
              <w:rPr>
                <w:rFonts w:hint="default" w:ascii="Times New Roman" w:hAnsi="Times New Roman" w:cs="Times New Roman"/>
                <w:color w:val="auto"/>
                <w:kern w:val="2"/>
                <w:u w:val="none"/>
                <w:lang w:val="en-US" w:eastAsia="zh-CN"/>
              </w:rPr>
              <w:t>NE/3.</w:t>
            </w:r>
            <w:r>
              <w:rPr>
                <w:rFonts w:hint="eastAsia" w:cs="Times New Roman"/>
                <w:color w:val="auto"/>
                <w:kern w:val="2"/>
                <w:u w:val="none"/>
                <w:lang w:val="en-US" w:eastAsia="zh-CN"/>
              </w:rPr>
              <w:t>.</w:t>
            </w:r>
            <w:r>
              <w:rPr>
                <w:rFonts w:hint="default" w:ascii="Times New Roman" w:hAnsi="Times New Roman" w:cs="Times New Roman"/>
                <w:color w:val="auto"/>
                <w:kern w:val="2"/>
                <w:u w:val="none"/>
                <w:lang w:val="en-US" w:eastAsia="zh-CN"/>
              </w:rPr>
              <w:t>km</w:t>
            </w:r>
          </w:p>
        </w:tc>
        <w:tc>
          <w:tcPr>
            <w:tcW w:w="1916" w:type="dxa"/>
            <w:tcMar>
              <w:top w:w="0" w:type="dxa"/>
              <w:left w:w="57" w:type="dxa"/>
              <w:bottom w:w="0" w:type="dxa"/>
              <w:right w:w="57" w:type="dxa"/>
            </w:tcMar>
            <w:vAlign w:val="center"/>
          </w:tcPr>
          <w:p w14:paraId="27437BED">
            <w:pPr>
              <w:spacing w:line="240" w:lineRule="auto"/>
              <w:ind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居住，</w:t>
            </w:r>
            <w:r>
              <w:rPr>
                <w:rFonts w:hint="default" w:ascii="Times New Roman" w:hAnsi="Times New Roman" w:cs="Times New Roman"/>
                <w:color w:val="auto"/>
                <w:sz w:val="21"/>
                <w:szCs w:val="21"/>
                <w:u w:val="none"/>
                <w:lang w:val="en-US" w:eastAsia="zh-CN"/>
              </w:rPr>
              <w:t>1000</w:t>
            </w:r>
            <w:r>
              <w:rPr>
                <w:rFonts w:hint="default" w:ascii="Times New Roman" w:hAnsi="Times New Roman" w:cs="Times New Roman"/>
                <w:color w:val="auto"/>
                <w:sz w:val="21"/>
                <w:szCs w:val="21"/>
                <w:u w:val="none"/>
              </w:rPr>
              <w:t>人</w:t>
            </w:r>
          </w:p>
        </w:tc>
      </w:tr>
    </w:tbl>
    <w:p w14:paraId="226F3ACE">
      <w:pPr>
        <w:ind w:firstLine="480"/>
        <w:rPr>
          <w:rFonts w:hint="default" w:ascii="Times New Roman" w:hAnsi="Times New Roman" w:cs="Times New Roman"/>
          <w:color w:val="auto"/>
          <w:u w:val="none"/>
        </w:rPr>
      </w:pPr>
    </w:p>
    <w:bookmarkEnd w:id="25"/>
    <w:bookmarkEnd w:id="26"/>
    <w:p w14:paraId="14082E30">
      <w:pPr>
        <w:pStyle w:val="2"/>
        <w:ind w:left="0" w:leftChars="0" w:firstLineChars="0"/>
        <w:rPr>
          <w:rFonts w:hint="default" w:ascii="Times New Roman" w:hAnsi="Times New Roman" w:cs="Times New Roman"/>
          <w:color w:val="auto"/>
          <w:u w:val="none"/>
        </w:rPr>
      </w:pPr>
      <w:bookmarkStart w:id="48" w:name="_Toc8394"/>
      <w:r>
        <w:rPr>
          <w:rFonts w:hint="default" w:ascii="Times New Roman" w:hAnsi="Times New Roman" w:cs="Times New Roman"/>
          <w:color w:val="auto"/>
          <w:u w:val="none"/>
        </w:rPr>
        <w:t>建设项目概况</w:t>
      </w:r>
      <w:bookmarkEnd w:id="48"/>
    </w:p>
    <w:p w14:paraId="16781560">
      <w:pPr>
        <w:pStyle w:val="4"/>
        <w:ind w:left="0" w:leftChars="0" w:firstLineChars="0"/>
        <w:rPr>
          <w:rFonts w:hint="default" w:ascii="Times New Roman" w:hAnsi="Times New Roman" w:cs="Times New Roman"/>
          <w:color w:val="auto"/>
          <w:u w:val="none"/>
        </w:rPr>
      </w:pPr>
      <w:bookmarkStart w:id="49" w:name="_Toc490915898"/>
      <w:bookmarkStart w:id="50" w:name="_Toc326"/>
      <w:bookmarkStart w:id="51" w:name="_Toc8213"/>
      <w:r>
        <w:rPr>
          <w:rFonts w:hint="default" w:ascii="Times New Roman" w:hAnsi="Times New Roman" w:cs="Times New Roman"/>
          <w:color w:val="auto"/>
          <w:u w:val="none"/>
        </w:rPr>
        <w:t>基本情况</w:t>
      </w:r>
      <w:bookmarkEnd w:id="49"/>
      <w:bookmarkEnd w:id="50"/>
      <w:bookmarkEnd w:id="51"/>
    </w:p>
    <w:p w14:paraId="054E1DBF">
      <w:pPr>
        <w:ind w:firstLine="480"/>
        <w:rPr>
          <w:rFonts w:hint="eastAsia" w:ascii="Times New Roman" w:hAnsi="Times New Roman" w:eastAsia="宋体" w:cs="Times New Roman"/>
          <w:color w:val="auto"/>
          <w:u w:val="none"/>
          <w:lang w:eastAsia="zh-CN"/>
        </w:rPr>
      </w:pPr>
      <w:bookmarkStart w:id="52" w:name="_Toc350783554"/>
      <w:bookmarkStart w:id="53" w:name="_Toc209237356"/>
      <w:r>
        <w:rPr>
          <w:rFonts w:hint="default" w:ascii="Times New Roman" w:hAnsi="Times New Roman" w:eastAsia="Calibri" w:cs="Times New Roman"/>
          <w:color w:val="auto"/>
          <w:u w:val="none"/>
        </w:rPr>
        <w:t>项目名称：</w:t>
      </w:r>
      <w:r>
        <w:rPr>
          <w:rFonts w:hint="eastAsia" w:ascii="Times New Roman" w:hAnsi="Times New Roman" w:eastAsia="宋体" w:cs="Times New Roman"/>
          <w:color w:val="auto"/>
          <w:u w:val="none"/>
          <w:lang w:eastAsia="zh-CN"/>
        </w:rPr>
        <w:t>年产120万件铝合金零部件生产线项目</w:t>
      </w:r>
    </w:p>
    <w:p w14:paraId="21A59512">
      <w:pPr>
        <w:ind w:firstLine="480"/>
        <w:rPr>
          <w:rFonts w:hint="default" w:ascii="Times New Roman" w:hAnsi="Times New Roman" w:eastAsia="Calibri" w:cs="Times New Roman"/>
          <w:color w:val="auto"/>
          <w:u w:val="none"/>
        </w:rPr>
      </w:pPr>
      <w:r>
        <w:rPr>
          <w:rFonts w:hint="default" w:ascii="Times New Roman" w:hAnsi="Times New Roman" w:eastAsia="Calibri" w:cs="Times New Roman"/>
          <w:color w:val="auto"/>
          <w:u w:val="none"/>
        </w:rPr>
        <w:t>项目性质：新建</w:t>
      </w:r>
    </w:p>
    <w:p w14:paraId="57904DC3">
      <w:pPr>
        <w:ind w:firstLine="480"/>
        <w:rPr>
          <w:rFonts w:hint="eastAsia" w:ascii="Times New Roman" w:hAnsi="Times New Roman" w:eastAsia="宋体" w:cs="Times New Roman"/>
          <w:color w:val="auto"/>
          <w:u w:val="none"/>
          <w:lang w:eastAsia="zh-CN"/>
        </w:rPr>
      </w:pPr>
      <w:r>
        <w:rPr>
          <w:rFonts w:hint="default" w:ascii="Times New Roman" w:hAnsi="Times New Roman" w:eastAsia="Calibri" w:cs="Times New Roman"/>
          <w:color w:val="auto"/>
          <w:u w:val="none"/>
        </w:rPr>
        <w:t>建设单位：</w:t>
      </w:r>
      <w:r>
        <w:rPr>
          <w:rFonts w:hint="eastAsia" w:ascii="Times New Roman" w:hAnsi="Times New Roman" w:eastAsia="宋体" w:cs="Times New Roman"/>
          <w:color w:val="auto"/>
          <w:u w:val="none"/>
          <w:lang w:eastAsia="zh-CN"/>
        </w:rPr>
        <w:t>湖南中达精密制造有限公司</w:t>
      </w:r>
    </w:p>
    <w:p w14:paraId="6E9E0BFA">
      <w:pPr>
        <w:ind w:firstLine="480"/>
        <w:rPr>
          <w:rFonts w:hint="default" w:ascii="Times New Roman" w:hAnsi="Times New Roman" w:eastAsia="Calibri" w:cs="Times New Roman"/>
          <w:color w:val="auto"/>
          <w:u w:val="none"/>
        </w:rPr>
      </w:pPr>
      <w:r>
        <w:rPr>
          <w:rFonts w:hint="default" w:ascii="Times New Roman" w:hAnsi="Times New Roman" w:eastAsia="Calibri" w:cs="Times New Roman"/>
          <w:color w:val="auto"/>
          <w:u w:val="none"/>
        </w:rPr>
        <w:t>项目投资：</w:t>
      </w:r>
      <w:r>
        <w:rPr>
          <w:rFonts w:hint="eastAsia" w:ascii="Times New Roman" w:hAnsi="Times New Roman" w:eastAsia="宋体" w:cs="Times New Roman"/>
          <w:color w:val="auto"/>
          <w:u w:val="none"/>
          <w:lang w:val="en-US" w:eastAsia="zh-CN"/>
        </w:rPr>
        <w:t>总</w:t>
      </w:r>
      <w:r>
        <w:rPr>
          <w:rFonts w:hint="default" w:ascii="Times New Roman" w:hAnsi="Times New Roman" w:cs="Times New Roman"/>
          <w:color w:val="auto"/>
          <w:u w:val="none"/>
        </w:rPr>
        <w:t>投资</w:t>
      </w:r>
      <w:r>
        <w:rPr>
          <w:rFonts w:hint="eastAsia" w:ascii="Times New Roman" w:hAnsi="Times New Roman" w:cs="Times New Roman"/>
          <w:color w:val="auto"/>
          <w:u w:val="none"/>
          <w:lang w:val="en-US" w:eastAsia="zh-CN"/>
        </w:rPr>
        <w:t>1600</w:t>
      </w:r>
      <w:r>
        <w:rPr>
          <w:rFonts w:hint="default" w:ascii="Times New Roman" w:hAnsi="Times New Roman" w:eastAsia="Calibri" w:cs="Times New Roman"/>
          <w:color w:val="auto"/>
          <w:u w:val="none"/>
        </w:rPr>
        <w:t>万元，其中环保投资</w:t>
      </w:r>
      <w:r>
        <w:rPr>
          <w:rFonts w:hint="eastAsia" w:ascii="Times New Roman" w:hAnsi="Times New Roman" w:cs="Times New Roman"/>
          <w:color w:val="auto"/>
          <w:u w:val="none"/>
          <w:lang w:val="en-US" w:eastAsia="zh-CN"/>
        </w:rPr>
        <w:t>209万元</w:t>
      </w:r>
    </w:p>
    <w:p w14:paraId="043F1E56">
      <w:pPr>
        <w:ind w:firstLine="480"/>
        <w:rPr>
          <w:rFonts w:hint="default" w:ascii="Times New Roman" w:hAnsi="Times New Roman" w:eastAsia="Calibri" w:cs="Times New Roman"/>
          <w:color w:val="auto"/>
          <w:u w:val="none"/>
        </w:rPr>
      </w:pPr>
      <w:r>
        <w:rPr>
          <w:rFonts w:hint="default" w:ascii="Times New Roman" w:hAnsi="Times New Roman" w:eastAsia="Calibri" w:cs="Times New Roman"/>
          <w:color w:val="auto"/>
          <w:u w:val="none"/>
        </w:rPr>
        <w:t>建设地点：</w:t>
      </w:r>
      <w:r>
        <w:rPr>
          <w:rFonts w:hint="default" w:ascii="Times New Roman" w:hAnsi="Times New Roman" w:cs="Times New Roman"/>
          <w:color w:val="auto"/>
          <w:u w:val="none"/>
        </w:rPr>
        <w:t>湖南城陵矶新港区高端制造产业园</w:t>
      </w:r>
      <w:r>
        <w:rPr>
          <w:rFonts w:hint="default" w:ascii="Times New Roman" w:hAnsi="Times New Roman" w:cs="Times New Roman"/>
          <w:color w:val="auto"/>
          <w:u w:val="none"/>
          <w:lang w:val="en-US" w:eastAsia="zh-CN"/>
        </w:rPr>
        <w:t>2#厂房-B南侧</w:t>
      </w:r>
      <w:r>
        <w:rPr>
          <w:rFonts w:hint="default" w:ascii="Times New Roman" w:hAnsi="Times New Roman" w:eastAsia="Calibri" w:cs="Times New Roman"/>
          <w:color w:val="auto"/>
          <w:u w:val="none"/>
        </w:rPr>
        <w:t>（东经</w:t>
      </w:r>
      <w:r>
        <w:rPr>
          <w:rFonts w:hint="eastAsia" w:ascii="Times New Roman" w:hAnsi="Times New Roman" w:cs="Times New Roman"/>
          <w:color w:val="auto"/>
          <w:u w:val="none"/>
          <w:lang w:val="en-US" w:eastAsia="zh-CN"/>
        </w:rPr>
        <w:t>113.185414</w:t>
      </w:r>
      <w:r>
        <w:rPr>
          <w:rFonts w:hint="default" w:ascii="Times New Roman" w:hAnsi="Times New Roman" w:eastAsia="Calibri" w:cs="Times New Roman"/>
          <w:color w:val="auto"/>
          <w:u w:val="none"/>
        </w:rPr>
        <w:t>，北纬</w:t>
      </w:r>
      <w:r>
        <w:rPr>
          <w:rFonts w:hint="eastAsia" w:ascii="Times New Roman" w:hAnsi="Times New Roman" w:cs="Times New Roman"/>
          <w:color w:val="auto"/>
          <w:u w:val="none"/>
          <w:lang w:val="en-US" w:eastAsia="zh-CN"/>
        </w:rPr>
        <w:t>29.46164</w:t>
      </w:r>
      <w:r>
        <w:rPr>
          <w:rFonts w:hint="default" w:ascii="Times New Roman" w:hAnsi="Times New Roman" w:eastAsia="Calibri" w:cs="Times New Roman"/>
          <w:color w:val="auto"/>
          <w:u w:val="none"/>
        </w:rPr>
        <w:t>）</w:t>
      </w:r>
    </w:p>
    <w:p w14:paraId="252832DE">
      <w:pPr>
        <w:ind w:firstLine="480"/>
        <w:rPr>
          <w:rFonts w:hint="default" w:ascii="Times New Roman" w:hAnsi="Times New Roman" w:eastAsia="Calibri" w:cs="Times New Roman"/>
          <w:color w:val="auto"/>
          <w:u w:val="none"/>
        </w:rPr>
      </w:pPr>
      <w:r>
        <w:rPr>
          <w:rFonts w:hint="default" w:ascii="Times New Roman" w:hAnsi="Times New Roman" w:cs="Times New Roman"/>
          <w:color w:val="auto"/>
          <w:u w:val="none"/>
        </w:rPr>
        <w:t>建筑</w:t>
      </w:r>
      <w:r>
        <w:rPr>
          <w:rFonts w:hint="default" w:ascii="Times New Roman" w:hAnsi="Times New Roman" w:eastAsia="Calibri" w:cs="Times New Roman"/>
          <w:color w:val="auto"/>
          <w:u w:val="none"/>
        </w:rPr>
        <w:t>面积：</w:t>
      </w:r>
      <w:r>
        <w:rPr>
          <w:rFonts w:hint="eastAsia" w:ascii="Times New Roman" w:hAnsi="Times New Roman" w:cs="Times New Roman"/>
          <w:color w:val="auto"/>
          <w:u w:val="none"/>
          <w:lang w:val="en-US" w:eastAsia="zh-CN"/>
        </w:rPr>
        <w:t>2109</w:t>
      </w:r>
      <w:r>
        <w:rPr>
          <w:rFonts w:hint="default" w:ascii="Times New Roman" w:hAnsi="Times New Roman" w:eastAsia="Calibri" w:cs="Times New Roman"/>
          <w:color w:val="auto"/>
          <w:u w:val="none"/>
        </w:rPr>
        <w:t>m</w:t>
      </w:r>
      <w:r>
        <w:rPr>
          <w:rFonts w:hint="default" w:ascii="Times New Roman" w:hAnsi="Times New Roman" w:eastAsia="Calibri" w:cs="Times New Roman"/>
          <w:color w:val="auto"/>
          <w:u w:val="none"/>
          <w:vertAlign w:val="superscript"/>
        </w:rPr>
        <w:t>2</w:t>
      </w:r>
    </w:p>
    <w:p w14:paraId="7D2EEF1E">
      <w:pPr>
        <w:ind w:firstLine="480"/>
        <w:rPr>
          <w:rFonts w:hint="eastAsia" w:ascii="Times New Roman" w:hAnsi="Times New Roman" w:eastAsia="宋体" w:cs="Times New Roman"/>
          <w:color w:val="auto"/>
          <w:u w:val="none"/>
          <w:lang w:eastAsia="zh-CN"/>
        </w:rPr>
      </w:pPr>
      <w:r>
        <w:rPr>
          <w:rFonts w:hint="default" w:ascii="Times New Roman" w:hAnsi="Times New Roman" w:eastAsia="Calibri" w:cs="Times New Roman"/>
          <w:color w:val="auto"/>
          <w:u w:val="none"/>
        </w:rPr>
        <w:t>劳动定员：</w:t>
      </w:r>
      <w:r>
        <w:rPr>
          <w:rFonts w:hint="eastAsia" w:ascii="Times New Roman" w:hAnsi="Times New Roman" w:eastAsia="宋体" w:cs="Times New Roman"/>
          <w:color w:val="auto"/>
          <w:u w:val="none"/>
          <w:lang w:val="en-US" w:eastAsia="zh-CN"/>
        </w:rPr>
        <w:t>20</w:t>
      </w:r>
      <w:r>
        <w:rPr>
          <w:rFonts w:hint="default" w:ascii="Times New Roman" w:hAnsi="Times New Roman" w:eastAsia="Calibri" w:cs="Times New Roman"/>
          <w:color w:val="auto"/>
          <w:u w:val="none"/>
        </w:rPr>
        <w:t>人</w:t>
      </w:r>
    </w:p>
    <w:p w14:paraId="3DC02DCF">
      <w:pPr>
        <w:ind w:firstLine="480"/>
        <w:rPr>
          <w:rFonts w:hint="default" w:ascii="Times New Roman" w:hAnsi="Times New Roman" w:eastAsia="宋体" w:cs="Times New Roman"/>
          <w:color w:val="auto"/>
          <w:u w:val="none"/>
          <w:lang w:val="en-US" w:eastAsia="zh-CN"/>
        </w:rPr>
      </w:pPr>
      <w:r>
        <w:rPr>
          <w:rFonts w:hint="default" w:ascii="Times New Roman" w:hAnsi="Times New Roman" w:eastAsia="Calibri" w:cs="Times New Roman"/>
          <w:color w:val="auto"/>
          <w:u w:val="none"/>
        </w:rPr>
        <w:t>生产规模：</w:t>
      </w:r>
      <w:r>
        <w:rPr>
          <w:rFonts w:hint="eastAsia" w:ascii="Times New Roman" w:hAnsi="Times New Roman" w:eastAsia="宋体" w:cs="Times New Roman"/>
          <w:color w:val="auto"/>
          <w:u w:val="none"/>
          <w:lang w:val="en-US" w:eastAsia="zh-CN"/>
        </w:rPr>
        <w:t>阳极氧化</w:t>
      </w:r>
      <w:r>
        <w:rPr>
          <w:rFonts w:hint="eastAsia" w:ascii="Times New Roman" w:hAnsi="Times New Roman" w:eastAsia="宋体" w:cs="Times New Roman"/>
          <w:color w:val="auto"/>
          <w:u w:val="none"/>
          <w:lang w:eastAsia="zh-CN"/>
        </w:rPr>
        <w:t>120万件铝合金零部件</w:t>
      </w:r>
    </w:p>
    <w:p w14:paraId="1642D64C">
      <w:pPr>
        <w:pStyle w:val="4"/>
        <w:ind w:left="0" w:leftChars="0" w:firstLineChars="0"/>
        <w:rPr>
          <w:rFonts w:hint="default" w:ascii="Times New Roman" w:hAnsi="Times New Roman" w:cs="Times New Roman"/>
          <w:color w:val="auto"/>
          <w:u w:val="none"/>
        </w:rPr>
      </w:pPr>
      <w:bookmarkStart w:id="54" w:name="_Toc17301"/>
      <w:bookmarkStart w:id="55" w:name="_Toc22498"/>
      <w:bookmarkStart w:id="56" w:name="_Toc490915899"/>
      <w:r>
        <w:rPr>
          <w:rFonts w:hint="default" w:ascii="Times New Roman" w:hAnsi="Times New Roman" w:cs="Times New Roman"/>
          <w:color w:val="auto"/>
          <w:u w:val="none"/>
        </w:rPr>
        <w:t>建设内容</w:t>
      </w:r>
      <w:bookmarkEnd w:id="52"/>
      <w:bookmarkEnd w:id="53"/>
      <w:bookmarkEnd w:id="54"/>
      <w:bookmarkEnd w:id="55"/>
      <w:bookmarkEnd w:id="56"/>
    </w:p>
    <w:p w14:paraId="79C9D4D9">
      <w:pPr>
        <w:pStyle w:val="5"/>
        <w:rPr>
          <w:rFonts w:hint="default" w:ascii="Times New Roman" w:hAnsi="Times New Roman" w:cs="Times New Roman"/>
          <w:color w:val="auto"/>
          <w:u w:val="none"/>
        </w:rPr>
      </w:pPr>
      <w:bookmarkStart w:id="57" w:name="_Toc209237357"/>
      <w:r>
        <w:rPr>
          <w:rFonts w:hint="default" w:ascii="Times New Roman" w:hAnsi="Times New Roman" w:cs="Times New Roman"/>
          <w:color w:val="auto"/>
          <w:u w:val="none"/>
        </w:rPr>
        <w:t>建设项目工程组成</w:t>
      </w:r>
      <w:bookmarkEnd w:id="57"/>
    </w:p>
    <w:p w14:paraId="729E79D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本项目租赁湖南城陵矶新港区高端制造产业园</w:t>
      </w:r>
      <w:r>
        <w:rPr>
          <w:rFonts w:hint="eastAsia" w:ascii="Times New Roman" w:hAnsi="Times New Roman" w:cs="Times New Roman"/>
          <w:color w:val="auto"/>
          <w:u w:val="none"/>
          <w:lang w:val="en-US" w:eastAsia="zh-CN"/>
        </w:rPr>
        <w:t>2#厂房-B南侧</w:t>
      </w:r>
      <w:r>
        <w:rPr>
          <w:rFonts w:hint="default" w:ascii="Times New Roman" w:hAnsi="Times New Roman" w:cs="Times New Roman"/>
          <w:color w:val="auto"/>
          <w:u w:val="none"/>
        </w:rPr>
        <w:t>，生产区建筑面积为</w:t>
      </w:r>
      <w:r>
        <w:rPr>
          <w:rFonts w:hint="eastAsia" w:ascii="Times New Roman" w:hAnsi="Times New Roman" w:cs="Times New Roman"/>
          <w:color w:val="auto"/>
          <w:u w:val="none"/>
          <w:lang w:val="en-US" w:eastAsia="zh-CN"/>
        </w:rPr>
        <w:t>2109</w:t>
      </w:r>
      <w:r>
        <w:rPr>
          <w:rFonts w:hint="default" w:ascii="Times New Roman" w:hAnsi="Times New Roman" w:cs="Times New Roman"/>
          <w:color w:val="auto"/>
          <w:u w:val="none"/>
        </w:rPr>
        <w:t>平方米，项目建设完成后形成</w:t>
      </w:r>
      <w:r>
        <w:rPr>
          <w:rFonts w:hint="default" w:ascii="Times New Roman" w:hAnsi="Times New Roman" w:cs="Times New Roman"/>
          <w:color w:val="auto"/>
          <w:u w:val="none"/>
          <w:lang w:val="en-US" w:eastAsia="zh-CN"/>
        </w:rPr>
        <w:t>年阳极氧化</w:t>
      </w:r>
      <w:r>
        <w:rPr>
          <w:rFonts w:hint="default" w:ascii="Times New Roman" w:hAnsi="Times New Roman" w:cs="Times New Roman"/>
          <w:color w:val="auto"/>
          <w:u w:val="none"/>
          <w:lang w:eastAsia="zh-CN"/>
        </w:rPr>
        <w:t>120万件铝合金零部件</w:t>
      </w:r>
      <w:r>
        <w:rPr>
          <w:rFonts w:hint="default" w:ascii="Times New Roman" w:hAnsi="Times New Roman" w:cs="Times New Roman"/>
          <w:color w:val="auto"/>
          <w:u w:val="none"/>
        </w:rPr>
        <w:t>。主要建设内容包括主体工程、辅助工程、公用工程、储运工程和环保工程、主要建设内容见下表。</w:t>
      </w:r>
    </w:p>
    <w:p w14:paraId="2CA53D8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表3.2-1 项目组成一览表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1291"/>
        <w:gridCol w:w="1882"/>
        <w:gridCol w:w="5483"/>
        <w:gridCol w:w="1092"/>
      </w:tblGrid>
      <w:tr w14:paraId="54F82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Align w:val="center"/>
          </w:tcPr>
          <w:p w14:paraId="179DEEDA">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工程类别</w:t>
            </w:r>
          </w:p>
        </w:tc>
        <w:tc>
          <w:tcPr>
            <w:tcW w:w="965" w:type="pct"/>
            <w:vAlign w:val="center"/>
          </w:tcPr>
          <w:p w14:paraId="3005BF0C">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工程内容</w:t>
            </w:r>
          </w:p>
        </w:tc>
        <w:tc>
          <w:tcPr>
            <w:tcW w:w="2811" w:type="pct"/>
            <w:vAlign w:val="center"/>
          </w:tcPr>
          <w:p w14:paraId="0B412A1D">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建设内容</w:t>
            </w:r>
          </w:p>
        </w:tc>
        <w:tc>
          <w:tcPr>
            <w:tcW w:w="560" w:type="pct"/>
            <w:vAlign w:val="center"/>
          </w:tcPr>
          <w:p w14:paraId="4DE9ED2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备注</w:t>
            </w:r>
          </w:p>
        </w:tc>
      </w:tr>
      <w:tr w14:paraId="5F692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1025" w:hRule="atLeast"/>
          <w:jc w:val="center"/>
        </w:trPr>
        <w:tc>
          <w:tcPr>
            <w:tcW w:w="662" w:type="pct"/>
            <w:vAlign w:val="center"/>
          </w:tcPr>
          <w:p w14:paraId="6C12DB00">
            <w:pPr>
              <w:pStyle w:val="41"/>
              <w:rPr>
                <w:rFonts w:hint="default" w:ascii="Times New Roman" w:hAnsi="Times New Roman" w:cs="Times New Roman"/>
                <w:color w:val="auto"/>
                <w:u w:val="none"/>
              </w:rPr>
            </w:pPr>
            <w:r>
              <w:rPr>
                <w:rFonts w:hint="default" w:ascii="Times New Roman" w:hAnsi="Times New Roman" w:cs="Times New Roman"/>
                <w:color w:val="auto"/>
                <w:u w:val="none"/>
              </w:rPr>
              <w:t>主体工程</w:t>
            </w:r>
          </w:p>
        </w:tc>
        <w:tc>
          <w:tcPr>
            <w:tcW w:w="965" w:type="pct"/>
            <w:vAlign w:val="center"/>
          </w:tcPr>
          <w:p w14:paraId="67DCF68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2#厂房-B#南侧</w:t>
            </w:r>
          </w:p>
        </w:tc>
        <w:tc>
          <w:tcPr>
            <w:tcW w:w="2811" w:type="pct"/>
            <w:vAlign w:val="center"/>
          </w:tcPr>
          <w:p w14:paraId="6C6DBB86">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1F，</w:t>
            </w:r>
            <w:r>
              <w:rPr>
                <w:rFonts w:hint="eastAsia" w:cs="Times New Roman"/>
                <w:color w:val="auto"/>
                <w:u w:val="none"/>
                <w:lang w:val="en-US" w:eastAsia="zh-CN"/>
              </w:rPr>
              <w:t>占地</w:t>
            </w:r>
            <w:r>
              <w:rPr>
                <w:rFonts w:hint="default" w:ascii="Times New Roman" w:hAnsi="Times New Roman" w:cs="Times New Roman"/>
                <w:color w:val="auto"/>
                <w:u w:val="none"/>
              </w:rPr>
              <w:t>建筑面积</w:t>
            </w:r>
            <w:r>
              <w:rPr>
                <w:rFonts w:hint="eastAsia" w:cs="Times New Roman"/>
                <w:color w:val="auto"/>
                <w:u w:val="none"/>
                <w:lang w:val="en-US" w:eastAsia="zh-CN"/>
              </w:rPr>
              <w:t>1800m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w:t>
            </w:r>
            <w:r>
              <w:rPr>
                <w:rFonts w:hint="eastAsia" w:cs="Times New Roman"/>
                <w:color w:val="auto"/>
                <w:u w:val="none"/>
                <w:lang w:val="en-US" w:eastAsia="zh-CN"/>
              </w:rPr>
              <w:t>设置二条阳极氧化生产线</w:t>
            </w:r>
          </w:p>
        </w:tc>
        <w:tc>
          <w:tcPr>
            <w:tcW w:w="560" w:type="pct"/>
            <w:vMerge w:val="restart"/>
            <w:vAlign w:val="center"/>
          </w:tcPr>
          <w:p w14:paraId="1C1A143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租赁</w:t>
            </w:r>
            <w:r>
              <w:rPr>
                <w:rFonts w:hint="default" w:ascii="Times New Roman" w:hAnsi="Times New Roman" w:cs="Times New Roman"/>
                <w:color w:val="auto"/>
                <w:u w:val="none"/>
              </w:rPr>
              <w:t>已建标准厂房</w:t>
            </w:r>
          </w:p>
        </w:tc>
      </w:tr>
      <w:tr w14:paraId="6469F6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restart"/>
            <w:vAlign w:val="center"/>
          </w:tcPr>
          <w:p w14:paraId="18CB34A2">
            <w:pPr>
              <w:pStyle w:val="41"/>
              <w:rPr>
                <w:rFonts w:hint="default" w:ascii="Times New Roman" w:hAnsi="Times New Roman" w:cs="Times New Roman"/>
                <w:color w:val="auto"/>
                <w:u w:val="none"/>
              </w:rPr>
            </w:pPr>
            <w:r>
              <w:rPr>
                <w:rFonts w:hint="default" w:ascii="Times New Roman" w:hAnsi="Times New Roman" w:cs="Times New Roman"/>
                <w:color w:val="auto"/>
                <w:u w:val="none"/>
              </w:rPr>
              <w:t>储运工程</w:t>
            </w:r>
          </w:p>
        </w:tc>
        <w:tc>
          <w:tcPr>
            <w:tcW w:w="965" w:type="pct"/>
            <w:vAlign w:val="center"/>
          </w:tcPr>
          <w:p w14:paraId="353B3291">
            <w:pPr>
              <w:pStyle w:val="41"/>
              <w:rPr>
                <w:rFonts w:hint="default" w:ascii="Times New Roman" w:hAnsi="Times New Roman" w:cs="Times New Roman"/>
                <w:color w:val="auto"/>
                <w:u w:val="none"/>
              </w:rPr>
            </w:pPr>
            <w:r>
              <w:rPr>
                <w:rFonts w:hint="default" w:ascii="Times New Roman" w:hAnsi="Times New Roman" w:cs="Times New Roman"/>
                <w:color w:val="auto"/>
                <w:u w:val="none"/>
              </w:rPr>
              <w:t>原料仓</w:t>
            </w:r>
          </w:p>
        </w:tc>
        <w:tc>
          <w:tcPr>
            <w:tcW w:w="2811" w:type="pct"/>
            <w:vAlign w:val="center"/>
          </w:tcPr>
          <w:p w14:paraId="1948B04B">
            <w:pPr>
              <w:pStyle w:val="41"/>
              <w:rPr>
                <w:rFonts w:hint="default" w:ascii="Times New Roman" w:hAnsi="Times New Roman" w:cs="Times New Roman"/>
                <w:color w:val="auto"/>
                <w:u w:val="none"/>
              </w:rPr>
            </w:pPr>
            <w:r>
              <w:rPr>
                <w:rFonts w:hint="default" w:ascii="Times New Roman" w:hAnsi="Times New Roman" w:cs="Times New Roman"/>
                <w:color w:val="auto"/>
                <w:u w:val="none"/>
              </w:rPr>
              <w:t>设置在生产厂房1F内，面积</w:t>
            </w:r>
            <w:r>
              <w:rPr>
                <w:rFonts w:hint="eastAsia" w:cs="Times New Roman"/>
                <w:color w:val="auto"/>
                <w:u w:val="none"/>
                <w:lang w:val="en-US" w:eastAsia="zh-CN"/>
              </w:rPr>
              <w:t>100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p>
        </w:tc>
        <w:tc>
          <w:tcPr>
            <w:tcW w:w="560" w:type="pct"/>
            <w:vMerge w:val="continue"/>
            <w:vAlign w:val="center"/>
          </w:tcPr>
          <w:p w14:paraId="0CC6E53C">
            <w:pPr>
              <w:pStyle w:val="41"/>
              <w:rPr>
                <w:rFonts w:hint="default" w:ascii="Times New Roman" w:hAnsi="Times New Roman" w:cs="Times New Roman"/>
                <w:color w:val="auto"/>
                <w:u w:val="none"/>
              </w:rPr>
            </w:pPr>
          </w:p>
        </w:tc>
      </w:tr>
      <w:tr w14:paraId="6F8AA6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3DDC0438">
            <w:pPr>
              <w:pStyle w:val="41"/>
              <w:rPr>
                <w:rFonts w:hint="default" w:ascii="Times New Roman" w:hAnsi="Times New Roman" w:cs="Times New Roman"/>
                <w:color w:val="auto"/>
                <w:u w:val="none"/>
              </w:rPr>
            </w:pPr>
          </w:p>
        </w:tc>
        <w:tc>
          <w:tcPr>
            <w:tcW w:w="965" w:type="pct"/>
            <w:vAlign w:val="center"/>
          </w:tcPr>
          <w:p w14:paraId="333EF8B1">
            <w:pPr>
              <w:pStyle w:val="41"/>
              <w:rPr>
                <w:rFonts w:hint="default" w:ascii="Times New Roman" w:hAnsi="Times New Roman" w:cs="Times New Roman"/>
                <w:color w:val="auto"/>
                <w:u w:val="none"/>
              </w:rPr>
            </w:pPr>
            <w:r>
              <w:rPr>
                <w:rFonts w:hint="default" w:ascii="Times New Roman" w:hAnsi="Times New Roman" w:cs="Times New Roman"/>
                <w:color w:val="auto"/>
                <w:u w:val="none"/>
              </w:rPr>
              <w:t>辅料仓</w:t>
            </w:r>
          </w:p>
        </w:tc>
        <w:tc>
          <w:tcPr>
            <w:tcW w:w="2811" w:type="pct"/>
            <w:vAlign w:val="center"/>
          </w:tcPr>
          <w:p w14:paraId="59EFFD09">
            <w:pPr>
              <w:pStyle w:val="41"/>
              <w:rPr>
                <w:rFonts w:hint="default" w:ascii="Times New Roman" w:hAnsi="Times New Roman" w:cs="Times New Roman"/>
                <w:color w:val="auto"/>
                <w:u w:val="none"/>
              </w:rPr>
            </w:pPr>
            <w:r>
              <w:rPr>
                <w:rFonts w:hint="default" w:ascii="Times New Roman" w:hAnsi="Times New Roman" w:cs="Times New Roman"/>
                <w:color w:val="auto"/>
                <w:u w:val="none"/>
              </w:rPr>
              <w:t>设置在生产厂房1F内，面积</w:t>
            </w:r>
            <w:r>
              <w:rPr>
                <w:rFonts w:hint="eastAsia" w:cs="Times New Roman"/>
                <w:color w:val="auto"/>
                <w:u w:val="none"/>
                <w:lang w:val="en-US" w:eastAsia="zh-CN"/>
              </w:rPr>
              <w:t>100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p>
        </w:tc>
        <w:tc>
          <w:tcPr>
            <w:tcW w:w="560" w:type="pct"/>
            <w:vMerge w:val="continue"/>
            <w:vAlign w:val="center"/>
          </w:tcPr>
          <w:p w14:paraId="31502B7A">
            <w:pPr>
              <w:pStyle w:val="41"/>
              <w:rPr>
                <w:rFonts w:hint="default" w:ascii="Times New Roman" w:hAnsi="Times New Roman" w:cs="Times New Roman"/>
                <w:color w:val="auto"/>
                <w:u w:val="none"/>
              </w:rPr>
            </w:pPr>
          </w:p>
        </w:tc>
      </w:tr>
      <w:tr w14:paraId="456767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122E3B42">
            <w:pPr>
              <w:pStyle w:val="41"/>
              <w:rPr>
                <w:rFonts w:hint="default" w:ascii="Times New Roman" w:hAnsi="Times New Roman" w:cs="Times New Roman"/>
                <w:color w:val="auto"/>
                <w:u w:val="none"/>
              </w:rPr>
            </w:pPr>
          </w:p>
        </w:tc>
        <w:tc>
          <w:tcPr>
            <w:tcW w:w="965" w:type="pct"/>
            <w:vAlign w:val="center"/>
          </w:tcPr>
          <w:p w14:paraId="327E9391">
            <w:pPr>
              <w:pStyle w:val="41"/>
              <w:rPr>
                <w:rFonts w:hint="default" w:ascii="Times New Roman" w:hAnsi="Times New Roman" w:cs="Times New Roman"/>
                <w:color w:val="auto"/>
                <w:u w:val="none"/>
              </w:rPr>
            </w:pPr>
            <w:r>
              <w:rPr>
                <w:rFonts w:hint="default" w:ascii="Times New Roman" w:hAnsi="Times New Roman" w:cs="Times New Roman"/>
                <w:color w:val="auto"/>
                <w:u w:val="none"/>
              </w:rPr>
              <w:t>成品仓</w:t>
            </w:r>
          </w:p>
        </w:tc>
        <w:tc>
          <w:tcPr>
            <w:tcW w:w="2811" w:type="pct"/>
            <w:vAlign w:val="center"/>
          </w:tcPr>
          <w:p w14:paraId="3ECEEAB7">
            <w:pPr>
              <w:pStyle w:val="41"/>
              <w:rPr>
                <w:rFonts w:hint="default" w:ascii="Times New Roman" w:hAnsi="Times New Roman" w:cs="Times New Roman"/>
                <w:color w:val="auto"/>
                <w:u w:val="none"/>
              </w:rPr>
            </w:pPr>
            <w:r>
              <w:rPr>
                <w:rFonts w:hint="default" w:ascii="Times New Roman" w:hAnsi="Times New Roman" w:cs="Times New Roman"/>
                <w:color w:val="auto"/>
                <w:u w:val="none"/>
              </w:rPr>
              <w:t>设置在生产厂房</w:t>
            </w:r>
            <w:r>
              <w:rPr>
                <w:rFonts w:hint="eastAsia" w:cs="Times New Roman"/>
                <w:color w:val="auto"/>
                <w:u w:val="none"/>
                <w:lang w:val="en-US" w:eastAsia="zh-CN"/>
              </w:rPr>
              <w:t>1</w:t>
            </w:r>
            <w:r>
              <w:rPr>
                <w:rFonts w:hint="default" w:ascii="Times New Roman" w:hAnsi="Times New Roman" w:cs="Times New Roman"/>
                <w:color w:val="auto"/>
                <w:u w:val="none"/>
              </w:rPr>
              <w:t>F内，面积</w:t>
            </w:r>
            <w:r>
              <w:rPr>
                <w:rFonts w:hint="eastAsia" w:cs="Times New Roman"/>
                <w:color w:val="auto"/>
                <w:u w:val="none"/>
                <w:lang w:val="en-US" w:eastAsia="zh-CN"/>
              </w:rPr>
              <w:t>100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p>
        </w:tc>
        <w:tc>
          <w:tcPr>
            <w:tcW w:w="560" w:type="pct"/>
            <w:vMerge w:val="continue"/>
            <w:vAlign w:val="center"/>
          </w:tcPr>
          <w:p w14:paraId="3E0C559F">
            <w:pPr>
              <w:pStyle w:val="41"/>
              <w:rPr>
                <w:rFonts w:hint="default" w:ascii="Times New Roman" w:hAnsi="Times New Roman" w:cs="Times New Roman"/>
                <w:color w:val="auto"/>
                <w:u w:val="none"/>
              </w:rPr>
            </w:pPr>
          </w:p>
        </w:tc>
      </w:tr>
      <w:tr w14:paraId="5C470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0700EB7B">
            <w:pPr>
              <w:pStyle w:val="41"/>
              <w:rPr>
                <w:rFonts w:hint="default" w:ascii="Times New Roman" w:hAnsi="Times New Roman" w:cs="Times New Roman"/>
                <w:color w:val="auto"/>
                <w:u w:val="none"/>
              </w:rPr>
            </w:pPr>
          </w:p>
        </w:tc>
        <w:tc>
          <w:tcPr>
            <w:tcW w:w="965" w:type="pct"/>
            <w:vAlign w:val="center"/>
          </w:tcPr>
          <w:p w14:paraId="580D4C91">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w:t>
            </w:r>
          </w:p>
        </w:tc>
        <w:tc>
          <w:tcPr>
            <w:tcW w:w="2811" w:type="pct"/>
            <w:vAlign w:val="center"/>
          </w:tcPr>
          <w:p w14:paraId="2951C2D9">
            <w:pPr>
              <w:pStyle w:val="41"/>
              <w:rPr>
                <w:rFonts w:hint="default" w:ascii="Times New Roman" w:hAnsi="Times New Roman" w:cs="Times New Roman"/>
                <w:color w:val="auto"/>
                <w:u w:val="none"/>
              </w:rPr>
            </w:pPr>
            <w:r>
              <w:rPr>
                <w:rFonts w:hint="default" w:ascii="Times New Roman" w:hAnsi="Times New Roman" w:cs="Times New Roman"/>
                <w:color w:val="auto"/>
                <w:u w:val="none"/>
              </w:rPr>
              <w:t>设置在厂房</w:t>
            </w:r>
            <w:r>
              <w:rPr>
                <w:rFonts w:hint="eastAsia" w:cs="Times New Roman"/>
                <w:color w:val="auto"/>
                <w:u w:val="none"/>
                <w:lang w:val="en-US" w:eastAsia="zh-CN"/>
              </w:rPr>
              <w:t>西侧</w:t>
            </w:r>
            <w:r>
              <w:rPr>
                <w:rFonts w:hint="default" w:ascii="Times New Roman" w:hAnsi="Times New Roman" w:cs="Times New Roman"/>
                <w:color w:val="auto"/>
                <w:u w:val="none"/>
              </w:rPr>
              <w:t>，面积150m</w:t>
            </w:r>
            <w:r>
              <w:rPr>
                <w:rFonts w:hint="default" w:ascii="Times New Roman" w:hAnsi="Times New Roman" w:cs="Times New Roman"/>
                <w:color w:val="auto"/>
                <w:u w:val="none"/>
                <w:vertAlign w:val="superscript"/>
              </w:rPr>
              <w:t>2</w:t>
            </w:r>
          </w:p>
        </w:tc>
        <w:tc>
          <w:tcPr>
            <w:tcW w:w="560" w:type="pct"/>
            <w:vMerge w:val="continue"/>
            <w:vAlign w:val="center"/>
          </w:tcPr>
          <w:p w14:paraId="3418BAE6">
            <w:pPr>
              <w:pStyle w:val="41"/>
              <w:rPr>
                <w:rFonts w:hint="default" w:ascii="Times New Roman" w:hAnsi="Times New Roman" w:eastAsia="宋体" w:cs="Times New Roman"/>
                <w:color w:val="auto"/>
                <w:u w:val="none"/>
                <w:lang w:val="en-US" w:eastAsia="zh-CN"/>
              </w:rPr>
            </w:pPr>
          </w:p>
        </w:tc>
      </w:tr>
      <w:tr w14:paraId="412DB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Align w:val="center"/>
          </w:tcPr>
          <w:p w14:paraId="2BFF58D8">
            <w:pPr>
              <w:pStyle w:val="41"/>
              <w:rPr>
                <w:rFonts w:hint="default" w:ascii="Times New Roman" w:hAnsi="Times New Roman" w:cs="Times New Roman"/>
                <w:color w:val="auto"/>
                <w:u w:val="none"/>
              </w:rPr>
            </w:pPr>
            <w:r>
              <w:rPr>
                <w:rFonts w:hint="default" w:ascii="Times New Roman" w:hAnsi="Times New Roman" w:cs="Times New Roman"/>
                <w:color w:val="auto"/>
                <w:u w:val="none"/>
              </w:rPr>
              <w:t>辅助工程</w:t>
            </w:r>
          </w:p>
        </w:tc>
        <w:tc>
          <w:tcPr>
            <w:tcW w:w="965" w:type="pct"/>
            <w:vAlign w:val="center"/>
          </w:tcPr>
          <w:p w14:paraId="39054072">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办公区</w:t>
            </w:r>
          </w:p>
        </w:tc>
        <w:tc>
          <w:tcPr>
            <w:tcW w:w="2811" w:type="pct"/>
            <w:vAlign w:val="center"/>
          </w:tcPr>
          <w:p w14:paraId="1122B91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位于生产区南侧，建筑面积120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p>
        </w:tc>
        <w:tc>
          <w:tcPr>
            <w:tcW w:w="560" w:type="pct"/>
            <w:vAlign w:val="center"/>
          </w:tcPr>
          <w:p w14:paraId="7D137F8E">
            <w:pPr>
              <w:pStyle w:val="41"/>
              <w:rPr>
                <w:rFonts w:hint="default" w:ascii="Times New Roman" w:hAnsi="Times New Roman" w:cs="Times New Roman"/>
                <w:color w:val="auto"/>
                <w:u w:val="none"/>
              </w:rPr>
            </w:pPr>
            <w:r>
              <w:rPr>
                <w:rFonts w:hint="eastAsia" w:cs="Times New Roman"/>
                <w:color w:val="auto"/>
                <w:u w:val="none"/>
                <w:lang w:val="en-US" w:eastAsia="zh-CN"/>
              </w:rPr>
              <w:t>租赁</w:t>
            </w:r>
            <w:r>
              <w:rPr>
                <w:rFonts w:hint="default" w:ascii="Times New Roman" w:hAnsi="Times New Roman" w:cs="Times New Roman"/>
                <w:color w:val="auto"/>
                <w:u w:val="none"/>
              </w:rPr>
              <w:t>已建建筑</w:t>
            </w:r>
          </w:p>
        </w:tc>
      </w:tr>
      <w:tr w14:paraId="20DA8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662" w:type="pct"/>
            <w:vAlign w:val="center"/>
          </w:tcPr>
          <w:p w14:paraId="12232C20">
            <w:pPr>
              <w:pStyle w:val="41"/>
              <w:rPr>
                <w:rFonts w:hint="default" w:ascii="Times New Roman" w:hAnsi="Times New Roman" w:cs="Times New Roman"/>
                <w:color w:val="auto"/>
                <w:u w:val="none"/>
              </w:rPr>
            </w:pPr>
            <w:r>
              <w:rPr>
                <w:rFonts w:hint="default" w:ascii="Times New Roman" w:hAnsi="Times New Roman" w:cs="Times New Roman"/>
                <w:color w:val="auto"/>
                <w:u w:val="none"/>
              </w:rPr>
              <w:t>公用工程</w:t>
            </w:r>
          </w:p>
        </w:tc>
        <w:tc>
          <w:tcPr>
            <w:tcW w:w="965" w:type="pct"/>
            <w:vAlign w:val="center"/>
          </w:tcPr>
          <w:p w14:paraId="07DC9AEB">
            <w:pPr>
              <w:pStyle w:val="41"/>
              <w:rPr>
                <w:rFonts w:hint="default" w:ascii="Times New Roman" w:hAnsi="Times New Roman" w:cs="Times New Roman"/>
                <w:color w:val="auto"/>
                <w:u w:val="none"/>
              </w:rPr>
            </w:pPr>
            <w:r>
              <w:rPr>
                <w:rFonts w:hint="default" w:ascii="Times New Roman" w:hAnsi="Times New Roman" w:cs="Times New Roman"/>
                <w:color w:val="auto"/>
                <w:u w:val="none"/>
              </w:rPr>
              <w:t>排水工程</w:t>
            </w:r>
          </w:p>
        </w:tc>
        <w:tc>
          <w:tcPr>
            <w:tcW w:w="2811" w:type="pct"/>
            <w:vAlign w:val="center"/>
          </w:tcPr>
          <w:p w14:paraId="5A5843FC">
            <w:pPr>
              <w:pStyle w:val="41"/>
              <w:rPr>
                <w:rFonts w:hint="default" w:ascii="Times New Roman" w:hAnsi="Times New Roman" w:cs="Times New Roman"/>
                <w:color w:val="auto"/>
                <w:u w:val="none"/>
              </w:rPr>
            </w:pPr>
            <w:r>
              <w:rPr>
                <w:rFonts w:hint="default" w:ascii="Times New Roman" w:hAnsi="Times New Roman" w:cs="Times New Roman"/>
                <w:color w:val="auto"/>
                <w:u w:val="none"/>
              </w:rPr>
              <w:t>项目区内实行雨污分流、污污分流制。雨水排入市政雨水管网，经象骨港最终进入长江；生活污水经预处理达到相关标准要求后通过生活污水排放口（DW001）进入市政污水管网；含镍废水、含镍废液、含磷废水经单独收集处理后用泵打至中水回用处理系统；含油废液、碱废液经预处理与综合废水一并排入废水处理系统处理达标后，通过生产废水排放口（DW002）排入市政污水管网，进入湖南城陵矶临港产业新区污水处理厂处理达标后经象骨港汇入长江。</w:t>
            </w:r>
          </w:p>
        </w:tc>
        <w:tc>
          <w:tcPr>
            <w:tcW w:w="560" w:type="pct"/>
            <w:vAlign w:val="center"/>
          </w:tcPr>
          <w:p w14:paraId="253598EA">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5E12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restart"/>
            <w:vAlign w:val="center"/>
          </w:tcPr>
          <w:p w14:paraId="370CFBD5">
            <w:pPr>
              <w:pStyle w:val="41"/>
              <w:rPr>
                <w:rFonts w:hint="default" w:ascii="Times New Roman" w:hAnsi="Times New Roman" w:cs="Times New Roman"/>
                <w:color w:val="auto"/>
                <w:u w:val="none"/>
              </w:rPr>
            </w:pPr>
            <w:r>
              <w:rPr>
                <w:rFonts w:hint="default" w:ascii="Times New Roman" w:hAnsi="Times New Roman" w:cs="Times New Roman"/>
                <w:color w:val="auto"/>
                <w:u w:val="none"/>
              </w:rPr>
              <w:t>环保工程</w:t>
            </w:r>
          </w:p>
        </w:tc>
        <w:tc>
          <w:tcPr>
            <w:tcW w:w="965" w:type="pct"/>
            <w:vMerge w:val="restart"/>
            <w:vAlign w:val="center"/>
          </w:tcPr>
          <w:p w14:paraId="7D1BD4DE">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废水处理设施</w:t>
            </w:r>
          </w:p>
        </w:tc>
        <w:tc>
          <w:tcPr>
            <w:tcW w:w="2811" w:type="pct"/>
            <w:vAlign w:val="center"/>
          </w:tcPr>
          <w:p w14:paraId="2930FCE6">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生活污水：化粪池</w:t>
            </w:r>
            <w:r>
              <w:rPr>
                <w:rFonts w:hint="eastAsia" w:cs="Times New Roman"/>
                <w:color w:val="auto"/>
                <w:u w:val="none"/>
                <w:lang w:val="en-US" w:eastAsia="zh-CN"/>
              </w:rPr>
              <w:t>处理后排入市政污水管网</w:t>
            </w:r>
          </w:p>
        </w:tc>
        <w:tc>
          <w:tcPr>
            <w:tcW w:w="560" w:type="pct"/>
            <w:vAlign w:val="center"/>
          </w:tcPr>
          <w:p w14:paraId="03C6D065">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依托</w:t>
            </w:r>
            <w:r>
              <w:rPr>
                <w:rFonts w:hint="eastAsia" w:cs="Times New Roman"/>
                <w:color w:val="auto"/>
                <w:u w:val="none"/>
                <w:lang w:val="en-US" w:eastAsia="zh-CN"/>
              </w:rPr>
              <w:t>租赁化粪池</w:t>
            </w:r>
          </w:p>
        </w:tc>
      </w:tr>
      <w:tr w14:paraId="0221D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continue"/>
            <w:vAlign w:val="center"/>
          </w:tcPr>
          <w:p w14:paraId="65FA8DC3">
            <w:pPr>
              <w:pStyle w:val="41"/>
              <w:rPr>
                <w:rFonts w:hint="default" w:ascii="Times New Roman" w:hAnsi="Times New Roman" w:cs="Times New Roman"/>
                <w:color w:val="auto"/>
                <w:u w:val="none"/>
              </w:rPr>
            </w:pPr>
          </w:p>
        </w:tc>
        <w:tc>
          <w:tcPr>
            <w:tcW w:w="965" w:type="pct"/>
            <w:vMerge w:val="continue"/>
            <w:vAlign w:val="center"/>
          </w:tcPr>
          <w:p w14:paraId="5F665CEB">
            <w:pPr>
              <w:pStyle w:val="41"/>
              <w:rPr>
                <w:rFonts w:hint="default" w:ascii="Times New Roman" w:hAnsi="Times New Roman" w:cs="Times New Roman"/>
                <w:color w:val="auto"/>
                <w:u w:val="none"/>
              </w:rPr>
            </w:pPr>
          </w:p>
        </w:tc>
        <w:tc>
          <w:tcPr>
            <w:tcW w:w="2811" w:type="pct"/>
            <w:vAlign w:val="center"/>
          </w:tcPr>
          <w:p w14:paraId="57C0D215">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含镍废液、含铬</w:t>
            </w:r>
            <w:r>
              <w:rPr>
                <w:rFonts w:hint="eastAsia" w:cs="Times New Roman"/>
                <w:color w:val="auto"/>
                <w:u w:val="none"/>
                <w:lang w:val="en-US" w:eastAsia="zh-CN"/>
              </w:rPr>
              <w:t>废水</w:t>
            </w:r>
            <w:r>
              <w:rPr>
                <w:rFonts w:hint="default" w:ascii="Times New Roman" w:hAnsi="Times New Roman" w:cs="Times New Roman"/>
                <w:color w:val="auto"/>
                <w:u w:val="none"/>
              </w:rPr>
              <w:t>：分别经各自混凝沉淀处理系统处理后，在一起经MEE蒸发器处理，产生的蒸发液经冷凝后排入中水回用系统；含镍废液、含铬废水零排放</w:t>
            </w:r>
          </w:p>
        </w:tc>
        <w:tc>
          <w:tcPr>
            <w:tcW w:w="560" w:type="pct"/>
            <w:vAlign w:val="center"/>
          </w:tcPr>
          <w:p w14:paraId="083DD41B">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新建</w:t>
            </w:r>
          </w:p>
        </w:tc>
      </w:tr>
      <w:tr w14:paraId="5E382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continue"/>
            <w:vAlign w:val="center"/>
          </w:tcPr>
          <w:p w14:paraId="5BF8BFC0">
            <w:pPr>
              <w:pStyle w:val="41"/>
              <w:rPr>
                <w:rFonts w:hint="default" w:ascii="Times New Roman" w:hAnsi="Times New Roman" w:cs="Times New Roman"/>
                <w:color w:val="auto"/>
                <w:u w:val="none"/>
              </w:rPr>
            </w:pPr>
          </w:p>
        </w:tc>
        <w:tc>
          <w:tcPr>
            <w:tcW w:w="965" w:type="pct"/>
            <w:vMerge w:val="continue"/>
            <w:vAlign w:val="center"/>
          </w:tcPr>
          <w:p w14:paraId="4AAD50E7">
            <w:pPr>
              <w:pStyle w:val="41"/>
              <w:rPr>
                <w:rFonts w:hint="default" w:ascii="Times New Roman" w:hAnsi="Times New Roman" w:cs="Times New Roman"/>
                <w:color w:val="auto"/>
                <w:u w:val="none"/>
              </w:rPr>
            </w:pPr>
          </w:p>
        </w:tc>
        <w:tc>
          <w:tcPr>
            <w:tcW w:w="2811" w:type="pct"/>
            <w:vAlign w:val="center"/>
          </w:tcPr>
          <w:p w14:paraId="39C7B1FF">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含镍废水、含铬废水：分别经各自混凝沉淀处理系统处理后，处理后经砂滤+超滤+RO处理，后汇入含镍废液处理系统，含镍废水、含铬废水零排放</w:t>
            </w:r>
          </w:p>
        </w:tc>
        <w:tc>
          <w:tcPr>
            <w:tcW w:w="560" w:type="pct"/>
            <w:vAlign w:val="center"/>
          </w:tcPr>
          <w:p w14:paraId="33DFFED0">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新建</w:t>
            </w:r>
          </w:p>
        </w:tc>
      </w:tr>
      <w:tr w14:paraId="0FE39D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continue"/>
            <w:vAlign w:val="center"/>
          </w:tcPr>
          <w:p w14:paraId="56837F2A">
            <w:pPr>
              <w:pStyle w:val="41"/>
              <w:rPr>
                <w:rFonts w:hint="default" w:ascii="Times New Roman" w:hAnsi="Times New Roman" w:cs="Times New Roman"/>
                <w:color w:val="auto"/>
                <w:u w:val="none"/>
              </w:rPr>
            </w:pPr>
          </w:p>
        </w:tc>
        <w:tc>
          <w:tcPr>
            <w:tcW w:w="965" w:type="pct"/>
            <w:vMerge w:val="continue"/>
            <w:vAlign w:val="center"/>
          </w:tcPr>
          <w:p w14:paraId="0323D353">
            <w:pPr>
              <w:pStyle w:val="41"/>
              <w:rPr>
                <w:rFonts w:hint="default" w:ascii="Times New Roman" w:hAnsi="Times New Roman" w:cs="Times New Roman"/>
                <w:color w:val="auto"/>
                <w:u w:val="none"/>
              </w:rPr>
            </w:pPr>
          </w:p>
        </w:tc>
        <w:tc>
          <w:tcPr>
            <w:tcW w:w="2811" w:type="pct"/>
            <w:vAlign w:val="center"/>
          </w:tcPr>
          <w:p w14:paraId="577284E1">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含磷废水：采用蒸发浓缩工艺，冷凝水至化抛后道水洗槽，浓缩液委外</w:t>
            </w:r>
          </w:p>
        </w:tc>
        <w:tc>
          <w:tcPr>
            <w:tcW w:w="560" w:type="pct"/>
            <w:vAlign w:val="center"/>
          </w:tcPr>
          <w:p w14:paraId="5FDDAB46">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新建</w:t>
            </w:r>
          </w:p>
        </w:tc>
      </w:tr>
      <w:tr w14:paraId="62BFA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continue"/>
            <w:vAlign w:val="center"/>
          </w:tcPr>
          <w:p w14:paraId="447432AA">
            <w:pPr>
              <w:pStyle w:val="41"/>
              <w:rPr>
                <w:rFonts w:hint="default" w:ascii="Times New Roman" w:hAnsi="Times New Roman" w:cs="Times New Roman"/>
                <w:color w:val="auto"/>
                <w:u w:val="none"/>
              </w:rPr>
            </w:pPr>
          </w:p>
        </w:tc>
        <w:tc>
          <w:tcPr>
            <w:tcW w:w="965" w:type="pct"/>
            <w:vMerge w:val="continue"/>
            <w:vAlign w:val="center"/>
          </w:tcPr>
          <w:p w14:paraId="7E86B2F7">
            <w:pPr>
              <w:pStyle w:val="41"/>
              <w:rPr>
                <w:rFonts w:hint="default" w:ascii="Times New Roman" w:hAnsi="Times New Roman" w:cs="Times New Roman"/>
                <w:color w:val="auto"/>
                <w:u w:val="none"/>
              </w:rPr>
            </w:pPr>
          </w:p>
        </w:tc>
        <w:tc>
          <w:tcPr>
            <w:tcW w:w="2811" w:type="pct"/>
            <w:vAlign w:val="center"/>
          </w:tcPr>
          <w:p w14:paraId="26646CAD">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含油废水：隔油后，进入综合废水处理系统（化学沉淀预处理后接入生化系统达标排放）；综合废水处理规模处理规模为</w:t>
            </w:r>
            <w:r>
              <w:rPr>
                <w:rFonts w:hint="eastAsia" w:cs="Times New Roman"/>
                <w:color w:val="auto"/>
                <w:u w:val="none"/>
                <w:lang w:val="en-US" w:eastAsia="zh-CN"/>
              </w:rPr>
              <w:t>200</w:t>
            </w:r>
            <w:r>
              <w:rPr>
                <w:rFonts w:hint="default" w:ascii="Times New Roman" w:hAnsi="Times New Roman" w:cs="Times New Roman"/>
                <w:color w:val="auto"/>
                <w:u w:val="none"/>
              </w:rPr>
              <w:t>t/d</w:t>
            </w:r>
          </w:p>
        </w:tc>
        <w:tc>
          <w:tcPr>
            <w:tcW w:w="560" w:type="pct"/>
            <w:vMerge w:val="restart"/>
            <w:vAlign w:val="center"/>
          </w:tcPr>
          <w:p w14:paraId="4859B29D">
            <w:pPr>
              <w:pStyle w:val="41"/>
              <w:rPr>
                <w:rFonts w:hint="default" w:ascii="Times New Roman" w:hAnsi="Times New Roman" w:cs="Times New Roman"/>
                <w:color w:val="auto"/>
                <w:u w:val="none"/>
              </w:rPr>
            </w:pPr>
            <w:r>
              <w:rPr>
                <w:rFonts w:hint="eastAsia" w:cs="Times New Roman"/>
                <w:color w:val="auto"/>
                <w:u w:val="none"/>
                <w:lang w:val="en-US" w:eastAsia="zh-CN"/>
              </w:rPr>
              <w:t>新建</w:t>
            </w:r>
          </w:p>
        </w:tc>
      </w:tr>
      <w:tr w14:paraId="40B6B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continue"/>
            <w:vAlign w:val="center"/>
          </w:tcPr>
          <w:p w14:paraId="0C5E0762">
            <w:pPr>
              <w:pStyle w:val="41"/>
              <w:rPr>
                <w:rFonts w:hint="default" w:ascii="Times New Roman" w:hAnsi="Times New Roman" w:cs="Times New Roman"/>
                <w:color w:val="auto"/>
                <w:u w:val="none"/>
              </w:rPr>
            </w:pPr>
          </w:p>
        </w:tc>
        <w:tc>
          <w:tcPr>
            <w:tcW w:w="965" w:type="pct"/>
            <w:vMerge w:val="continue"/>
            <w:vAlign w:val="center"/>
          </w:tcPr>
          <w:p w14:paraId="4BE4B208">
            <w:pPr>
              <w:pStyle w:val="41"/>
              <w:rPr>
                <w:rFonts w:hint="default" w:ascii="Times New Roman" w:hAnsi="Times New Roman" w:cs="Times New Roman"/>
                <w:color w:val="auto"/>
                <w:u w:val="none"/>
              </w:rPr>
            </w:pPr>
          </w:p>
        </w:tc>
        <w:tc>
          <w:tcPr>
            <w:tcW w:w="2811" w:type="pct"/>
            <w:vAlign w:val="center"/>
          </w:tcPr>
          <w:p w14:paraId="069A2537">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碱废液：中和后，进入综合废水处理系统</w:t>
            </w:r>
          </w:p>
        </w:tc>
        <w:tc>
          <w:tcPr>
            <w:tcW w:w="560" w:type="pct"/>
            <w:vMerge w:val="continue"/>
            <w:vAlign w:val="center"/>
          </w:tcPr>
          <w:p w14:paraId="005B66D4">
            <w:pPr>
              <w:pStyle w:val="41"/>
              <w:rPr>
                <w:rFonts w:hint="default" w:ascii="Times New Roman" w:hAnsi="Times New Roman" w:cs="Times New Roman"/>
                <w:color w:val="auto"/>
                <w:u w:val="none"/>
              </w:rPr>
            </w:pPr>
          </w:p>
        </w:tc>
      </w:tr>
      <w:tr w14:paraId="1112EE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558" w:hRule="atLeast"/>
          <w:jc w:val="center"/>
        </w:trPr>
        <w:tc>
          <w:tcPr>
            <w:tcW w:w="662" w:type="pct"/>
            <w:vMerge w:val="continue"/>
            <w:vAlign w:val="center"/>
          </w:tcPr>
          <w:p w14:paraId="173D235E">
            <w:pPr>
              <w:pStyle w:val="41"/>
              <w:rPr>
                <w:rFonts w:hint="default" w:ascii="Times New Roman" w:hAnsi="Times New Roman" w:cs="Times New Roman"/>
                <w:color w:val="auto"/>
                <w:u w:val="none"/>
              </w:rPr>
            </w:pPr>
          </w:p>
        </w:tc>
        <w:tc>
          <w:tcPr>
            <w:tcW w:w="965" w:type="pct"/>
            <w:vMerge w:val="continue"/>
            <w:vAlign w:val="center"/>
          </w:tcPr>
          <w:p w14:paraId="4D084882">
            <w:pPr>
              <w:pStyle w:val="41"/>
              <w:rPr>
                <w:rFonts w:hint="default" w:ascii="Times New Roman" w:hAnsi="Times New Roman" w:cs="Times New Roman"/>
                <w:color w:val="auto"/>
                <w:u w:val="none"/>
              </w:rPr>
            </w:pPr>
          </w:p>
        </w:tc>
        <w:tc>
          <w:tcPr>
            <w:tcW w:w="2811" w:type="pct"/>
            <w:vAlign w:val="center"/>
          </w:tcPr>
          <w:p w14:paraId="31ECC5BF">
            <w:pPr>
              <w:pStyle w:val="41"/>
              <w:rPr>
                <w:rFonts w:hint="default" w:ascii="Times New Roman" w:hAnsi="Times New Roman" w:cs="Times New Roman"/>
                <w:color w:val="auto"/>
                <w:u w:val="none"/>
                <w:lang w:val="en-US"/>
              </w:rPr>
            </w:pPr>
            <w:r>
              <w:rPr>
                <w:rFonts w:hint="default" w:ascii="Times New Roman" w:hAnsi="Times New Roman" w:cs="Times New Roman"/>
                <w:color w:val="auto"/>
                <w:u w:val="none"/>
              </w:rPr>
              <w:t>综合废水：</w:t>
            </w:r>
            <w:r>
              <w:rPr>
                <w:rFonts w:hint="eastAsia" w:cs="Times New Roman"/>
                <w:color w:val="auto"/>
                <w:u w:val="none"/>
                <w:lang w:val="en-US" w:eastAsia="zh-CN"/>
              </w:rPr>
              <w:t>进入综合废水处理系统</w:t>
            </w:r>
          </w:p>
        </w:tc>
        <w:tc>
          <w:tcPr>
            <w:tcW w:w="560" w:type="pct"/>
            <w:vMerge w:val="continue"/>
            <w:vAlign w:val="center"/>
          </w:tcPr>
          <w:p w14:paraId="1DE569DC">
            <w:pPr>
              <w:pStyle w:val="41"/>
              <w:rPr>
                <w:rFonts w:hint="default" w:ascii="Times New Roman" w:hAnsi="Times New Roman" w:cs="Times New Roman"/>
                <w:color w:val="auto"/>
                <w:u w:val="none"/>
              </w:rPr>
            </w:pPr>
          </w:p>
        </w:tc>
      </w:tr>
      <w:tr w14:paraId="2FF97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69E63B5E">
            <w:pPr>
              <w:pStyle w:val="41"/>
              <w:rPr>
                <w:rFonts w:hint="default" w:ascii="Times New Roman" w:hAnsi="Times New Roman" w:cs="Times New Roman"/>
                <w:color w:val="auto"/>
                <w:u w:val="none"/>
              </w:rPr>
            </w:pPr>
          </w:p>
        </w:tc>
        <w:tc>
          <w:tcPr>
            <w:tcW w:w="965" w:type="pct"/>
            <w:vMerge w:val="restart"/>
            <w:vAlign w:val="center"/>
          </w:tcPr>
          <w:p w14:paraId="38920B67">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废气处理设施</w:t>
            </w:r>
          </w:p>
        </w:tc>
        <w:tc>
          <w:tcPr>
            <w:tcW w:w="2811" w:type="pct"/>
            <w:vAlign w:val="center"/>
          </w:tcPr>
          <w:p w14:paraId="5A948D74">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阳极氧化线生产过程中会产生酸性废气，采用两级碱性喷淋塔处理后，通过1根25.5m排气筒（DA0</w:t>
            </w:r>
            <w:r>
              <w:rPr>
                <w:rFonts w:hint="eastAsia" w:cs="Times New Roman"/>
                <w:color w:val="auto"/>
                <w:u w:val="none"/>
                <w:lang w:val="en-US" w:eastAsia="zh-CN"/>
              </w:rPr>
              <w:t>01</w:t>
            </w:r>
            <w:r>
              <w:rPr>
                <w:rFonts w:hint="default" w:ascii="Times New Roman" w:hAnsi="Times New Roman" w:cs="Times New Roman"/>
                <w:color w:val="auto"/>
                <w:u w:val="none"/>
              </w:rPr>
              <w:t>）排放</w:t>
            </w:r>
          </w:p>
        </w:tc>
        <w:tc>
          <w:tcPr>
            <w:tcW w:w="560" w:type="pct"/>
            <w:vAlign w:val="center"/>
          </w:tcPr>
          <w:p w14:paraId="35580F0E">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新建</w:t>
            </w:r>
          </w:p>
        </w:tc>
      </w:tr>
      <w:tr w14:paraId="77F872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4BCA6BF9">
            <w:pPr>
              <w:pStyle w:val="41"/>
              <w:rPr>
                <w:rFonts w:hint="default" w:ascii="Times New Roman" w:hAnsi="Times New Roman" w:cs="Times New Roman"/>
                <w:color w:val="auto"/>
                <w:u w:val="none"/>
              </w:rPr>
            </w:pPr>
          </w:p>
        </w:tc>
        <w:tc>
          <w:tcPr>
            <w:tcW w:w="965" w:type="pct"/>
            <w:vMerge w:val="continue"/>
            <w:vAlign w:val="center"/>
          </w:tcPr>
          <w:p w14:paraId="045F0C5D">
            <w:pPr>
              <w:pStyle w:val="41"/>
              <w:rPr>
                <w:rFonts w:hint="default" w:ascii="Times New Roman" w:hAnsi="Times New Roman" w:cs="Times New Roman"/>
                <w:color w:val="auto"/>
                <w:u w:val="none"/>
              </w:rPr>
            </w:pPr>
          </w:p>
        </w:tc>
        <w:tc>
          <w:tcPr>
            <w:tcW w:w="2811" w:type="pct"/>
            <w:vAlign w:val="center"/>
          </w:tcPr>
          <w:p w14:paraId="7CB7E679">
            <w:pPr>
              <w:pStyle w:val="41"/>
              <w:jc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铬酸雾</w:t>
            </w:r>
            <w:r>
              <w:rPr>
                <w:rFonts w:hint="default" w:ascii="Times New Roman" w:hAnsi="Times New Roman" w:cs="Times New Roman"/>
                <w:color w:val="auto"/>
                <w:u w:val="none"/>
              </w:rPr>
              <w:t>采用两级碱性喷淋塔处理后，通过1根25.5m排气筒（DA0</w:t>
            </w:r>
            <w:r>
              <w:rPr>
                <w:rFonts w:hint="eastAsia" w:cs="Times New Roman"/>
                <w:color w:val="auto"/>
                <w:u w:val="none"/>
                <w:lang w:val="en-US" w:eastAsia="zh-CN"/>
              </w:rPr>
              <w:t>02</w:t>
            </w:r>
            <w:r>
              <w:rPr>
                <w:rFonts w:hint="default" w:ascii="Times New Roman" w:hAnsi="Times New Roman" w:cs="Times New Roman"/>
                <w:color w:val="auto"/>
                <w:u w:val="none"/>
              </w:rPr>
              <w:t>）排放</w:t>
            </w:r>
          </w:p>
        </w:tc>
        <w:tc>
          <w:tcPr>
            <w:tcW w:w="560" w:type="pct"/>
            <w:vAlign w:val="center"/>
          </w:tcPr>
          <w:p w14:paraId="045ECC80">
            <w:pPr>
              <w:pStyle w:val="41"/>
              <w:rPr>
                <w:rFonts w:hint="eastAsia" w:cs="Times New Roman"/>
                <w:color w:val="auto"/>
                <w:u w:val="none"/>
                <w:lang w:val="en-US" w:eastAsia="zh-CN"/>
              </w:rPr>
            </w:pPr>
            <w:r>
              <w:rPr>
                <w:rFonts w:hint="eastAsia" w:cs="Times New Roman"/>
                <w:color w:val="auto"/>
                <w:u w:val="none"/>
                <w:lang w:val="en-US" w:eastAsia="zh-CN"/>
              </w:rPr>
              <w:t>新建</w:t>
            </w:r>
          </w:p>
        </w:tc>
      </w:tr>
      <w:tr w14:paraId="1E3EFA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11ACD379">
            <w:pPr>
              <w:pStyle w:val="41"/>
              <w:rPr>
                <w:rFonts w:hint="default" w:ascii="Times New Roman" w:hAnsi="Times New Roman" w:cs="Times New Roman"/>
                <w:color w:val="auto"/>
                <w:u w:val="none"/>
              </w:rPr>
            </w:pPr>
          </w:p>
        </w:tc>
        <w:tc>
          <w:tcPr>
            <w:tcW w:w="965" w:type="pct"/>
            <w:vAlign w:val="center"/>
          </w:tcPr>
          <w:p w14:paraId="3C2183FB">
            <w:pPr>
              <w:pStyle w:val="41"/>
              <w:rPr>
                <w:rFonts w:hint="default" w:ascii="Times New Roman" w:hAnsi="Times New Roman" w:cs="Times New Roman"/>
                <w:color w:val="auto"/>
                <w:u w:val="none"/>
              </w:rPr>
            </w:pPr>
            <w:r>
              <w:rPr>
                <w:rFonts w:hint="default" w:ascii="Times New Roman" w:hAnsi="Times New Roman" w:cs="Times New Roman"/>
                <w:color w:val="auto"/>
                <w:u w:val="none"/>
              </w:rPr>
              <w:t>噪声</w:t>
            </w:r>
          </w:p>
        </w:tc>
        <w:tc>
          <w:tcPr>
            <w:tcW w:w="2811" w:type="pct"/>
            <w:vAlign w:val="center"/>
          </w:tcPr>
          <w:p w14:paraId="709BF1D4">
            <w:pPr>
              <w:pStyle w:val="41"/>
              <w:rPr>
                <w:rFonts w:hint="default" w:ascii="Times New Roman" w:hAnsi="Times New Roman" w:cs="Times New Roman"/>
                <w:color w:val="auto"/>
                <w:u w:val="none"/>
              </w:rPr>
            </w:pPr>
            <w:r>
              <w:rPr>
                <w:rFonts w:hint="default" w:ascii="Times New Roman" w:hAnsi="Times New Roman" w:cs="Times New Roman"/>
                <w:color w:val="auto"/>
                <w:u w:val="none"/>
              </w:rPr>
              <w:t>隔声、减震垫、绿化降噪等</w:t>
            </w:r>
          </w:p>
        </w:tc>
        <w:tc>
          <w:tcPr>
            <w:tcW w:w="560" w:type="pct"/>
            <w:vAlign w:val="center"/>
          </w:tcPr>
          <w:p w14:paraId="71A7612C">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新建</w:t>
            </w:r>
          </w:p>
        </w:tc>
      </w:tr>
      <w:tr w14:paraId="68892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7B947E7D">
            <w:pPr>
              <w:pStyle w:val="41"/>
              <w:rPr>
                <w:rFonts w:hint="default" w:ascii="Times New Roman" w:hAnsi="Times New Roman" w:cs="Times New Roman"/>
                <w:color w:val="auto"/>
                <w:u w:val="none"/>
              </w:rPr>
            </w:pPr>
          </w:p>
        </w:tc>
        <w:tc>
          <w:tcPr>
            <w:tcW w:w="965" w:type="pct"/>
            <w:vAlign w:val="center"/>
          </w:tcPr>
          <w:p w14:paraId="0298C854">
            <w:pPr>
              <w:pStyle w:val="41"/>
              <w:rPr>
                <w:rFonts w:hint="default" w:ascii="Times New Roman" w:hAnsi="Times New Roman" w:cs="Times New Roman"/>
                <w:color w:val="auto"/>
                <w:u w:val="none"/>
              </w:rPr>
            </w:pPr>
            <w:r>
              <w:rPr>
                <w:rFonts w:hint="default" w:ascii="Times New Roman" w:hAnsi="Times New Roman" w:cs="Times New Roman"/>
                <w:color w:val="auto"/>
                <w:u w:val="none"/>
              </w:rPr>
              <w:t>固废处理</w:t>
            </w:r>
          </w:p>
        </w:tc>
        <w:tc>
          <w:tcPr>
            <w:tcW w:w="2811" w:type="pct"/>
            <w:vAlign w:val="center"/>
          </w:tcPr>
          <w:p w14:paraId="458D71F9">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生活垃圾：统一交环卫部门处理一般工业固体废物：厂房内建设一般工业固体废物暂存间（</w:t>
            </w:r>
            <w:r>
              <w:rPr>
                <w:rFonts w:hint="eastAsia" w:cs="Times New Roman"/>
                <w:color w:val="auto"/>
                <w:u w:val="none"/>
                <w:lang w:val="en-US" w:eastAsia="zh-CN"/>
              </w:rPr>
              <w:t>5</w:t>
            </w:r>
            <w:r>
              <w:rPr>
                <w:rFonts w:hint="default" w:ascii="Times New Roman" w:hAnsi="Times New Roman" w:cs="Times New Roman"/>
                <w:color w:val="auto"/>
                <w:u w:val="none"/>
              </w:rPr>
              <w:t>0m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）危险废物：厂区建设一个危险废物暂存间（100m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w:t>
            </w:r>
          </w:p>
        </w:tc>
        <w:tc>
          <w:tcPr>
            <w:tcW w:w="560" w:type="pct"/>
            <w:vAlign w:val="center"/>
          </w:tcPr>
          <w:p w14:paraId="032516C1">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新建</w:t>
            </w:r>
          </w:p>
        </w:tc>
      </w:tr>
      <w:tr w14:paraId="307D2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restart"/>
            <w:vAlign w:val="center"/>
          </w:tcPr>
          <w:p w14:paraId="57606780">
            <w:pPr>
              <w:pStyle w:val="41"/>
              <w:rPr>
                <w:rFonts w:hint="default" w:ascii="Times New Roman" w:hAnsi="Times New Roman" w:cs="Times New Roman"/>
                <w:color w:val="auto"/>
                <w:u w:val="none"/>
              </w:rPr>
            </w:pPr>
            <w:r>
              <w:rPr>
                <w:rFonts w:hint="default" w:ascii="Times New Roman" w:hAnsi="Times New Roman" w:cs="Times New Roman"/>
                <w:color w:val="auto"/>
                <w:u w:val="none"/>
              </w:rPr>
              <w:t>依托工程</w:t>
            </w:r>
          </w:p>
        </w:tc>
        <w:tc>
          <w:tcPr>
            <w:tcW w:w="965" w:type="pct"/>
            <w:vAlign w:val="center"/>
          </w:tcPr>
          <w:p w14:paraId="6DB943F5">
            <w:pPr>
              <w:pStyle w:val="41"/>
              <w:rPr>
                <w:rFonts w:hint="default" w:ascii="Times New Roman" w:hAnsi="Times New Roman" w:cs="Times New Roman"/>
                <w:color w:val="auto"/>
                <w:u w:val="none"/>
              </w:rPr>
            </w:pPr>
            <w:r>
              <w:rPr>
                <w:rFonts w:hint="default" w:ascii="Times New Roman" w:hAnsi="Times New Roman" w:cs="Times New Roman"/>
                <w:color w:val="auto"/>
                <w:u w:val="none"/>
              </w:rPr>
              <w:t>供水工程</w:t>
            </w:r>
          </w:p>
        </w:tc>
        <w:tc>
          <w:tcPr>
            <w:tcW w:w="2811" w:type="pct"/>
            <w:vAlign w:val="center"/>
          </w:tcPr>
          <w:p w14:paraId="2DE79CDB">
            <w:pPr>
              <w:pStyle w:val="41"/>
              <w:rPr>
                <w:rFonts w:hint="default" w:ascii="Times New Roman" w:hAnsi="Times New Roman" w:cs="Times New Roman"/>
                <w:color w:val="auto"/>
                <w:u w:val="none"/>
              </w:rPr>
            </w:pPr>
            <w:r>
              <w:rPr>
                <w:rFonts w:hint="default" w:ascii="Times New Roman" w:hAnsi="Times New Roman" w:cs="Times New Roman"/>
                <w:color w:val="auto"/>
                <w:u w:val="none"/>
              </w:rPr>
              <w:t>依托新金宝高端制造基地供水管网</w:t>
            </w:r>
          </w:p>
        </w:tc>
        <w:tc>
          <w:tcPr>
            <w:tcW w:w="560" w:type="pct"/>
            <w:vAlign w:val="center"/>
          </w:tcPr>
          <w:p w14:paraId="4DB55F99">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依托</w:t>
            </w:r>
          </w:p>
        </w:tc>
      </w:tr>
      <w:tr w14:paraId="08A25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662" w:type="pct"/>
            <w:vMerge w:val="continue"/>
            <w:vAlign w:val="center"/>
          </w:tcPr>
          <w:p w14:paraId="0644F46D">
            <w:pPr>
              <w:pStyle w:val="41"/>
              <w:rPr>
                <w:rFonts w:hint="default" w:ascii="Times New Roman" w:hAnsi="Times New Roman" w:cs="Times New Roman"/>
                <w:color w:val="auto"/>
                <w:u w:val="none"/>
              </w:rPr>
            </w:pPr>
          </w:p>
        </w:tc>
        <w:tc>
          <w:tcPr>
            <w:tcW w:w="965" w:type="pct"/>
            <w:vAlign w:val="center"/>
          </w:tcPr>
          <w:p w14:paraId="7E46390C">
            <w:pPr>
              <w:pStyle w:val="41"/>
              <w:rPr>
                <w:rFonts w:hint="default" w:ascii="Times New Roman" w:hAnsi="Times New Roman" w:cs="Times New Roman"/>
                <w:color w:val="auto"/>
                <w:u w:val="none"/>
              </w:rPr>
            </w:pPr>
            <w:r>
              <w:rPr>
                <w:rFonts w:hint="default" w:ascii="Times New Roman" w:hAnsi="Times New Roman" w:cs="Times New Roman"/>
                <w:color w:val="auto"/>
                <w:u w:val="none"/>
              </w:rPr>
              <w:t>供电工程</w:t>
            </w:r>
          </w:p>
        </w:tc>
        <w:tc>
          <w:tcPr>
            <w:tcW w:w="2811" w:type="pct"/>
            <w:vAlign w:val="center"/>
          </w:tcPr>
          <w:p w14:paraId="0AB4A0CA">
            <w:pPr>
              <w:pStyle w:val="41"/>
              <w:rPr>
                <w:rFonts w:hint="default" w:ascii="Times New Roman" w:hAnsi="Times New Roman" w:cs="Times New Roman"/>
                <w:color w:val="auto"/>
                <w:u w:val="none"/>
              </w:rPr>
            </w:pPr>
            <w:r>
              <w:rPr>
                <w:rFonts w:hint="default" w:ascii="Times New Roman" w:hAnsi="Times New Roman" w:cs="Times New Roman"/>
                <w:color w:val="auto"/>
                <w:u w:val="none"/>
              </w:rPr>
              <w:t>依托新金宝高端制造基地供电系统</w:t>
            </w:r>
          </w:p>
        </w:tc>
        <w:tc>
          <w:tcPr>
            <w:tcW w:w="560" w:type="pct"/>
            <w:vAlign w:val="center"/>
          </w:tcPr>
          <w:p w14:paraId="6DF8241C">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依托</w:t>
            </w:r>
          </w:p>
        </w:tc>
      </w:tr>
    </w:tbl>
    <w:p w14:paraId="424D3A73">
      <w:pPr>
        <w:pStyle w:val="5"/>
        <w:rPr>
          <w:rFonts w:hint="default" w:ascii="Times New Roman" w:hAnsi="Times New Roman" w:cs="Times New Roman"/>
          <w:b/>
          <w:bCs/>
          <w:color w:val="auto"/>
          <w:u w:val="none"/>
        </w:rPr>
      </w:pPr>
      <w:r>
        <w:rPr>
          <w:rFonts w:hint="default" w:ascii="Times New Roman" w:hAnsi="Times New Roman" w:cs="Times New Roman"/>
          <w:b/>
          <w:bCs/>
          <w:color w:val="auto"/>
          <w:u w:val="none"/>
        </w:rPr>
        <w:t>生产规模及产品方案</w:t>
      </w:r>
    </w:p>
    <w:p w14:paraId="736D2B0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bookmarkStart w:id="58" w:name="_Toc209237360"/>
      <w:r>
        <w:rPr>
          <w:rFonts w:hint="default" w:ascii="Times New Roman" w:hAnsi="Times New Roman" w:cs="Times New Roman"/>
          <w:b/>
          <w:bCs/>
          <w:color w:val="auto"/>
          <w:u w:val="none"/>
        </w:rPr>
        <w:t>表3.2</w:t>
      </w:r>
      <w:r>
        <w:rPr>
          <w:rFonts w:hint="eastAsia" w:cs="Times New Roman"/>
          <w:b/>
          <w:bCs/>
          <w:color w:val="auto"/>
          <w:u w:val="none"/>
          <w:lang w:val="en-US" w:eastAsia="zh-CN"/>
        </w:rPr>
        <w:t xml:space="preserve">-2 </w:t>
      </w:r>
      <w:r>
        <w:rPr>
          <w:rFonts w:hint="default" w:ascii="Times New Roman" w:hAnsi="Times New Roman" w:cs="Times New Roman"/>
          <w:b/>
          <w:bCs/>
          <w:color w:val="auto"/>
          <w:u w:val="none"/>
        </w:rPr>
        <w:t>项目产品表面处理规模</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839"/>
        <w:gridCol w:w="2848"/>
        <w:gridCol w:w="2977"/>
      </w:tblGrid>
      <w:tr w14:paraId="67341A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986" w:type="pct"/>
            <w:tcBorders>
              <w:tl2br w:val="nil"/>
              <w:tr2bl w:val="nil"/>
            </w:tcBorders>
            <w:vAlign w:val="center"/>
          </w:tcPr>
          <w:p w14:paraId="32E780FF">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产品名称</w:t>
            </w:r>
          </w:p>
        </w:tc>
        <w:tc>
          <w:tcPr>
            <w:tcW w:w="1473" w:type="pct"/>
            <w:tcBorders>
              <w:tl2br w:val="nil"/>
              <w:tr2bl w:val="nil"/>
            </w:tcBorders>
            <w:vAlign w:val="center"/>
          </w:tcPr>
          <w:p w14:paraId="1F5CDDB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材质</w:t>
            </w:r>
          </w:p>
        </w:tc>
        <w:tc>
          <w:tcPr>
            <w:tcW w:w="1540" w:type="pct"/>
            <w:tcBorders>
              <w:tl2br w:val="nil"/>
              <w:tr2bl w:val="nil"/>
            </w:tcBorders>
            <w:vAlign w:val="center"/>
          </w:tcPr>
          <w:p w14:paraId="11357883">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阳极氧化量（万件/年）</w:t>
            </w:r>
          </w:p>
        </w:tc>
      </w:tr>
      <w:tr w14:paraId="785499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986" w:type="pct"/>
            <w:tcBorders>
              <w:tl2br w:val="nil"/>
              <w:tr2bl w:val="nil"/>
            </w:tcBorders>
            <w:vAlign w:val="center"/>
          </w:tcPr>
          <w:p w14:paraId="33BDFAA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铝合金零部件</w:t>
            </w:r>
          </w:p>
        </w:tc>
        <w:tc>
          <w:tcPr>
            <w:tcW w:w="1473" w:type="pct"/>
            <w:tcBorders>
              <w:tl2br w:val="nil"/>
              <w:tr2bl w:val="nil"/>
            </w:tcBorders>
            <w:vAlign w:val="center"/>
          </w:tcPr>
          <w:p w14:paraId="3AB13FB7">
            <w:pPr>
              <w:pStyle w:val="39"/>
              <w:rPr>
                <w:rFonts w:hint="default" w:ascii="Times New Roman" w:hAnsi="Times New Roman" w:cs="Times New Roman"/>
                <w:color w:val="auto"/>
                <w:u w:val="none"/>
              </w:rPr>
            </w:pPr>
            <w:r>
              <w:rPr>
                <w:rFonts w:hint="default" w:ascii="Times New Roman" w:hAnsi="Times New Roman" w:cs="Times New Roman"/>
                <w:color w:val="auto"/>
                <w:u w:val="none"/>
              </w:rPr>
              <w:t>铝合金</w:t>
            </w:r>
          </w:p>
        </w:tc>
        <w:tc>
          <w:tcPr>
            <w:tcW w:w="1540" w:type="pct"/>
            <w:tcBorders>
              <w:tl2br w:val="nil"/>
              <w:tr2bl w:val="nil"/>
            </w:tcBorders>
            <w:vAlign w:val="center"/>
          </w:tcPr>
          <w:p w14:paraId="17013B44">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120</w:t>
            </w:r>
          </w:p>
        </w:tc>
      </w:tr>
    </w:tbl>
    <w:p w14:paraId="31B5E582">
      <w:pPr>
        <w:pStyle w:val="5"/>
        <w:rPr>
          <w:rFonts w:hint="default" w:ascii="Times New Roman" w:hAnsi="Times New Roman" w:cs="Times New Roman"/>
          <w:color w:val="auto"/>
          <w:u w:val="none"/>
        </w:rPr>
      </w:pPr>
      <w:r>
        <w:rPr>
          <w:rFonts w:hint="default" w:ascii="Times New Roman" w:hAnsi="Times New Roman" w:cs="Times New Roman"/>
          <w:color w:val="auto"/>
          <w:u w:val="none"/>
        </w:rPr>
        <w:t>公用及辅助工程</w:t>
      </w:r>
      <w:bookmarkEnd w:id="58"/>
    </w:p>
    <w:p w14:paraId="5357C99D">
      <w:pPr>
        <w:pStyle w:val="6"/>
        <w:ind w:left="-480" w:firstLine="480" w:firstLineChars="0"/>
        <w:rPr>
          <w:rFonts w:hint="default" w:ascii="Times New Roman" w:hAnsi="Times New Roman" w:cs="Times New Roman"/>
          <w:color w:val="auto"/>
          <w:u w:val="none"/>
        </w:rPr>
      </w:pPr>
      <w:r>
        <w:rPr>
          <w:rFonts w:hint="default" w:ascii="Times New Roman" w:hAnsi="Times New Roman" w:cs="Times New Roman"/>
          <w:color w:val="auto"/>
          <w:u w:val="none"/>
        </w:rPr>
        <w:t>供水</w:t>
      </w:r>
    </w:p>
    <w:p w14:paraId="17BAE9B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供水水源为市政自来水水源，供水管道依托新金宝高端制造基地供水管网，作为生活、生产、消防、绿化等用水。市政干管接管点压力0.35Mpa，其水质、水压符合国家生活饮用水标准。项目厂区内室外用水、消防给水管网布置成环状，区内给水系统采用管网直接供水。</w:t>
      </w:r>
    </w:p>
    <w:p w14:paraId="4E72A8A3">
      <w:pPr>
        <w:pStyle w:val="6"/>
        <w:ind w:left="-480" w:firstLine="480" w:firstLineChars="0"/>
        <w:rPr>
          <w:rFonts w:hint="default" w:ascii="Times New Roman" w:hAnsi="Times New Roman" w:cs="Times New Roman"/>
          <w:color w:val="auto"/>
          <w:u w:val="none"/>
        </w:rPr>
      </w:pPr>
      <w:r>
        <w:rPr>
          <w:rFonts w:hint="default" w:ascii="Times New Roman" w:hAnsi="Times New Roman" w:cs="Times New Roman"/>
          <w:color w:val="auto"/>
          <w:u w:val="none"/>
        </w:rPr>
        <w:t>排水</w:t>
      </w:r>
    </w:p>
    <w:p w14:paraId="60A8BC1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执行的雨污分流、污污分流制，雨水通过厂区内雨水管网收集后进入市政雨水管网，排入象骨港，汇入长江；生产废水分类收集处理，含镍废水、含铬废水、含镍废液、含磷废水经单独收集处理后用泵打至中水回用处理系统；含油废液、碱废液经预处理与综合废水一并排入综合废水处理系统处理达标后排入市政污水管网，经城陵矶临港产业新区污水处理厂处理达《城镇污水处理厂污染物排放标准》（GB18918-2002）及修改单中一级A标准，经象骨港汇入长江；生活污水</w:t>
      </w:r>
      <w:r>
        <w:rPr>
          <w:rFonts w:hint="eastAsia" w:ascii="Times New Roman" w:hAnsi="Times New Roman" w:cs="Times New Roman"/>
          <w:color w:val="auto"/>
          <w:u w:val="none"/>
          <w:lang w:val="en-US" w:eastAsia="zh-CN"/>
        </w:rPr>
        <w:t>依托租赁</w:t>
      </w:r>
      <w:r>
        <w:rPr>
          <w:rFonts w:hint="default" w:ascii="Times New Roman" w:hAnsi="Times New Roman" w:cs="Times New Roman"/>
          <w:color w:val="auto"/>
          <w:u w:val="none"/>
        </w:rPr>
        <w:t>化粪池（预处理后达《污水综合排放标准》(GB8978-1996)表4的三级标准后及污水处理厂的纳管协议标准，排入市政污水管网，经城陵矶临港产业新区污水处理厂处理达《城镇污水处理厂污染物排放标准》（GB18918-2002）及修改单中一级A标准，经象骨港汇入长江。</w:t>
      </w:r>
    </w:p>
    <w:p w14:paraId="7EF55D2D">
      <w:pPr>
        <w:pStyle w:val="6"/>
        <w:ind w:left="-480" w:firstLine="480" w:firstLineChars="0"/>
        <w:rPr>
          <w:rFonts w:hint="default" w:ascii="Times New Roman" w:hAnsi="Times New Roman" w:cs="Times New Roman"/>
          <w:color w:val="auto"/>
          <w:u w:val="none"/>
        </w:rPr>
      </w:pPr>
      <w:r>
        <w:rPr>
          <w:rFonts w:hint="default" w:ascii="Times New Roman" w:hAnsi="Times New Roman" w:cs="Times New Roman"/>
          <w:color w:val="auto"/>
          <w:u w:val="none"/>
        </w:rPr>
        <w:t>供电</w:t>
      </w:r>
    </w:p>
    <w:p w14:paraId="3C580C3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本项目主要以电能为生产能源，电能消耗量为345万kwh/a，均由国家电网供配。</w:t>
      </w:r>
    </w:p>
    <w:p w14:paraId="1AAAD600">
      <w:pPr>
        <w:pStyle w:val="6"/>
        <w:ind w:left="-480" w:firstLine="480" w:firstLineChars="0"/>
        <w:rPr>
          <w:rFonts w:hint="default" w:ascii="Times New Roman" w:hAnsi="Times New Roman" w:cs="Times New Roman"/>
          <w:color w:val="auto"/>
          <w:u w:val="none"/>
        </w:rPr>
      </w:pPr>
      <w:r>
        <w:rPr>
          <w:rFonts w:hint="default" w:ascii="Times New Roman" w:hAnsi="Times New Roman" w:cs="Times New Roman"/>
          <w:color w:val="auto"/>
          <w:u w:val="none"/>
        </w:rPr>
        <w:t>供热</w:t>
      </w:r>
    </w:p>
    <w:p w14:paraId="5E0495E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本项目采用园区集中供热，目前园区工业供热源主要为华能岳阳电厂，已建成供热主支线管网30公里，园区内工业热用户由供热管线提供。</w:t>
      </w:r>
    </w:p>
    <w:p w14:paraId="69ACC2E6">
      <w:pPr>
        <w:pStyle w:val="4"/>
        <w:ind w:left="0" w:leftChars="0" w:firstLineChars="0"/>
        <w:rPr>
          <w:rFonts w:hint="default" w:ascii="Times New Roman" w:hAnsi="Times New Roman" w:cs="Times New Roman"/>
          <w:color w:val="auto"/>
          <w:u w:val="none"/>
        </w:rPr>
      </w:pPr>
      <w:bookmarkStart w:id="59" w:name="_Toc490915900"/>
      <w:bookmarkStart w:id="60" w:name="_Toc14302"/>
      <w:bookmarkStart w:id="61" w:name="_Toc3558"/>
      <w:bookmarkStart w:id="62" w:name="_Toc209237362"/>
      <w:bookmarkStart w:id="63" w:name="_Toc350783555"/>
      <w:r>
        <w:rPr>
          <w:rFonts w:hint="default" w:ascii="Times New Roman" w:hAnsi="Times New Roman" w:cs="Times New Roman"/>
          <w:color w:val="auto"/>
          <w:u w:val="none"/>
        </w:rPr>
        <w:t>主要原辅材料</w:t>
      </w:r>
      <w:bookmarkEnd w:id="59"/>
      <w:bookmarkEnd w:id="60"/>
      <w:bookmarkEnd w:id="61"/>
      <w:bookmarkEnd w:id="62"/>
      <w:bookmarkEnd w:id="63"/>
    </w:p>
    <w:p w14:paraId="173FCCB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建设项目生产过程中的原辅材料消耗量见下表。</w:t>
      </w:r>
    </w:p>
    <w:p w14:paraId="2890A66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表3.3-1    主要原辅料及能耗消耗表</w:t>
      </w:r>
    </w:p>
    <w:tbl>
      <w:tblPr>
        <w:tblStyle w:val="5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1574"/>
        <w:gridCol w:w="1387"/>
        <w:gridCol w:w="1387"/>
        <w:gridCol w:w="1472"/>
        <w:gridCol w:w="1549"/>
        <w:gridCol w:w="1549"/>
      </w:tblGrid>
      <w:tr w14:paraId="75CA0D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31EFA72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814" w:type="pct"/>
            <w:tcBorders>
              <w:tl2br w:val="nil"/>
              <w:tr2bl w:val="nil"/>
            </w:tcBorders>
            <w:vAlign w:val="center"/>
          </w:tcPr>
          <w:p w14:paraId="7F640DA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717" w:type="pct"/>
            <w:tcBorders>
              <w:tl2br w:val="nil"/>
              <w:tr2bl w:val="nil"/>
            </w:tcBorders>
            <w:vAlign w:val="center"/>
          </w:tcPr>
          <w:p w14:paraId="3515457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年用量t/a</w:t>
            </w:r>
          </w:p>
        </w:tc>
        <w:tc>
          <w:tcPr>
            <w:tcW w:w="717" w:type="pct"/>
            <w:tcBorders>
              <w:tl2br w:val="nil"/>
              <w:tr2bl w:val="nil"/>
            </w:tcBorders>
            <w:vAlign w:val="center"/>
          </w:tcPr>
          <w:p w14:paraId="04D68A2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最大存储量t</w:t>
            </w:r>
          </w:p>
        </w:tc>
        <w:tc>
          <w:tcPr>
            <w:tcW w:w="761" w:type="pct"/>
            <w:tcBorders>
              <w:tl2br w:val="nil"/>
              <w:tr2bl w:val="nil"/>
            </w:tcBorders>
            <w:vAlign w:val="center"/>
          </w:tcPr>
          <w:p w14:paraId="637643A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存储位置</w:t>
            </w:r>
          </w:p>
        </w:tc>
        <w:tc>
          <w:tcPr>
            <w:tcW w:w="801" w:type="pct"/>
            <w:tcBorders>
              <w:tl2br w:val="nil"/>
              <w:tr2bl w:val="nil"/>
            </w:tcBorders>
            <w:vAlign w:val="center"/>
          </w:tcPr>
          <w:p w14:paraId="1865F87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储存方式</w:t>
            </w:r>
          </w:p>
        </w:tc>
        <w:tc>
          <w:tcPr>
            <w:tcW w:w="801" w:type="pct"/>
            <w:tcBorders>
              <w:tl2br w:val="nil"/>
              <w:tr2bl w:val="nil"/>
            </w:tcBorders>
            <w:vAlign w:val="center"/>
          </w:tcPr>
          <w:p w14:paraId="2B4B251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来源</w:t>
            </w:r>
          </w:p>
        </w:tc>
      </w:tr>
      <w:tr w14:paraId="24EE6F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017EB9C4">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814" w:type="pct"/>
            <w:tcBorders>
              <w:tl2br w:val="nil"/>
              <w:tr2bl w:val="nil"/>
            </w:tcBorders>
            <w:vAlign w:val="center"/>
          </w:tcPr>
          <w:p w14:paraId="5C60D64D">
            <w:pPr>
              <w:pStyle w:val="57"/>
              <w:rPr>
                <w:rFonts w:hint="default" w:ascii="Times New Roman" w:hAnsi="Times New Roman" w:cs="Times New Roman"/>
                <w:color w:val="auto"/>
                <w:u w:val="none"/>
              </w:rPr>
            </w:pPr>
            <w:r>
              <w:rPr>
                <w:rFonts w:hint="default" w:ascii="Times New Roman" w:hAnsi="Times New Roman" w:cs="Times New Roman"/>
                <w:color w:val="auto"/>
                <w:u w:val="none"/>
              </w:rPr>
              <w:t>铝型材</w:t>
            </w:r>
          </w:p>
        </w:tc>
        <w:tc>
          <w:tcPr>
            <w:tcW w:w="717" w:type="pct"/>
            <w:tcBorders>
              <w:tl2br w:val="nil"/>
              <w:tr2bl w:val="nil"/>
            </w:tcBorders>
            <w:vAlign w:val="center"/>
          </w:tcPr>
          <w:p w14:paraId="5ABB0251">
            <w:pPr>
              <w:pStyle w:val="41"/>
              <w:rPr>
                <w:rFonts w:hint="default" w:ascii="Times New Roman" w:hAnsi="Times New Roman" w:cs="Times New Roman"/>
                <w:color w:val="auto"/>
                <w:u w:val="none"/>
              </w:rPr>
            </w:pPr>
            <w:r>
              <w:rPr>
                <w:rFonts w:hint="default" w:ascii="Times New Roman" w:hAnsi="Times New Roman" w:cs="Times New Roman"/>
                <w:color w:val="auto"/>
                <w:u w:val="none"/>
              </w:rPr>
              <w:t>9806</w:t>
            </w:r>
          </w:p>
        </w:tc>
        <w:tc>
          <w:tcPr>
            <w:tcW w:w="717" w:type="pct"/>
            <w:tcBorders>
              <w:tl2br w:val="nil"/>
              <w:tr2bl w:val="nil"/>
            </w:tcBorders>
            <w:vAlign w:val="center"/>
          </w:tcPr>
          <w:p w14:paraId="78368CF8">
            <w:pPr>
              <w:pStyle w:val="41"/>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761" w:type="pct"/>
            <w:tcBorders>
              <w:tl2br w:val="nil"/>
              <w:tr2bl w:val="nil"/>
            </w:tcBorders>
            <w:vAlign w:val="center"/>
          </w:tcPr>
          <w:p w14:paraId="1966D94A">
            <w:pPr>
              <w:pStyle w:val="41"/>
              <w:rPr>
                <w:rFonts w:hint="default" w:ascii="Times New Roman" w:hAnsi="Times New Roman" w:cs="Times New Roman"/>
                <w:color w:val="auto"/>
                <w:u w:val="none"/>
              </w:rPr>
            </w:pPr>
            <w:r>
              <w:rPr>
                <w:rFonts w:hint="default" w:ascii="Times New Roman" w:hAnsi="Times New Roman" w:cs="Times New Roman"/>
                <w:color w:val="auto"/>
                <w:u w:val="none"/>
              </w:rPr>
              <w:t>原料库</w:t>
            </w:r>
          </w:p>
        </w:tc>
        <w:tc>
          <w:tcPr>
            <w:tcW w:w="801" w:type="pct"/>
            <w:tcBorders>
              <w:tl2br w:val="nil"/>
              <w:tr2bl w:val="nil"/>
            </w:tcBorders>
            <w:vAlign w:val="center"/>
          </w:tcPr>
          <w:p w14:paraId="5634BDEE">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01" w:type="pct"/>
            <w:tcBorders>
              <w:tl2br w:val="nil"/>
              <w:tr2bl w:val="nil"/>
            </w:tcBorders>
            <w:vAlign w:val="center"/>
          </w:tcPr>
          <w:p w14:paraId="6BBFCB2D">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3C381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13BA1148">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814" w:type="pct"/>
            <w:tcBorders>
              <w:tl2br w:val="nil"/>
              <w:tr2bl w:val="nil"/>
            </w:tcBorders>
            <w:vAlign w:val="center"/>
          </w:tcPr>
          <w:p w14:paraId="482D970F">
            <w:pPr>
              <w:pStyle w:val="57"/>
              <w:rPr>
                <w:rFonts w:hint="default" w:ascii="Times New Roman" w:hAnsi="Times New Roman" w:cs="Times New Roman"/>
                <w:color w:val="auto"/>
                <w:u w:val="none"/>
              </w:rPr>
            </w:pPr>
            <w:r>
              <w:rPr>
                <w:rFonts w:hint="default" w:ascii="Times New Roman" w:hAnsi="Times New Roman" w:cs="Times New Roman"/>
                <w:color w:val="auto"/>
                <w:u w:val="none"/>
              </w:rPr>
              <w:t>铝除油剂</w:t>
            </w:r>
          </w:p>
        </w:tc>
        <w:tc>
          <w:tcPr>
            <w:tcW w:w="717" w:type="pct"/>
            <w:tcBorders>
              <w:tl2br w:val="nil"/>
              <w:tr2bl w:val="nil"/>
            </w:tcBorders>
            <w:vAlign w:val="center"/>
          </w:tcPr>
          <w:p w14:paraId="42392C77">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18</w:t>
            </w:r>
          </w:p>
        </w:tc>
        <w:tc>
          <w:tcPr>
            <w:tcW w:w="717" w:type="pct"/>
            <w:tcBorders>
              <w:tl2br w:val="nil"/>
              <w:tr2bl w:val="nil"/>
            </w:tcBorders>
            <w:vAlign w:val="center"/>
          </w:tcPr>
          <w:p w14:paraId="5B50A3F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15.3</w:t>
            </w:r>
          </w:p>
        </w:tc>
        <w:tc>
          <w:tcPr>
            <w:tcW w:w="761" w:type="pct"/>
            <w:tcBorders>
              <w:tl2br w:val="nil"/>
              <w:tr2bl w:val="nil"/>
            </w:tcBorders>
            <w:vAlign w:val="center"/>
          </w:tcPr>
          <w:p w14:paraId="346124AC">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13A3A1E2">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桶装</w:t>
            </w:r>
          </w:p>
        </w:tc>
        <w:tc>
          <w:tcPr>
            <w:tcW w:w="801" w:type="pct"/>
            <w:tcBorders>
              <w:tl2br w:val="nil"/>
              <w:tr2bl w:val="nil"/>
            </w:tcBorders>
            <w:vAlign w:val="center"/>
          </w:tcPr>
          <w:p w14:paraId="5CC4FE93">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285D31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5ACEA15E">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814" w:type="pct"/>
            <w:tcBorders>
              <w:tl2br w:val="nil"/>
              <w:tr2bl w:val="nil"/>
            </w:tcBorders>
            <w:vAlign w:val="center"/>
          </w:tcPr>
          <w:p w14:paraId="6655ABC0">
            <w:pPr>
              <w:pStyle w:val="57"/>
              <w:rPr>
                <w:rFonts w:hint="default" w:ascii="Times New Roman" w:hAnsi="Times New Roman" w:cs="Times New Roman"/>
                <w:color w:val="auto"/>
                <w:u w:val="none"/>
              </w:rPr>
            </w:pPr>
            <w:r>
              <w:rPr>
                <w:rFonts w:hint="default" w:ascii="Times New Roman" w:hAnsi="Times New Roman" w:cs="Times New Roman"/>
                <w:color w:val="auto"/>
                <w:u w:val="none"/>
              </w:rPr>
              <w:t>片碱99%</w:t>
            </w:r>
          </w:p>
        </w:tc>
        <w:tc>
          <w:tcPr>
            <w:tcW w:w="717" w:type="pct"/>
            <w:tcBorders>
              <w:tl2br w:val="nil"/>
              <w:tr2bl w:val="nil"/>
            </w:tcBorders>
            <w:vAlign w:val="center"/>
          </w:tcPr>
          <w:p w14:paraId="70DCB1C7">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30.2</w:t>
            </w:r>
          </w:p>
        </w:tc>
        <w:tc>
          <w:tcPr>
            <w:tcW w:w="717" w:type="pct"/>
            <w:tcBorders>
              <w:tl2br w:val="nil"/>
              <w:tr2bl w:val="nil"/>
            </w:tcBorders>
            <w:vAlign w:val="center"/>
          </w:tcPr>
          <w:p w14:paraId="59AE8BF7">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2</w:t>
            </w:r>
          </w:p>
        </w:tc>
        <w:tc>
          <w:tcPr>
            <w:tcW w:w="761" w:type="pct"/>
            <w:tcBorders>
              <w:tl2br w:val="nil"/>
              <w:tr2bl w:val="nil"/>
            </w:tcBorders>
            <w:vAlign w:val="center"/>
          </w:tcPr>
          <w:p w14:paraId="7D100988">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7F37CD87">
            <w:pPr>
              <w:pStyle w:val="41"/>
              <w:rPr>
                <w:rFonts w:hint="default" w:ascii="Times New Roman" w:hAnsi="Times New Roman" w:cs="Times New Roman"/>
                <w:color w:val="auto"/>
                <w:u w:val="none"/>
              </w:rPr>
            </w:pPr>
            <w:r>
              <w:rPr>
                <w:rFonts w:hint="default" w:ascii="Times New Roman" w:hAnsi="Times New Roman" w:cs="Times New Roman"/>
                <w:color w:val="auto"/>
                <w:u w:val="none"/>
              </w:rPr>
              <w:t>袋装</w:t>
            </w:r>
          </w:p>
        </w:tc>
        <w:tc>
          <w:tcPr>
            <w:tcW w:w="801" w:type="pct"/>
            <w:tcBorders>
              <w:tl2br w:val="nil"/>
              <w:tr2bl w:val="nil"/>
            </w:tcBorders>
            <w:vAlign w:val="center"/>
          </w:tcPr>
          <w:p w14:paraId="0B635DA4">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31B364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27461EDC">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814" w:type="pct"/>
            <w:tcBorders>
              <w:tl2br w:val="nil"/>
              <w:tr2bl w:val="nil"/>
            </w:tcBorders>
            <w:vAlign w:val="center"/>
          </w:tcPr>
          <w:p w14:paraId="19D91B4C">
            <w:pPr>
              <w:pStyle w:val="57"/>
              <w:rPr>
                <w:rFonts w:hint="default" w:ascii="Times New Roman" w:hAnsi="Times New Roman" w:cs="Times New Roman"/>
                <w:color w:val="auto"/>
                <w:u w:val="none"/>
              </w:rPr>
            </w:pPr>
            <w:r>
              <w:rPr>
                <w:rFonts w:hint="default" w:ascii="Times New Roman" w:hAnsi="Times New Roman" w:cs="Times New Roman"/>
                <w:color w:val="auto"/>
                <w:u w:val="none"/>
              </w:rPr>
              <w:t>无氮中和剂</w:t>
            </w:r>
          </w:p>
        </w:tc>
        <w:tc>
          <w:tcPr>
            <w:tcW w:w="717" w:type="pct"/>
            <w:tcBorders>
              <w:tl2br w:val="nil"/>
              <w:tr2bl w:val="nil"/>
            </w:tcBorders>
            <w:vAlign w:val="center"/>
          </w:tcPr>
          <w:p w14:paraId="33EF6A85">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70.2</w:t>
            </w:r>
          </w:p>
        </w:tc>
        <w:tc>
          <w:tcPr>
            <w:tcW w:w="717" w:type="pct"/>
            <w:tcBorders>
              <w:tl2br w:val="nil"/>
              <w:tr2bl w:val="nil"/>
            </w:tcBorders>
            <w:vAlign w:val="center"/>
          </w:tcPr>
          <w:p w14:paraId="79AB94B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w:t>
            </w:r>
          </w:p>
        </w:tc>
        <w:tc>
          <w:tcPr>
            <w:tcW w:w="761" w:type="pct"/>
            <w:tcBorders>
              <w:tl2br w:val="nil"/>
              <w:tr2bl w:val="nil"/>
            </w:tcBorders>
            <w:vAlign w:val="center"/>
          </w:tcPr>
          <w:p w14:paraId="054E8422">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5C784FC5">
            <w:pPr>
              <w:pStyle w:val="41"/>
              <w:rPr>
                <w:rFonts w:hint="default" w:ascii="Times New Roman" w:hAnsi="Times New Roman" w:cs="Times New Roman"/>
                <w:color w:val="auto"/>
                <w:u w:val="none"/>
              </w:rPr>
            </w:pPr>
            <w:r>
              <w:rPr>
                <w:rFonts w:hint="default" w:ascii="Times New Roman" w:hAnsi="Times New Roman" w:cs="Times New Roman"/>
                <w:color w:val="auto"/>
                <w:u w:val="none"/>
              </w:rPr>
              <w:t>袋装</w:t>
            </w:r>
          </w:p>
        </w:tc>
        <w:tc>
          <w:tcPr>
            <w:tcW w:w="801" w:type="pct"/>
            <w:tcBorders>
              <w:tl2br w:val="nil"/>
              <w:tr2bl w:val="nil"/>
            </w:tcBorders>
            <w:vAlign w:val="center"/>
          </w:tcPr>
          <w:p w14:paraId="73B38301">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4F213A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40731C0D">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814" w:type="pct"/>
            <w:tcBorders>
              <w:tl2br w:val="nil"/>
              <w:tr2bl w:val="nil"/>
            </w:tcBorders>
            <w:vAlign w:val="center"/>
          </w:tcPr>
          <w:p w14:paraId="06A6693C">
            <w:pPr>
              <w:pStyle w:val="57"/>
              <w:rPr>
                <w:rFonts w:hint="default" w:ascii="Times New Roman" w:hAnsi="Times New Roman" w:cs="Times New Roman"/>
                <w:color w:val="auto"/>
                <w:u w:val="none"/>
              </w:rPr>
            </w:pPr>
            <w:r>
              <w:rPr>
                <w:rFonts w:hint="default" w:ascii="Times New Roman" w:hAnsi="Times New Roman" w:cs="Times New Roman"/>
                <w:color w:val="auto"/>
                <w:u w:val="none"/>
              </w:rPr>
              <w:t>硫酸CP98%</w:t>
            </w:r>
          </w:p>
        </w:tc>
        <w:tc>
          <w:tcPr>
            <w:tcW w:w="717" w:type="pct"/>
            <w:tcBorders>
              <w:tl2br w:val="nil"/>
              <w:tr2bl w:val="nil"/>
            </w:tcBorders>
            <w:vAlign w:val="center"/>
          </w:tcPr>
          <w:p w14:paraId="5EA468C6">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97.2</w:t>
            </w:r>
          </w:p>
        </w:tc>
        <w:tc>
          <w:tcPr>
            <w:tcW w:w="717" w:type="pct"/>
            <w:tcBorders>
              <w:tl2br w:val="nil"/>
              <w:tr2bl w:val="nil"/>
            </w:tcBorders>
            <w:vAlign w:val="center"/>
          </w:tcPr>
          <w:p w14:paraId="63FA30DB">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w:t>
            </w:r>
          </w:p>
        </w:tc>
        <w:tc>
          <w:tcPr>
            <w:tcW w:w="761" w:type="pct"/>
            <w:tcBorders>
              <w:tl2br w:val="nil"/>
              <w:tr2bl w:val="nil"/>
            </w:tcBorders>
            <w:vAlign w:val="center"/>
          </w:tcPr>
          <w:p w14:paraId="6F53177E">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25FC3B45">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塑料罐装</w:t>
            </w:r>
          </w:p>
        </w:tc>
        <w:tc>
          <w:tcPr>
            <w:tcW w:w="801" w:type="pct"/>
            <w:tcBorders>
              <w:tl2br w:val="nil"/>
              <w:tr2bl w:val="nil"/>
            </w:tcBorders>
            <w:vAlign w:val="center"/>
          </w:tcPr>
          <w:p w14:paraId="5555A50F">
            <w:pPr>
              <w:pStyle w:val="41"/>
              <w:rPr>
                <w:rFonts w:hint="default" w:ascii="Times New Roman" w:hAnsi="Times New Roman" w:cs="Times New Roman"/>
                <w:color w:val="auto"/>
                <w:u w:val="none"/>
              </w:rPr>
            </w:pPr>
            <w:r>
              <w:rPr>
                <w:rFonts w:hint="default" w:ascii="Times New Roman" w:hAnsi="Times New Roman" w:cs="Times New Roman"/>
                <w:color w:val="auto"/>
                <w:u w:val="none"/>
              </w:rPr>
              <w:t>罐车运至厂区内</w:t>
            </w:r>
          </w:p>
        </w:tc>
      </w:tr>
      <w:tr w14:paraId="22B765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3AD7F5E1">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814" w:type="pct"/>
            <w:tcBorders>
              <w:tl2br w:val="nil"/>
              <w:tr2bl w:val="nil"/>
            </w:tcBorders>
            <w:vAlign w:val="center"/>
          </w:tcPr>
          <w:p w14:paraId="05F1D982">
            <w:pPr>
              <w:pStyle w:val="57"/>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重铬酸钾</w:t>
            </w:r>
          </w:p>
        </w:tc>
        <w:tc>
          <w:tcPr>
            <w:tcW w:w="717" w:type="pct"/>
            <w:tcBorders>
              <w:tl2br w:val="nil"/>
              <w:tr2bl w:val="nil"/>
            </w:tcBorders>
            <w:vAlign w:val="center"/>
          </w:tcPr>
          <w:p w14:paraId="293A6CAD">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18.81</w:t>
            </w:r>
          </w:p>
        </w:tc>
        <w:tc>
          <w:tcPr>
            <w:tcW w:w="717" w:type="pct"/>
            <w:tcBorders>
              <w:tl2br w:val="nil"/>
              <w:tr2bl w:val="nil"/>
            </w:tcBorders>
            <w:vAlign w:val="center"/>
          </w:tcPr>
          <w:p w14:paraId="37B1E469">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1</w:t>
            </w:r>
          </w:p>
        </w:tc>
        <w:tc>
          <w:tcPr>
            <w:tcW w:w="761" w:type="pct"/>
            <w:tcBorders>
              <w:tl2br w:val="nil"/>
              <w:tr2bl w:val="nil"/>
            </w:tcBorders>
            <w:vAlign w:val="center"/>
          </w:tcPr>
          <w:p w14:paraId="6F6B7068">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37913D0C">
            <w:pPr>
              <w:pStyle w:val="41"/>
              <w:rPr>
                <w:rFonts w:hint="default" w:ascii="Times New Roman" w:hAnsi="Times New Roman" w:cs="Times New Roman"/>
                <w:color w:val="auto"/>
                <w:u w:val="none"/>
              </w:rPr>
            </w:pPr>
            <w:r>
              <w:rPr>
                <w:rFonts w:hint="default" w:ascii="Times New Roman" w:hAnsi="Times New Roman" w:cs="Times New Roman"/>
                <w:color w:val="auto"/>
                <w:u w:val="none"/>
              </w:rPr>
              <w:t>桶装</w:t>
            </w:r>
          </w:p>
        </w:tc>
        <w:tc>
          <w:tcPr>
            <w:tcW w:w="801" w:type="pct"/>
            <w:tcBorders>
              <w:tl2br w:val="nil"/>
              <w:tr2bl w:val="nil"/>
            </w:tcBorders>
            <w:vAlign w:val="center"/>
          </w:tcPr>
          <w:p w14:paraId="1878055B">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0BFF61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3D56F4DE">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814" w:type="pct"/>
            <w:tcBorders>
              <w:tl2br w:val="nil"/>
              <w:tr2bl w:val="nil"/>
            </w:tcBorders>
            <w:vAlign w:val="center"/>
          </w:tcPr>
          <w:p w14:paraId="2560BD46">
            <w:pPr>
              <w:pStyle w:val="57"/>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中温封孔剂</w:t>
            </w:r>
          </w:p>
        </w:tc>
        <w:tc>
          <w:tcPr>
            <w:tcW w:w="717" w:type="pct"/>
            <w:tcBorders>
              <w:tl2br w:val="nil"/>
              <w:tr2bl w:val="nil"/>
            </w:tcBorders>
            <w:vAlign w:val="center"/>
          </w:tcPr>
          <w:p w14:paraId="3AA8A207">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18.4</w:t>
            </w:r>
          </w:p>
        </w:tc>
        <w:tc>
          <w:tcPr>
            <w:tcW w:w="717" w:type="pct"/>
            <w:tcBorders>
              <w:tl2br w:val="nil"/>
              <w:tr2bl w:val="nil"/>
            </w:tcBorders>
            <w:vAlign w:val="center"/>
          </w:tcPr>
          <w:p w14:paraId="14AF8E29">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2</w:t>
            </w:r>
          </w:p>
        </w:tc>
        <w:tc>
          <w:tcPr>
            <w:tcW w:w="761" w:type="pct"/>
            <w:tcBorders>
              <w:tl2br w:val="nil"/>
              <w:tr2bl w:val="nil"/>
            </w:tcBorders>
            <w:vAlign w:val="center"/>
          </w:tcPr>
          <w:p w14:paraId="5B38D009">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1C652786">
            <w:pPr>
              <w:pStyle w:val="41"/>
              <w:rPr>
                <w:rFonts w:hint="default" w:ascii="Times New Roman" w:hAnsi="Times New Roman" w:cs="Times New Roman"/>
                <w:color w:val="auto"/>
                <w:u w:val="none"/>
              </w:rPr>
            </w:pPr>
            <w:r>
              <w:rPr>
                <w:rFonts w:hint="default" w:ascii="Times New Roman" w:hAnsi="Times New Roman" w:cs="Times New Roman"/>
                <w:color w:val="auto"/>
                <w:u w:val="none"/>
              </w:rPr>
              <w:t>塑料罐装</w:t>
            </w:r>
          </w:p>
        </w:tc>
        <w:tc>
          <w:tcPr>
            <w:tcW w:w="801" w:type="pct"/>
            <w:tcBorders>
              <w:tl2br w:val="nil"/>
              <w:tr2bl w:val="nil"/>
            </w:tcBorders>
            <w:vAlign w:val="center"/>
          </w:tcPr>
          <w:p w14:paraId="62D6A382">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17F0ED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57C0A571">
            <w:pPr>
              <w:pStyle w:val="41"/>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814" w:type="pct"/>
            <w:tcBorders>
              <w:tl2br w:val="nil"/>
              <w:tr2bl w:val="nil"/>
            </w:tcBorders>
            <w:vAlign w:val="center"/>
          </w:tcPr>
          <w:p w14:paraId="70C31B35">
            <w:pPr>
              <w:pStyle w:val="57"/>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黑色染料</w:t>
            </w:r>
          </w:p>
        </w:tc>
        <w:tc>
          <w:tcPr>
            <w:tcW w:w="717" w:type="pct"/>
            <w:tcBorders>
              <w:tl2br w:val="nil"/>
              <w:tr2bl w:val="nil"/>
            </w:tcBorders>
            <w:vAlign w:val="center"/>
          </w:tcPr>
          <w:p w14:paraId="243131B2">
            <w:pPr>
              <w:pStyle w:val="57"/>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u w:val="none"/>
                <w:lang w:val="en-US" w:eastAsia="zh-CN"/>
              </w:rPr>
              <w:t>0.72</w:t>
            </w:r>
          </w:p>
        </w:tc>
        <w:tc>
          <w:tcPr>
            <w:tcW w:w="717" w:type="pct"/>
            <w:tcBorders>
              <w:tl2br w:val="nil"/>
              <w:tr2bl w:val="nil"/>
            </w:tcBorders>
            <w:vAlign w:val="center"/>
          </w:tcPr>
          <w:p w14:paraId="38542F5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0.1</w:t>
            </w:r>
          </w:p>
        </w:tc>
        <w:tc>
          <w:tcPr>
            <w:tcW w:w="761" w:type="pct"/>
            <w:tcBorders>
              <w:tl2br w:val="nil"/>
              <w:tr2bl w:val="nil"/>
            </w:tcBorders>
            <w:vAlign w:val="center"/>
          </w:tcPr>
          <w:p w14:paraId="2B400F16">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0490CDFC">
            <w:pPr>
              <w:pStyle w:val="41"/>
              <w:rPr>
                <w:rFonts w:hint="default" w:ascii="Times New Roman" w:hAnsi="Times New Roman" w:cs="Times New Roman"/>
                <w:color w:val="auto"/>
                <w:u w:val="none"/>
              </w:rPr>
            </w:pPr>
            <w:r>
              <w:rPr>
                <w:rFonts w:hint="default" w:ascii="Times New Roman" w:hAnsi="Times New Roman" w:cs="Times New Roman"/>
                <w:color w:val="auto"/>
                <w:u w:val="none"/>
              </w:rPr>
              <w:t>袋装</w:t>
            </w:r>
          </w:p>
        </w:tc>
        <w:tc>
          <w:tcPr>
            <w:tcW w:w="801" w:type="pct"/>
            <w:tcBorders>
              <w:tl2br w:val="nil"/>
              <w:tr2bl w:val="nil"/>
            </w:tcBorders>
            <w:vAlign w:val="center"/>
          </w:tcPr>
          <w:p w14:paraId="60315182">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7AA9CD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2FF64848">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814" w:type="pct"/>
            <w:tcBorders>
              <w:tl2br w:val="nil"/>
              <w:tr2bl w:val="nil"/>
            </w:tcBorders>
            <w:vAlign w:val="center"/>
          </w:tcPr>
          <w:p w14:paraId="2FCEA830">
            <w:pPr>
              <w:pStyle w:val="57"/>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表调剂</w:t>
            </w:r>
          </w:p>
        </w:tc>
        <w:tc>
          <w:tcPr>
            <w:tcW w:w="717" w:type="pct"/>
            <w:tcBorders>
              <w:tl2br w:val="nil"/>
              <w:tr2bl w:val="nil"/>
            </w:tcBorders>
            <w:vAlign w:val="center"/>
          </w:tcPr>
          <w:p w14:paraId="6226685D">
            <w:pPr>
              <w:pStyle w:val="57"/>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val="en-US" w:eastAsia="zh-CN"/>
              </w:rPr>
              <w:t>1</w:t>
            </w:r>
          </w:p>
        </w:tc>
        <w:tc>
          <w:tcPr>
            <w:tcW w:w="717" w:type="pct"/>
            <w:tcBorders>
              <w:tl2br w:val="nil"/>
              <w:tr2bl w:val="nil"/>
            </w:tcBorders>
            <w:vAlign w:val="center"/>
          </w:tcPr>
          <w:p w14:paraId="2564153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0.2</w:t>
            </w:r>
          </w:p>
        </w:tc>
        <w:tc>
          <w:tcPr>
            <w:tcW w:w="761" w:type="pct"/>
            <w:tcBorders>
              <w:tl2br w:val="nil"/>
              <w:tr2bl w:val="nil"/>
            </w:tcBorders>
            <w:vAlign w:val="center"/>
          </w:tcPr>
          <w:p w14:paraId="74BA229C">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11574DAC">
            <w:pPr>
              <w:pStyle w:val="41"/>
              <w:rPr>
                <w:rFonts w:hint="default" w:ascii="Times New Roman" w:hAnsi="Times New Roman" w:cs="Times New Roman"/>
                <w:color w:val="auto"/>
                <w:u w:val="none"/>
              </w:rPr>
            </w:pPr>
            <w:r>
              <w:rPr>
                <w:rFonts w:hint="default" w:ascii="Times New Roman" w:hAnsi="Times New Roman" w:cs="Times New Roman"/>
                <w:color w:val="auto"/>
                <w:u w:val="none"/>
              </w:rPr>
              <w:t>塑料罐装</w:t>
            </w:r>
          </w:p>
        </w:tc>
        <w:tc>
          <w:tcPr>
            <w:tcW w:w="801" w:type="pct"/>
            <w:tcBorders>
              <w:tl2br w:val="nil"/>
              <w:tr2bl w:val="nil"/>
            </w:tcBorders>
            <w:vAlign w:val="center"/>
          </w:tcPr>
          <w:p w14:paraId="2D416DBC">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43937B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6D22B5F6">
            <w:pPr>
              <w:pStyle w:val="41"/>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814" w:type="pct"/>
            <w:tcBorders>
              <w:tl2br w:val="nil"/>
              <w:tr2bl w:val="nil"/>
            </w:tcBorders>
            <w:vAlign w:val="center"/>
          </w:tcPr>
          <w:p w14:paraId="15B95863">
            <w:pPr>
              <w:pStyle w:val="57"/>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化抛剂</w:t>
            </w:r>
          </w:p>
        </w:tc>
        <w:tc>
          <w:tcPr>
            <w:tcW w:w="717" w:type="pct"/>
            <w:tcBorders>
              <w:tl2br w:val="nil"/>
              <w:tr2bl w:val="nil"/>
            </w:tcBorders>
            <w:vAlign w:val="center"/>
          </w:tcPr>
          <w:p w14:paraId="438DA6B2">
            <w:pPr>
              <w:pStyle w:val="57"/>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val="en-US" w:eastAsia="zh-CN"/>
              </w:rPr>
              <w:t>2</w:t>
            </w:r>
          </w:p>
        </w:tc>
        <w:tc>
          <w:tcPr>
            <w:tcW w:w="717" w:type="pct"/>
            <w:tcBorders>
              <w:tl2br w:val="nil"/>
              <w:tr2bl w:val="nil"/>
            </w:tcBorders>
            <w:vAlign w:val="center"/>
          </w:tcPr>
          <w:p w14:paraId="3880DE1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0.2</w:t>
            </w:r>
          </w:p>
        </w:tc>
        <w:tc>
          <w:tcPr>
            <w:tcW w:w="761" w:type="pct"/>
            <w:tcBorders>
              <w:tl2br w:val="nil"/>
              <w:tr2bl w:val="nil"/>
            </w:tcBorders>
            <w:vAlign w:val="center"/>
          </w:tcPr>
          <w:p w14:paraId="1E5270BB">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0598180D">
            <w:pPr>
              <w:pStyle w:val="41"/>
              <w:rPr>
                <w:rFonts w:hint="default" w:ascii="Times New Roman" w:hAnsi="Times New Roman" w:cs="Times New Roman"/>
                <w:color w:val="auto"/>
                <w:u w:val="none"/>
              </w:rPr>
            </w:pPr>
            <w:r>
              <w:rPr>
                <w:rFonts w:hint="default" w:ascii="Times New Roman" w:hAnsi="Times New Roman" w:cs="Times New Roman"/>
                <w:color w:val="auto"/>
                <w:u w:val="none"/>
              </w:rPr>
              <w:t>桶装</w:t>
            </w:r>
          </w:p>
        </w:tc>
        <w:tc>
          <w:tcPr>
            <w:tcW w:w="801" w:type="pct"/>
            <w:tcBorders>
              <w:tl2br w:val="nil"/>
              <w:tr2bl w:val="nil"/>
            </w:tcBorders>
            <w:vAlign w:val="center"/>
          </w:tcPr>
          <w:p w14:paraId="3DE5B2C3">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0AE92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184FF3C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13</w:t>
            </w:r>
          </w:p>
        </w:tc>
        <w:tc>
          <w:tcPr>
            <w:tcW w:w="814" w:type="pct"/>
            <w:tcBorders>
              <w:tl2br w:val="nil"/>
              <w:tr2bl w:val="nil"/>
            </w:tcBorders>
            <w:vAlign w:val="center"/>
          </w:tcPr>
          <w:p w14:paraId="189A7092">
            <w:pPr>
              <w:pStyle w:val="41"/>
              <w:rPr>
                <w:rFonts w:hint="default" w:ascii="Times New Roman" w:hAnsi="Times New Roman" w:cs="Times New Roman"/>
                <w:color w:val="auto"/>
                <w:u w:val="none"/>
              </w:rPr>
            </w:pPr>
            <w:r>
              <w:rPr>
                <w:rFonts w:hint="default" w:ascii="Times New Roman" w:hAnsi="Times New Roman" w:cs="Times New Roman"/>
                <w:color w:val="auto"/>
                <w:u w:val="none"/>
              </w:rPr>
              <w:t>润滑油</w:t>
            </w:r>
          </w:p>
        </w:tc>
        <w:tc>
          <w:tcPr>
            <w:tcW w:w="717" w:type="pct"/>
            <w:tcBorders>
              <w:tl2br w:val="nil"/>
              <w:tr2bl w:val="nil"/>
            </w:tcBorders>
            <w:vAlign w:val="center"/>
          </w:tcPr>
          <w:p w14:paraId="7AF60CD4">
            <w:pPr>
              <w:pStyle w:val="41"/>
              <w:rPr>
                <w:rFonts w:hint="default" w:ascii="Times New Roman" w:hAnsi="Times New Roman" w:cs="Times New Roman"/>
                <w:color w:val="auto"/>
                <w:u w:val="none"/>
              </w:rPr>
            </w:pPr>
            <w:r>
              <w:rPr>
                <w:rFonts w:hint="eastAsia" w:cs="Times New Roman"/>
                <w:color w:val="auto"/>
                <w:u w:val="none"/>
                <w:lang w:val="en-US" w:eastAsia="zh-CN"/>
              </w:rPr>
              <w:t>0.5</w:t>
            </w:r>
          </w:p>
        </w:tc>
        <w:tc>
          <w:tcPr>
            <w:tcW w:w="717" w:type="pct"/>
            <w:tcBorders>
              <w:tl2br w:val="nil"/>
              <w:tr2bl w:val="nil"/>
            </w:tcBorders>
            <w:vAlign w:val="center"/>
          </w:tcPr>
          <w:p w14:paraId="5108DB5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0.2</w:t>
            </w:r>
          </w:p>
        </w:tc>
        <w:tc>
          <w:tcPr>
            <w:tcW w:w="761" w:type="pct"/>
            <w:tcBorders>
              <w:tl2br w:val="nil"/>
              <w:tr2bl w:val="nil"/>
            </w:tcBorders>
            <w:vAlign w:val="center"/>
          </w:tcPr>
          <w:p w14:paraId="3FB0C089">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801" w:type="pct"/>
            <w:tcBorders>
              <w:tl2br w:val="nil"/>
              <w:tr2bl w:val="nil"/>
            </w:tcBorders>
            <w:vAlign w:val="center"/>
          </w:tcPr>
          <w:p w14:paraId="460DC643">
            <w:pPr>
              <w:pStyle w:val="41"/>
              <w:rPr>
                <w:rFonts w:hint="default" w:ascii="Times New Roman" w:hAnsi="Times New Roman" w:cs="Times New Roman"/>
                <w:color w:val="auto"/>
                <w:u w:val="none"/>
              </w:rPr>
            </w:pPr>
            <w:r>
              <w:rPr>
                <w:rFonts w:hint="default" w:ascii="Times New Roman" w:hAnsi="Times New Roman" w:cs="Times New Roman"/>
                <w:color w:val="auto"/>
                <w:u w:val="none"/>
              </w:rPr>
              <w:t>桶装</w:t>
            </w:r>
          </w:p>
        </w:tc>
        <w:tc>
          <w:tcPr>
            <w:tcW w:w="801" w:type="pct"/>
            <w:tcBorders>
              <w:tl2br w:val="nil"/>
              <w:tr2bl w:val="nil"/>
            </w:tcBorders>
            <w:vAlign w:val="center"/>
          </w:tcPr>
          <w:p w14:paraId="6BC481DF">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0C3A55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112AD1DC">
            <w:pPr>
              <w:pStyle w:val="41"/>
              <w:rPr>
                <w:rFonts w:hint="default" w:cs="Times New Roman"/>
                <w:color w:val="auto"/>
                <w:u w:val="none"/>
                <w:lang w:val="en-US" w:eastAsia="zh-CN"/>
              </w:rPr>
            </w:pPr>
            <w:r>
              <w:rPr>
                <w:rFonts w:hint="eastAsia" w:cs="Times New Roman"/>
                <w:color w:val="auto"/>
                <w:u w:val="none"/>
                <w:lang w:val="en-US" w:eastAsia="zh-CN"/>
              </w:rPr>
              <w:t>14</w:t>
            </w:r>
          </w:p>
        </w:tc>
        <w:tc>
          <w:tcPr>
            <w:tcW w:w="1574" w:type="dxa"/>
            <w:tcBorders>
              <w:tl2br w:val="nil"/>
              <w:tr2bl w:val="nil"/>
            </w:tcBorders>
            <w:vAlign w:val="center"/>
          </w:tcPr>
          <w:p w14:paraId="07EA6420">
            <w:pPr>
              <w:pStyle w:val="41"/>
              <w:rPr>
                <w:rFonts w:hint="default" w:ascii="Times New Roman" w:hAnsi="Times New Roman" w:cs="Times New Roman"/>
                <w:color w:val="auto"/>
                <w:u w:val="none"/>
              </w:rPr>
            </w:pPr>
            <w:r>
              <w:rPr>
                <w:rFonts w:hint="eastAsia"/>
                <w:color w:val="auto"/>
              </w:rPr>
              <w:t>硝酸</w:t>
            </w:r>
          </w:p>
        </w:tc>
        <w:tc>
          <w:tcPr>
            <w:tcW w:w="1387" w:type="dxa"/>
            <w:tcBorders>
              <w:tl2br w:val="nil"/>
              <w:tr2bl w:val="nil"/>
            </w:tcBorders>
            <w:vAlign w:val="center"/>
          </w:tcPr>
          <w:p w14:paraId="7EFD3B78">
            <w:pPr>
              <w:pStyle w:val="41"/>
              <w:rPr>
                <w:rFonts w:hint="eastAsia" w:cs="Times New Roman"/>
                <w:color w:val="auto"/>
                <w:u w:val="none"/>
                <w:lang w:val="en-US" w:eastAsia="zh-CN"/>
              </w:rPr>
            </w:pPr>
            <w:r>
              <w:rPr>
                <w:rFonts w:hint="eastAsia"/>
                <w:color w:val="auto"/>
              </w:rPr>
              <w:t>96.7</w:t>
            </w:r>
          </w:p>
        </w:tc>
        <w:tc>
          <w:tcPr>
            <w:tcW w:w="717" w:type="pct"/>
            <w:tcBorders>
              <w:tl2br w:val="nil"/>
              <w:tr2bl w:val="nil"/>
            </w:tcBorders>
            <w:vAlign w:val="center"/>
          </w:tcPr>
          <w:p w14:paraId="410ABE21">
            <w:pPr>
              <w:pStyle w:val="41"/>
              <w:rPr>
                <w:rFonts w:hint="default" w:cs="Times New Roman"/>
                <w:color w:val="auto"/>
                <w:u w:val="none"/>
                <w:lang w:val="en-US" w:eastAsia="zh-CN"/>
              </w:rPr>
            </w:pPr>
            <w:r>
              <w:rPr>
                <w:rFonts w:hint="eastAsia" w:cs="Times New Roman"/>
                <w:color w:val="auto"/>
                <w:u w:val="none"/>
                <w:lang w:val="en-US" w:eastAsia="zh-CN"/>
              </w:rPr>
              <w:t>5</w:t>
            </w:r>
          </w:p>
        </w:tc>
        <w:tc>
          <w:tcPr>
            <w:tcW w:w="1472" w:type="dxa"/>
            <w:tcBorders>
              <w:tl2br w:val="nil"/>
              <w:tr2bl w:val="nil"/>
            </w:tcBorders>
            <w:vAlign w:val="center"/>
          </w:tcPr>
          <w:p w14:paraId="112878B2">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1549" w:type="dxa"/>
            <w:tcBorders>
              <w:tl2br w:val="nil"/>
              <w:tr2bl w:val="nil"/>
            </w:tcBorders>
            <w:vAlign w:val="center"/>
          </w:tcPr>
          <w:p w14:paraId="265F4FF6">
            <w:pPr>
              <w:pStyle w:val="41"/>
              <w:rPr>
                <w:rFonts w:hint="default" w:ascii="Times New Roman" w:hAnsi="Times New Roman" w:cs="Times New Roman"/>
                <w:color w:val="auto"/>
                <w:u w:val="none"/>
              </w:rPr>
            </w:pPr>
            <w:r>
              <w:rPr>
                <w:rFonts w:hint="default" w:ascii="Times New Roman" w:hAnsi="Times New Roman" w:cs="Times New Roman"/>
                <w:color w:val="auto"/>
                <w:u w:val="none"/>
              </w:rPr>
              <w:t>桶装</w:t>
            </w:r>
          </w:p>
        </w:tc>
        <w:tc>
          <w:tcPr>
            <w:tcW w:w="1549" w:type="dxa"/>
            <w:tcBorders>
              <w:tl2br w:val="nil"/>
              <w:tr2bl w:val="nil"/>
            </w:tcBorders>
            <w:vAlign w:val="center"/>
          </w:tcPr>
          <w:p w14:paraId="1FAD2319">
            <w:pPr>
              <w:pStyle w:val="41"/>
              <w:rPr>
                <w:rFonts w:hint="default" w:ascii="Times New Roman" w:hAnsi="Times New Roman" w:cs="Times New Roman"/>
                <w:color w:val="auto"/>
                <w:u w:val="none"/>
              </w:rPr>
            </w:pPr>
            <w:r>
              <w:rPr>
                <w:rFonts w:hint="default" w:ascii="Times New Roman" w:hAnsi="Times New Roman" w:cs="Times New Roman"/>
                <w:color w:val="auto"/>
                <w:u w:val="none"/>
              </w:rPr>
              <w:t>罐车运至厂区内</w:t>
            </w:r>
          </w:p>
        </w:tc>
      </w:tr>
      <w:tr w14:paraId="516456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3DD1B64B">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w:t>
            </w:r>
          </w:p>
        </w:tc>
        <w:tc>
          <w:tcPr>
            <w:tcW w:w="814" w:type="pct"/>
            <w:tcBorders>
              <w:tl2br w:val="nil"/>
              <w:tr2bl w:val="nil"/>
            </w:tcBorders>
            <w:vAlign w:val="center"/>
          </w:tcPr>
          <w:p w14:paraId="70F2DB32">
            <w:pPr>
              <w:pStyle w:val="41"/>
              <w:rPr>
                <w:rFonts w:hint="default" w:ascii="Times New Roman" w:hAnsi="Times New Roman" w:cs="Times New Roman"/>
                <w:color w:val="auto"/>
                <w:u w:val="none"/>
              </w:rPr>
            </w:pPr>
            <w:r>
              <w:rPr>
                <w:rFonts w:hint="default" w:ascii="Times New Roman" w:hAnsi="Times New Roman" w:cs="Times New Roman"/>
                <w:color w:val="auto"/>
                <w:u w:val="none"/>
              </w:rPr>
              <w:t>活性炭</w:t>
            </w:r>
          </w:p>
        </w:tc>
        <w:tc>
          <w:tcPr>
            <w:tcW w:w="717" w:type="pct"/>
            <w:tcBorders>
              <w:tl2br w:val="nil"/>
              <w:tr2bl w:val="nil"/>
            </w:tcBorders>
            <w:vAlign w:val="center"/>
          </w:tcPr>
          <w:p w14:paraId="22141A64">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717" w:type="pct"/>
            <w:tcBorders>
              <w:tl2br w:val="nil"/>
              <w:tr2bl w:val="nil"/>
            </w:tcBorders>
            <w:vAlign w:val="center"/>
          </w:tcPr>
          <w:p w14:paraId="55617042">
            <w:pPr>
              <w:pStyle w:val="41"/>
              <w:rPr>
                <w:rFonts w:hint="default" w:ascii="Times New Roman" w:hAnsi="Times New Roman" w:cs="Times New Roman"/>
                <w:color w:val="auto"/>
                <w:u w:val="none"/>
              </w:rPr>
            </w:pPr>
            <w:r>
              <w:rPr>
                <w:rFonts w:hint="default" w:ascii="Times New Roman" w:hAnsi="Times New Roman" w:cs="Times New Roman"/>
                <w:color w:val="auto"/>
                <w:u w:val="none"/>
              </w:rPr>
              <w:t>0.5</w:t>
            </w:r>
          </w:p>
        </w:tc>
        <w:tc>
          <w:tcPr>
            <w:tcW w:w="761" w:type="pct"/>
            <w:tcBorders>
              <w:tl2br w:val="nil"/>
              <w:tr2bl w:val="nil"/>
            </w:tcBorders>
            <w:vAlign w:val="center"/>
          </w:tcPr>
          <w:p w14:paraId="20089B3F">
            <w:pPr>
              <w:pStyle w:val="41"/>
              <w:rPr>
                <w:rFonts w:hint="default" w:ascii="Times New Roman" w:hAnsi="Times New Roman" w:cs="Times New Roman"/>
                <w:color w:val="auto"/>
                <w:u w:val="none"/>
              </w:rPr>
            </w:pPr>
            <w:r>
              <w:rPr>
                <w:rFonts w:hint="default" w:ascii="Times New Roman" w:hAnsi="Times New Roman" w:cs="Times New Roman"/>
                <w:color w:val="auto"/>
                <w:u w:val="none"/>
              </w:rPr>
              <w:t>辅料仓库</w:t>
            </w:r>
          </w:p>
        </w:tc>
        <w:tc>
          <w:tcPr>
            <w:tcW w:w="801" w:type="pct"/>
            <w:tcBorders>
              <w:tl2br w:val="nil"/>
              <w:tr2bl w:val="nil"/>
            </w:tcBorders>
            <w:vAlign w:val="center"/>
          </w:tcPr>
          <w:p w14:paraId="42A6018E">
            <w:pPr>
              <w:pStyle w:val="41"/>
              <w:rPr>
                <w:rFonts w:hint="default" w:ascii="Times New Roman" w:hAnsi="Times New Roman" w:cs="Times New Roman"/>
                <w:color w:val="auto"/>
                <w:u w:val="none"/>
              </w:rPr>
            </w:pPr>
            <w:r>
              <w:rPr>
                <w:rFonts w:hint="default" w:ascii="Times New Roman" w:hAnsi="Times New Roman" w:cs="Times New Roman"/>
                <w:color w:val="auto"/>
                <w:u w:val="none"/>
              </w:rPr>
              <w:t>袋装</w:t>
            </w:r>
          </w:p>
        </w:tc>
        <w:tc>
          <w:tcPr>
            <w:tcW w:w="801" w:type="pct"/>
            <w:tcBorders>
              <w:tl2br w:val="nil"/>
              <w:tr2bl w:val="nil"/>
            </w:tcBorders>
            <w:vAlign w:val="center"/>
          </w:tcPr>
          <w:p w14:paraId="2CE617BC">
            <w:pPr>
              <w:pStyle w:val="41"/>
              <w:rPr>
                <w:rFonts w:hint="default" w:ascii="Times New Roman" w:hAnsi="Times New Roman" w:cs="Times New Roman"/>
                <w:color w:val="auto"/>
                <w:u w:val="none"/>
              </w:rPr>
            </w:pPr>
            <w:r>
              <w:rPr>
                <w:rFonts w:hint="default" w:ascii="Times New Roman" w:hAnsi="Times New Roman" w:cs="Times New Roman"/>
                <w:color w:val="auto"/>
                <w:u w:val="none"/>
              </w:rPr>
              <w:t>外购</w:t>
            </w:r>
          </w:p>
        </w:tc>
      </w:tr>
      <w:tr w14:paraId="31818D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4EF9C75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16</w:t>
            </w:r>
          </w:p>
        </w:tc>
        <w:tc>
          <w:tcPr>
            <w:tcW w:w="814" w:type="pct"/>
            <w:tcBorders>
              <w:tl2br w:val="nil"/>
              <w:tr2bl w:val="nil"/>
            </w:tcBorders>
            <w:vAlign w:val="center"/>
          </w:tcPr>
          <w:p w14:paraId="2DD3F92A">
            <w:pPr>
              <w:pStyle w:val="41"/>
              <w:rPr>
                <w:rFonts w:hint="default" w:ascii="Times New Roman" w:hAnsi="Times New Roman" w:cs="Times New Roman"/>
                <w:color w:val="auto"/>
                <w:u w:val="none"/>
              </w:rPr>
            </w:pPr>
            <w:r>
              <w:rPr>
                <w:rFonts w:hint="default" w:ascii="Times New Roman" w:hAnsi="Times New Roman" w:cs="Times New Roman"/>
                <w:color w:val="auto"/>
                <w:u w:val="none"/>
              </w:rPr>
              <w:t>水耗</w:t>
            </w:r>
          </w:p>
        </w:tc>
        <w:tc>
          <w:tcPr>
            <w:tcW w:w="717" w:type="pct"/>
            <w:tcBorders>
              <w:tl2br w:val="nil"/>
              <w:tr2bl w:val="nil"/>
            </w:tcBorders>
            <w:vAlign w:val="center"/>
          </w:tcPr>
          <w:p w14:paraId="262B2A30">
            <w:pPr>
              <w:pStyle w:val="41"/>
              <w:rPr>
                <w:rFonts w:hint="default" w:ascii="Times New Roman" w:hAnsi="Times New Roman" w:cs="Times New Roman"/>
                <w:color w:val="auto"/>
                <w:u w:val="none"/>
              </w:rPr>
            </w:pPr>
            <w:r>
              <w:rPr>
                <w:rFonts w:hint="eastAsia" w:cs="Times New Roman"/>
                <w:color w:val="auto"/>
                <w:u w:val="none"/>
                <w:lang w:val="en-US" w:eastAsia="zh-CN"/>
              </w:rPr>
              <w:t>34659</w:t>
            </w:r>
            <w:r>
              <w:rPr>
                <w:rFonts w:hint="default" w:ascii="Times New Roman" w:hAnsi="Times New Roman" w:cs="Times New Roman"/>
                <w:color w:val="auto"/>
                <w:u w:val="none"/>
              </w:rPr>
              <w:t>t/a</w:t>
            </w:r>
          </w:p>
        </w:tc>
        <w:tc>
          <w:tcPr>
            <w:tcW w:w="717" w:type="pct"/>
            <w:tcBorders>
              <w:tl2br w:val="nil"/>
              <w:tr2bl w:val="nil"/>
            </w:tcBorders>
            <w:vAlign w:val="center"/>
          </w:tcPr>
          <w:p w14:paraId="7163452F">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61" w:type="pct"/>
            <w:tcBorders>
              <w:tl2br w:val="nil"/>
              <w:tr2bl w:val="nil"/>
            </w:tcBorders>
            <w:vAlign w:val="center"/>
          </w:tcPr>
          <w:p w14:paraId="4DC64930">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01" w:type="pct"/>
            <w:tcBorders>
              <w:tl2br w:val="nil"/>
              <w:tr2bl w:val="nil"/>
            </w:tcBorders>
            <w:vAlign w:val="center"/>
          </w:tcPr>
          <w:p w14:paraId="63D6B00D">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01" w:type="pct"/>
            <w:tcBorders>
              <w:tl2br w:val="nil"/>
              <w:tr2bl w:val="nil"/>
            </w:tcBorders>
            <w:vAlign w:val="center"/>
          </w:tcPr>
          <w:p w14:paraId="5E2DE429">
            <w:pPr>
              <w:pStyle w:val="41"/>
              <w:rPr>
                <w:rFonts w:hint="default" w:ascii="Times New Roman" w:hAnsi="Times New Roman" w:cs="Times New Roman"/>
                <w:color w:val="auto"/>
                <w:u w:val="none"/>
              </w:rPr>
            </w:pPr>
            <w:r>
              <w:rPr>
                <w:rFonts w:hint="default" w:ascii="Times New Roman" w:hAnsi="Times New Roman" w:cs="Times New Roman"/>
                <w:color w:val="auto"/>
                <w:u w:val="none"/>
              </w:rPr>
              <w:t>市政管网供给</w:t>
            </w:r>
          </w:p>
        </w:tc>
      </w:tr>
      <w:tr w14:paraId="371C95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53F96445">
            <w:pPr>
              <w:pStyle w:val="41"/>
              <w:rPr>
                <w:rFonts w:hint="default" w:cs="Times New Roman"/>
                <w:color w:val="auto"/>
                <w:u w:val="none"/>
                <w:lang w:val="en-US" w:eastAsia="zh-CN"/>
              </w:rPr>
            </w:pPr>
            <w:r>
              <w:rPr>
                <w:rFonts w:hint="eastAsia" w:cs="Times New Roman"/>
                <w:color w:val="auto"/>
                <w:u w:val="none"/>
                <w:lang w:val="en-US" w:eastAsia="zh-CN"/>
              </w:rPr>
              <w:t>17</w:t>
            </w:r>
          </w:p>
        </w:tc>
        <w:tc>
          <w:tcPr>
            <w:tcW w:w="814" w:type="pct"/>
            <w:tcBorders>
              <w:tl2br w:val="nil"/>
              <w:tr2bl w:val="nil"/>
            </w:tcBorders>
            <w:vAlign w:val="center"/>
          </w:tcPr>
          <w:p w14:paraId="0BCEA191">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蒸汽</w:t>
            </w:r>
          </w:p>
        </w:tc>
        <w:tc>
          <w:tcPr>
            <w:tcW w:w="717" w:type="pct"/>
            <w:tcBorders>
              <w:tl2br w:val="nil"/>
              <w:tr2bl w:val="nil"/>
            </w:tcBorders>
            <w:vAlign w:val="center"/>
          </w:tcPr>
          <w:p w14:paraId="78F1248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15000立方米</w:t>
            </w:r>
          </w:p>
        </w:tc>
        <w:tc>
          <w:tcPr>
            <w:tcW w:w="717" w:type="pct"/>
            <w:tcBorders>
              <w:tl2br w:val="nil"/>
              <w:tr2bl w:val="nil"/>
            </w:tcBorders>
            <w:vAlign w:val="center"/>
          </w:tcPr>
          <w:p w14:paraId="76944972">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761" w:type="pct"/>
            <w:tcBorders>
              <w:tl2br w:val="nil"/>
              <w:tr2bl w:val="nil"/>
            </w:tcBorders>
            <w:vAlign w:val="center"/>
          </w:tcPr>
          <w:p w14:paraId="368E2257">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801" w:type="pct"/>
            <w:tcBorders>
              <w:tl2br w:val="nil"/>
              <w:tr2bl w:val="nil"/>
            </w:tcBorders>
            <w:vAlign w:val="center"/>
          </w:tcPr>
          <w:p w14:paraId="5E8A4C37">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801" w:type="pct"/>
            <w:tcBorders>
              <w:tl2br w:val="nil"/>
              <w:tr2bl w:val="nil"/>
            </w:tcBorders>
            <w:vAlign w:val="center"/>
          </w:tcPr>
          <w:p w14:paraId="60E80DC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园区提供</w:t>
            </w:r>
          </w:p>
        </w:tc>
      </w:tr>
      <w:tr w14:paraId="3EF966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86" w:type="pct"/>
            <w:tcBorders>
              <w:tl2br w:val="nil"/>
              <w:tr2bl w:val="nil"/>
            </w:tcBorders>
            <w:vAlign w:val="center"/>
          </w:tcPr>
          <w:p w14:paraId="3A650BB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18</w:t>
            </w:r>
          </w:p>
        </w:tc>
        <w:tc>
          <w:tcPr>
            <w:tcW w:w="814" w:type="pct"/>
            <w:tcBorders>
              <w:tl2br w:val="nil"/>
              <w:tr2bl w:val="nil"/>
            </w:tcBorders>
            <w:vAlign w:val="center"/>
          </w:tcPr>
          <w:p w14:paraId="068864F6">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电量</w:t>
            </w:r>
          </w:p>
        </w:tc>
        <w:tc>
          <w:tcPr>
            <w:tcW w:w="717" w:type="pct"/>
            <w:tcBorders>
              <w:tl2br w:val="nil"/>
              <w:tr2bl w:val="nil"/>
            </w:tcBorders>
            <w:vAlign w:val="center"/>
          </w:tcPr>
          <w:p w14:paraId="6AD131A5">
            <w:pPr>
              <w:pStyle w:val="41"/>
              <w:rPr>
                <w:rFonts w:hint="default" w:ascii="Times New Roman" w:hAnsi="Times New Roman" w:cs="Times New Roman"/>
                <w:color w:val="auto"/>
                <w:u w:val="none"/>
              </w:rPr>
            </w:pPr>
            <w:r>
              <w:rPr>
                <w:rFonts w:hint="default" w:ascii="Times New Roman" w:hAnsi="Times New Roman" w:cs="Times New Roman"/>
                <w:color w:val="auto"/>
                <w:u w:val="none"/>
              </w:rPr>
              <w:t>345万kwh/a</w:t>
            </w:r>
          </w:p>
        </w:tc>
        <w:tc>
          <w:tcPr>
            <w:tcW w:w="717" w:type="pct"/>
            <w:tcBorders>
              <w:tl2br w:val="nil"/>
              <w:tr2bl w:val="nil"/>
            </w:tcBorders>
            <w:vAlign w:val="center"/>
          </w:tcPr>
          <w:p w14:paraId="7DA1A75F">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61" w:type="pct"/>
            <w:tcBorders>
              <w:tl2br w:val="nil"/>
              <w:tr2bl w:val="nil"/>
            </w:tcBorders>
            <w:vAlign w:val="center"/>
          </w:tcPr>
          <w:p w14:paraId="77F5AA57">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01" w:type="pct"/>
            <w:tcBorders>
              <w:tl2br w:val="nil"/>
              <w:tr2bl w:val="nil"/>
            </w:tcBorders>
            <w:vAlign w:val="center"/>
          </w:tcPr>
          <w:p w14:paraId="0E473FF0">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01" w:type="pct"/>
            <w:tcBorders>
              <w:tl2br w:val="nil"/>
              <w:tr2bl w:val="nil"/>
            </w:tcBorders>
            <w:vAlign w:val="center"/>
          </w:tcPr>
          <w:p w14:paraId="66631C07">
            <w:pPr>
              <w:pStyle w:val="41"/>
              <w:rPr>
                <w:rFonts w:hint="default" w:ascii="Times New Roman" w:hAnsi="Times New Roman" w:cs="Times New Roman"/>
                <w:color w:val="auto"/>
                <w:u w:val="none"/>
              </w:rPr>
            </w:pPr>
            <w:r>
              <w:rPr>
                <w:rFonts w:hint="default" w:ascii="Times New Roman" w:hAnsi="Times New Roman" w:cs="Times New Roman"/>
                <w:color w:val="auto"/>
                <w:u w:val="none"/>
              </w:rPr>
              <w:t>市政电网供给</w:t>
            </w:r>
          </w:p>
        </w:tc>
      </w:tr>
    </w:tbl>
    <w:p w14:paraId="49D14BF9">
      <w:pPr>
        <w:bidi w:val="0"/>
        <w:rPr>
          <w:rFonts w:hint="default" w:ascii="Times New Roman" w:hAnsi="Times New Roman" w:cs="Times New Roman"/>
          <w:color w:val="auto"/>
          <w:u w:val="none"/>
          <w:lang w:val="en-US" w:eastAsia="zh-CN"/>
        </w:rPr>
      </w:pPr>
      <w:r>
        <w:rPr>
          <w:rFonts w:hint="default" w:ascii="Times New Roman" w:hAnsi="Times New Roman" w:cs="Times New Roman"/>
          <w:b/>
          <w:bCs/>
          <w:color w:val="auto"/>
          <w:sz w:val="21"/>
          <w:szCs w:val="21"/>
          <w:u w:val="none"/>
          <w:lang w:val="en-US" w:eastAsia="zh-CN"/>
        </w:rPr>
        <w:t>备注：本项目硫酸、硝酸、磷酸由罐车运至厂区内，通过专用泵输送至生产线，少量储存于危化品仓库。</w:t>
      </w:r>
    </w:p>
    <w:p w14:paraId="4DCFDB3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表3.3-2  含铬染料核算一览表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05"/>
        <w:gridCol w:w="1344"/>
        <w:gridCol w:w="1022"/>
        <w:gridCol w:w="860"/>
        <w:gridCol w:w="1071"/>
        <w:gridCol w:w="901"/>
        <w:gridCol w:w="1107"/>
        <w:gridCol w:w="1026"/>
        <w:gridCol w:w="1018"/>
      </w:tblGrid>
      <w:tr w14:paraId="5D3BC6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763" w:type="pct"/>
            <w:tcBorders>
              <w:tl2br w:val="nil"/>
              <w:tr2bl w:val="nil"/>
            </w:tcBorders>
            <w:shd w:val="clear" w:color="auto" w:fill="auto"/>
            <w:noWrap/>
            <w:vAlign w:val="center"/>
          </w:tcPr>
          <w:p w14:paraId="1528611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线别</w:t>
            </w:r>
          </w:p>
        </w:tc>
        <w:tc>
          <w:tcPr>
            <w:tcW w:w="681" w:type="pct"/>
            <w:tcBorders>
              <w:tl2br w:val="nil"/>
              <w:tr2bl w:val="nil"/>
            </w:tcBorders>
            <w:shd w:val="clear" w:color="auto" w:fill="auto"/>
            <w:noWrap/>
            <w:vAlign w:val="center"/>
          </w:tcPr>
          <w:p w14:paraId="31951C4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体积</w:t>
            </w:r>
          </w:p>
        </w:tc>
        <w:tc>
          <w:tcPr>
            <w:tcW w:w="518" w:type="pct"/>
            <w:tcBorders>
              <w:tl2br w:val="nil"/>
              <w:tr2bl w:val="nil"/>
            </w:tcBorders>
            <w:shd w:val="clear" w:color="auto" w:fill="auto"/>
            <w:noWrap/>
            <w:vAlign w:val="center"/>
          </w:tcPr>
          <w:p w14:paraId="6CF7B00D">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染色槽数量</w:t>
            </w:r>
          </w:p>
        </w:tc>
        <w:tc>
          <w:tcPr>
            <w:tcW w:w="436" w:type="pct"/>
            <w:tcBorders>
              <w:tl2br w:val="nil"/>
              <w:tr2bl w:val="nil"/>
            </w:tcBorders>
            <w:shd w:val="clear" w:color="auto" w:fill="auto"/>
            <w:noWrap/>
            <w:vAlign w:val="center"/>
          </w:tcPr>
          <w:p w14:paraId="3E67A974">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更换周期</w:t>
            </w:r>
          </w:p>
        </w:tc>
        <w:tc>
          <w:tcPr>
            <w:tcW w:w="543" w:type="pct"/>
            <w:tcBorders>
              <w:tl2br w:val="nil"/>
              <w:tr2bl w:val="nil"/>
            </w:tcBorders>
            <w:shd w:val="clear" w:color="auto" w:fill="auto"/>
            <w:noWrap/>
            <w:vAlign w:val="center"/>
          </w:tcPr>
          <w:p w14:paraId="0815FA1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染料浓度g/l</w:t>
            </w:r>
          </w:p>
        </w:tc>
        <w:tc>
          <w:tcPr>
            <w:tcW w:w="457" w:type="pct"/>
            <w:tcBorders>
              <w:tl2br w:val="nil"/>
              <w:tr2bl w:val="nil"/>
            </w:tcBorders>
            <w:shd w:val="clear" w:color="auto" w:fill="auto"/>
            <w:noWrap/>
            <w:vAlign w:val="center"/>
          </w:tcPr>
          <w:p w14:paraId="527A130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建槽量kg</w:t>
            </w:r>
          </w:p>
        </w:tc>
        <w:tc>
          <w:tcPr>
            <w:tcW w:w="561" w:type="pct"/>
            <w:tcBorders>
              <w:tl2br w:val="nil"/>
              <w:tr2bl w:val="nil"/>
            </w:tcBorders>
            <w:shd w:val="clear" w:color="auto" w:fill="auto"/>
            <w:noWrap/>
            <w:vAlign w:val="center"/>
          </w:tcPr>
          <w:p w14:paraId="0C07DEF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添加量kg/次</w:t>
            </w:r>
          </w:p>
        </w:tc>
        <w:tc>
          <w:tcPr>
            <w:tcW w:w="520" w:type="pct"/>
            <w:tcBorders>
              <w:tl2br w:val="nil"/>
              <w:tr2bl w:val="nil"/>
            </w:tcBorders>
            <w:shd w:val="clear" w:color="auto" w:fill="auto"/>
            <w:noWrap/>
            <w:vAlign w:val="center"/>
          </w:tcPr>
          <w:p w14:paraId="16CC4E2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日用量kg/d</w:t>
            </w:r>
          </w:p>
        </w:tc>
        <w:tc>
          <w:tcPr>
            <w:tcW w:w="516" w:type="pct"/>
            <w:tcBorders>
              <w:tl2br w:val="nil"/>
              <w:tr2bl w:val="nil"/>
            </w:tcBorders>
            <w:shd w:val="clear" w:color="auto" w:fill="auto"/>
            <w:noWrap/>
            <w:vAlign w:val="center"/>
          </w:tcPr>
          <w:p w14:paraId="09D09EB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年用量kg/a</w:t>
            </w:r>
          </w:p>
        </w:tc>
      </w:tr>
      <w:tr w14:paraId="455F59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63" w:type="pct"/>
            <w:tcBorders>
              <w:tl2br w:val="nil"/>
              <w:tr2bl w:val="nil"/>
            </w:tcBorders>
            <w:shd w:val="clear" w:color="auto" w:fill="auto"/>
            <w:noWrap/>
            <w:vAlign w:val="center"/>
          </w:tcPr>
          <w:p w14:paraId="3C99F393">
            <w:pPr>
              <w:pStyle w:val="41"/>
              <w:rPr>
                <w:rFonts w:hint="default" w:ascii="Times New Roman" w:hAnsi="Times New Roman" w:cs="Times New Roman"/>
                <w:color w:val="auto"/>
                <w:u w:val="none"/>
              </w:rPr>
            </w:pPr>
            <w:r>
              <w:rPr>
                <w:rFonts w:hint="default" w:ascii="Times New Roman" w:hAnsi="Times New Roman" w:cs="Times New Roman"/>
                <w:color w:val="auto"/>
                <w:u w:val="none"/>
              </w:rPr>
              <w:t>大自动线生产</w:t>
            </w:r>
          </w:p>
        </w:tc>
        <w:tc>
          <w:tcPr>
            <w:tcW w:w="681" w:type="pct"/>
            <w:tcBorders>
              <w:tl2br w:val="nil"/>
              <w:tr2bl w:val="nil"/>
            </w:tcBorders>
            <w:shd w:val="clear" w:color="auto" w:fill="auto"/>
            <w:noWrap/>
            <w:vAlign w:val="center"/>
          </w:tcPr>
          <w:p w14:paraId="009B8ED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5300</w:t>
            </w:r>
            <w:r>
              <w:rPr>
                <w:rFonts w:hint="default" w:ascii="Times New Roman" w:hAnsi="Times New Roman" w:cs="Times New Roman"/>
                <w:color w:val="auto"/>
                <w:u w:val="none"/>
              </w:rPr>
              <w:t>*</w:t>
            </w:r>
            <w:r>
              <w:rPr>
                <w:rFonts w:hint="eastAsia" w:cs="Times New Roman"/>
                <w:color w:val="auto"/>
                <w:u w:val="none"/>
                <w:lang w:val="en-US" w:eastAsia="zh-CN"/>
              </w:rPr>
              <w:t>1200</w:t>
            </w:r>
            <w:r>
              <w:rPr>
                <w:rFonts w:hint="default" w:ascii="Times New Roman" w:hAnsi="Times New Roman" w:cs="Times New Roman"/>
                <w:color w:val="auto"/>
                <w:u w:val="none"/>
              </w:rPr>
              <w:t>*</w:t>
            </w:r>
            <w:r>
              <w:rPr>
                <w:rFonts w:hint="eastAsia" w:cs="Times New Roman"/>
                <w:color w:val="auto"/>
                <w:u w:val="none"/>
                <w:lang w:val="en-US" w:eastAsia="zh-CN"/>
              </w:rPr>
              <w:t>2700</w:t>
            </w:r>
          </w:p>
        </w:tc>
        <w:tc>
          <w:tcPr>
            <w:tcW w:w="518" w:type="pct"/>
            <w:tcBorders>
              <w:tl2br w:val="nil"/>
              <w:tr2bl w:val="nil"/>
            </w:tcBorders>
            <w:shd w:val="clear" w:color="auto" w:fill="auto"/>
            <w:noWrap/>
            <w:vAlign w:val="center"/>
          </w:tcPr>
          <w:p w14:paraId="3361A735">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1</w:t>
            </w:r>
          </w:p>
        </w:tc>
        <w:tc>
          <w:tcPr>
            <w:tcW w:w="436" w:type="pct"/>
            <w:tcBorders>
              <w:tl2br w:val="nil"/>
              <w:tr2bl w:val="nil"/>
            </w:tcBorders>
            <w:shd w:val="clear" w:color="auto" w:fill="auto"/>
            <w:noWrap/>
            <w:vAlign w:val="center"/>
          </w:tcPr>
          <w:p w14:paraId="7828EF4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360</w:t>
            </w:r>
          </w:p>
        </w:tc>
        <w:tc>
          <w:tcPr>
            <w:tcW w:w="543" w:type="pct"/>
            <w:tcBorders>
              <w:tl2br w:val="nil"/>
              <w:tr2bl w:val="nil"/>
            </w:tcBorders>
            <w:shd w:val="clear" w:color="auto" w:fill="auto"/>
            <w:noWrap/>
            <w:vAlign w:val="center"/>
          </w:tcPr>
          <w:p w14:paraId="4662DE4B">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60</w:t>
            </w:r>
          </w:p>
        </w:tc>
        <w:tc>
          <w:tcPr>
            <w:tcW w:w="457" w:type="pct"/>
            <w:tcBorders>
              <w:tl2br w:val="nil"/>
              <w:tr2bl w:val="nil"/>
            </w:tcBorders>
            <w:shd w:val="clear" w:color="auto" w:fill="auto"/>
            <w:noWrap/>
            <w:vAlign w:val="center"/>
          </w:tcPr>
          <w:p w14:paraId="72B1678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15200</w:t>
            </w:r>
          </w:p>
        </w:tc>
        <w:tc>
          <w:tcPr>
            <w:tcW w:w="561" w:type="pct"/>
            <w:tcBorders>
              <w:tl2br w:val="nil"/>
              <w:tr2bl w:val="nil"/>
            </w:tcBorders>
            <w:shd w:val="clear" w:color="auto" w:fill="auto"/>
            <w:noWrap/>
            <w:vAlign w:val="center"/>
          </w:tcPr>
          <w:p w14:paraId="53DD507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 xml:space="preserve">3.18 </w:t>
            </w:r>
          </w:p>
        </w:tc>
        <w:tc>
          <w:tcPr>
            <w:tcW w:w="520" w:type="pct"/>
            <w:tcBorders>
              <w:tl2br w:val="nil"/>
              <w:tr2bl w:val="nil"/>
            </w:tcBorders>
            <w:shd w:val="clear" w:color="auto" w:fill="auto"/>
            <w:noWrap/>
            <w:vAlign w:val="center"/>
          </w:tcPr>
          <w:p w14:paraId="04DDF9B2">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47.7</w:t>
            </w:r>
          </w:p>
        </w:tc>
        <w:tc>
          <w:tcPr>
            <w:tcW w:w="516" w:type="pct"/>
            <w:tcBorders>
              <w:tl2br w:val="nil"/>
              <w:tr2bl w:val="nil"/>
            </w:tcBorders>
            <w:shd w:val="clear" w:color="auto" w:fill="auto"/>
            <w:noWrap/>
            <w:vAlign w:val="center"/>
          </w:tcPr>
          <w:p w14:paraId="45CC8D1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14310</w:t>
            </w:r>
          </w:p>
        </w:tc>
      </w:tr>
      <w:tr w14:paraId="42075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763" w:type="pct"/>
            <w:tcBorders>
              <w:tl2br w:val="nil"/>
              <w:tr2bl w:val="nil"/>
            </w:tcBorders>
            <w:shd w:val="clear" w:color="auto" w:fill="auto"/>
            <w:noWrap/>
            <w:vAlign w:val="center"/>
          </w:tcPr>
          <w:p w14:paraId="2AEB7F64">
            <w:pPr>
              <w:pStyle w:val="41"/>
              <w:rPr>
                <w:rFonts w:hint="default" w:ascii="Times New Roman" w:hAnsi="Times New Roman" w:cs="Times New Roman"/>
                <w:color w:val="auto"/>
                <w:u w:val="none"/>
              </w:rPr>
            </w:pPr>
            <w:r>
              <w:rPr>
                <w:rFonts w:hint="default" w:ascii="Times New Roman" w:hAnsi="Times New Roman" w:cs="Times New Roman"/>
                <w:color w:val="auto"/>
                <w:u w:val="none"/>
              </w:rPr>
              <w:t>小线自动化生产线</w:t>
            </w:r>
          </w:p>
        </w:tc>
        <w:tc>
          <w:tcPr>
            <w:tcW w:w="681" w:type="pct"/>
            <w:tcBorders>
              <w:tl2br w:val="nil"/>
              <w:tr2bl w:val="nil"/>
            </w:tcBorders>
            <w:shd w:val="clear" w:color="auto" w:fill="auto"/>
            <w:noWrap/>
            <w:vAlign w:val="center"/>
          </w:tcPr>
          <w:p w14:paraId="5A94425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1200</w:t>
            </w:r>
            <w:r>
              <w:rPr>
                <w:rFonts w:hint="default" w:ascii="Times New Roman" w:hAnsi="Times New Roman" w:cs="Times New Roman"/>
                <w:color w:val="auto"/>
                <w:u w:val="none"/>
              </w:rPr>
              <w:t>*</w:t>
            </w:r>
            <w:r>
              <w:rPr>
                <w:rFonts w:hint="eastAsia" w:cs="Times New Roman"/>
                <w:color w:val="auto"/>
                <w:u w:val="none"/>
                <w:lang w:val="en-US" w:eastAsia="zh-CN"/>
              </w:rPr>
              <w:t>6</w:t>
            </w:r>
            <w:r>
              <w:rPr>
                <w:rFonts w:hint="default" w:ascii="Times New Roman" w:hAnsi="Times New Roman" w:cs="Times New Roman"/>
                <w:color w:val="auto"/>
                <w:u w:val="none"/>
              </w:rPr>
              <w:t>00*</w:t>
            </w:r>
            <w:r>
              <w:rPr>
                <w:rFonts w:hint="eastAsia" w:cs="Times New Roman"/>
                <w:color w:val="auto"/>
                <w:u w:val="none"/>
                <w:lang w:val="en-US" w:eastAsia="zh-CN"/>
              </w:rPr>
              <w:t>1000</w:t>
            </w:r>
          </w:p>
        </w:tc>
        <w:tc>
          <w:tcPr>
            <w:tcW w:w="518" w:type="pct"/>
            <w:tcBorders>
              <w:tl2br w:val="nil"/>
              <w:tr2bl w:val="nil"/>
            </w:tcBorders>
            <w:shd w:val="clear" w:color="auto" w:fill="auto"/>
            <w:noWrap/>
            <w:vAlign w:val="center"/>
          </w:tcPr>
          <w:p w14:paraId="1A555720">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1</w:t>
            </w:r>
          </w:p>
        </w:tc>
        <w:tc>
          <w:tcPr>
            <w:tcW w:w="436" w:type="pct"/>
            <w:tcBorders>
              <w:tl2br w:val="nil"/>
              <w:tr2bl w:val="nil"/>
            </w:tcBorders>
            <w:shd w:val="clear" w:color="auto" w:fill="auto"/>
            <w:noWrap/>
            <w:vAlign w:val="center"/>
          </w:tcPr>
          <w:p w14:paraId="4BA2B46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360</w:t>
            </w:r>
          </w:p>
        </w:tc>
        <w:tc>
          <w:tcPr>
            <w:tcW w:w="543" w:type="pct"/>
            <w:tcBorders>
              <w:tl2br w:val="nil"/>
              <w:tr2bl w:val="nil"/>
            </w:tcBorders>
            <w:shd w:val="clear" w:color="auto" w:fill="auto"/>
            <w:noWrap/>
            <w:vAlign w:val="center"/>
          </w:tcPr>
          <w:p w14:paraId="1190147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60</w:t>
            </w:r>
          </w:p>
        </w:tc>
        <w:tc>
          <w:tcPr>
            <w:tcW w:w="457" w:type="pct"/>
            <w:tcBorders>
              <w:tl2br w:val="nil"/>
              <w:tr2bl w:val="nil"/>
            </w:tcBorders>
            <w:shd w:val="clear" w:color="auto" w:fill="auto"/>
            <w:noWrap/>
            <w:vAlign w:val="center"/>
          </w:tcPr>
          <w:p w14:paraId="3537A2C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700</w:t>
            </w:r>
          </w:p>
        </w:tc>
        <w:tc>
          <w:tcPr>
            <w:tcW w:w="561" w:type="pct"/>
            <w:tcBorders>
              <w:tl2br w:val="nil"/>
              <w:tr2bl w:val="nil"/>
            </w:tcBorders>
            <w:shd w:val="clear" w:color="auto" w:fill="auto"/>
            <w:noWrap/>
            <w:vAlign w:val="center"/>
          </w:tcPr>
          <w:p w14:paraId="67E44D0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1.25</w:t>
            </w:r>
          </w:p>
        </w:tc>
        <w:tc>
          <w:tcPr>
            <w:tcW w:w="520" w:type="pct"/>
            <w:tcBorders>
              <w:tl2br w:val="nil"/>
              <w:tr2bl w:val="nil"/>
            </w:tcBorders>
            <w:shd w:val="clear" w:color="auto" w:fill="auto"/>
            <w:noWrap/>
            <w:vAlign w:val="center"/>
          </w:tcPr>
          <w:p w14:paraId="0683391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w:t>
            </w:r>
          </w:p>
        </w:tc>
        <w:tc>
          <w:tcPr>
            <w:tcW w:w="516" w:type="pct"/>
            <w:tcBorders>
              <w:tl2br w:val="nil"/>
              <w:tr2bl w:val="nil"/>
            </w:tcBorders>
            <w:shd w:val="clear" w:color="auto" w:fill="auto"/>
            <w:noWrap/>
            <w:vAlign w:val="center"/>
          </w:tcPr>
          <w:p w14:paraId="59D1AB0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4500</w:t>
            </w:r>
          </w:p>
        </w:tc>
      </w:tr>
      <w:tr w14:paraId="17AE4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1445" w:type="pct"/>
            <w:gridSpan w:val="2"/>
            <w:tcBorders>
              <w:tl2br w:val="nil"/>
              <w:tr2bl w:val="nil"/>
            </w:tcBorders>
            <w:shd w:val="clear" w:color="auto" w:fill="auto"/>
            <w:noWrap/>
            <w:vAlign w:val="center"/>
          </w:tcPr>
          <w:p w14:paraId="4186F2E3">
            <w:pPr>
              <w:pStyle w:val="41"/>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518" w:type="pct"/>
            <w:tcBorders>
              <w:tl2br w:val="nil"/>
              <w:tr2bl w:val="nil"/>
            </w:tcBorders>
            <w:shd w:val="clear" w:color="auto" w:fill="auto"/>
            <w:noWrap/>
            <w:vAlign w:val="center"/>
          </w:tcPr>
          <w:p w14:paraId="6F731C18">
            <w:pPr>
              <w:pStyle w:val="41"/>
              <w:rPr>
                <w:rFonts w:hint="default" w:ascii="Times New Roman" w:hAnsi="Times New Roman" w:cs="Times New Roman"/>
                <w:color w:val="auto"/>
                <w:u w:val="none"/>
              </w:rPr>
            </w:pPr>
          </w:p>
        </w:tc>
        <w:tc>
          <w:tcPr>
            <w:tcW w:w="436" w:type="pct"/>
            <w:tcBorders>
              <w:tl2br w:val="nil"/>
              <w:tr2bl w:val="nil"/>
            </w:tcBorders>
            <w:shd w:val="clear" w:color="auto" w:fill="auto"/>
            <w:noWrap/>
            <w:vAlign w:val="center"/>
          </w:tcPr>
          <w:p w14:paraId="42467E3D">
            <w:pPr>
              <w:pStyle w:val="41"/>
              <w:rPr>
                <w:rFonts w:hint="default" w:ascii="Times New Roman" w:hAnsi="Times New Roman" w:cs="Times New Roman"/>
                <w:color w:val="auto"/>
                <w:u w:val="none"/>
              </w:rPr>
            </w:pPr>
          </w:p>
        </w:tc>
        <w:tc>
          <w:tcPr>
            <w:tcW w:w="543" w:type="pct"/>
            <w:tcBorders>
              <w:tl2br w:val="nil"/>
              <w:tr2bl w:val="nil"/>
            </w:tcBorders>
            <w:shd w:val="clear" w:color="auto" w:fill="auto"/>
            <w:noWrap/>
            <w:vAlign w:val="center"/>
          </w:tcPr>
          <w:p w14:paraId="50098146">
            <w:pPr>
              <w:pStyle w:val="41"/>
              <w:rPr>
                <w:rFonts w:hint="default" w:ascii="Times New Roman" w:hAnsi="Times New Roman" w:cs="Times New Roman"/>
                <w:color w:val="auto"/>
                <w:u w:val="none"/>
              </w:rPr>
            </w:pPr>
          </w:p>
        </w:tc>
        <w:tc>
          <w:tcPr>
            <w:tcW w:w="457" w:type="pct"/>
            <w:tcBorders>
              <w:tl2br w:val="nil"/>
              <w:tr2bl w:val="nil"/>
            </w:tcBorders>
            <w:shd w:val="clear" w:color="auto" w:fill="auto"/>
            <w:noWrap/>
            <w:vAlign w:val="center"/>
          </w:tcPr>
          <w:p w14:paraId="71424533">
            <w:pPr>
              <w:pStyle w:val="41"/>
              <w:rPr>
                <w:rFonts w:hint="default" w:ascii="Times New Roman" w:hAnsi="Times New Roman" w:cs="Times New Roman"/>
                <w:color w:val="auto"/>
                <w:u w:val="none"/>
              </w:rPr>
            </w:pPr>
          </w:p>
        </w:tc>
        <w:tc>
          <w:tcPr>
            <w:tcW w:w="561" w:type="pct"/>
            <w:tcBorders>
              <w:tl2br w:val="nil"/>
              <w:tr2bl w:val="nil"/>
            </w:tcBorders>
            <w:shd w:val="clear" w:color="auto" w:fill="auto"/>
            <w:noWrap/>
            <w:vAlign w:val="center"/>
          </w:tcPr>
          <w:p w14:paraId="6DD3C2EE">
            <w:pPr>
              <w:pStyle w:val="41"/>
              <w:rPr>
                <w:rFonts w:hint="default" w:ascii="Times New Roman" w:hAnsi="Times New Roman" w:cs="Times New Roman"/>
                <w:color w:val="auto"/>
                <w:u w:val="none"/>
              </w:rPr>
            </w:pPr>
          </w:p>
        </w:tc>
        <w:tc>
          <w:tcPr>
            <w:tcW w:w="520" w:type="pct"/>
            <w:tcBorders>
              <w:tl2br w:val="nil"/>
              <w:tr2bl w:val="nil"/>
            </w:tcBorders>
            <w:shd w:val="clear" w:color="auto" w:fill="auto"/>
            <w:noWrap/>
            <w:vAlign w:val="center"/>
          </w:tcPr>
          <w:p w14:paraId="7A54B890">
            <w:pPr>
              <w:pStyle w:val="41"/>
              <w:rPr>
                <w:rFonts w:hint="default" w:ascii="Times New Roman" w:hAnsi="Times New Roman" w:cs="Times New Roman"/>
                <w:color w:val="auto"/>
                <w:u w:val="none"/>
              </w:rPr>
            </w:pPr>
          </w:p>
        </w:tc>
        <w:tc>
          <w:tcPr>
            <w:tcW w:w="516" w:type="pct"/>
            <w:tcBorders>
              <w:tl2br w:val="nil"/>
              <w:tr2bl w:val="nil"/>
            </w:tcBorders>
            <w:shd w:val="clear" w:color="auto" w:fill="auto"/>
            <w:noWrap/>
            <w:vAlign w:val="center"/>
          </w:tcPr>
          <w:p w14:paraId="313B6FAA">
            <w:pPr>
              <w:pStyle w:val="41"/>
              <w:rPr>
                <w:rFonts w:hint="default" w:ascii="Times New Roman" w:hAnsi="Times New Roman" w:cs="Times New Roman"/>
                <w:color w:val="auto"/>
                <w:u w:val="none"/>
              </w:rPr>
            </w:pPr>
            <w:r>
              <w:rPr>
                <w:rFonts w:hint="eastAsia" w:cs="Times New Roman"/>
                <w:color w:val="auto"/>
                <w:u w:val="none"/>
                <w:lang w:val="en-US" w:eastAsia="zh-CN"/>
              </w:rPr>
              <w:t>18.81</w:t>
            </w:r>
            <w:r>
              <w:rPr>
                <w:rFonts w:hint="default" w:ascii="Times New Roman" w:hAnsi="Times New Roman" w:cs="Times New Roman"/>
                <w:color w:val="auto"/>
                <w:u w:val="none"/>
              </w:rPr>
              <w:t>t/a</w:t>
            </w:r>
          </w:p>
        </w:tc>
      </w:tr>
    </w:tbl>
    <w:p w14:paraId="5466AF6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（1）主要原辅材料理化性质</w:t>
      </w:r>
    </w:p>
    <w:p w14:paraId="68EFA9F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①铝</w:t>
      </w:r>
      <w:r>
        <w:rPr>
          <w:rFonts w:hint="eastAsia" w:ascii="Times New Roman" w:hAnsi="Times New Roman" w:cs="Times New Roman"/>
          <w:color w:val="auto"/>
          <w:u w:val="none"/>
          <w:lang w:val="en-US" w:eastAsia="zh-CN"/>
        </w:rPr>
        <w:t>除油剂</w:t>
      </w:r>
      <w:r>
        <w:rPr>
          <w:rFonts w:hint="default" w:ascii="Times New Roman" w:hAnsi="Times New Roman" w:cs="Times New Roman"/>
          <w:color w:val="auto"/>
          <w:u w:val="none"/>
        </w:rPr>
        <w:t>：是一种高效铝处理剂，水基制品，由弱性钠盐30%，硅酸钠30%，碳酸钠30%，及添加剂10%复配而成，不含重金属、亚硝酸盐等受控成份。不属于易燃易爆品。无色或白色结晶，碱性物质，相对密度（水=1），相对空气密度（空气=1）。</w:t>
      </w:r>
    </w:p>
    <w:p w14:paraId="6AE98D51">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②</w:t>
      </w:r>
      <w:r>
        <w:rPr>
          <w:rFonts w:hint="default" w:ascii="Times New Roman" w:hAnsi="Times New Roman" w:cs="Times New Roman"/>
          <w:color w:val="auto"/>
          <w:u w:val="none"/>
          <w:lang w:val="en-US" w:eastAsia="zh-CN"/>
        </w:rPr>
        <w:t>重铬酸钾</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是一种无机化合物，化学式为K2Cr2O7，室温下为橘红色结晶性粉末，不溶于</w:t>
      </w:r>
      <w:r>
        <w:rPr>
          <w:rFonts w:hint="default" w:ascii="Times New Roman" w:hAnsi="Times New Roman" w:cs="Times New Roman"/>
          <w:color w:val="auto"/>
          <w:u w:val="none"/>
          <w:lang w:val="en-US" w:eastAsia="zh-CN"/>
        </w:rPr>
        <w:fldChar w:fldCharType="begin"/>
      </w:r>
      <w:r>
        <w:rPr>
          <w:rFonts w:hint="default" w:ascii="Times New Roman" w:hAnsi="Times New Roman" w:cs="Times New Roman"/>
          <w:color w:val="auto"/>
          <w:u w:val="none"/>
          <w:lang w:val="en-US" w:eastAsia="zh-CN"/>
        </w:rPr>
        <w:instrText xml:space="preserve"> HYPERLINK "https://baike.baidu.com/item/%E4%B9%99%E9%86%87/135334?fromModule=lemma_inlink" \t "https://baike.baidu.com/item/%E9%87%8D%E9%93%AC%E9%85%B8%E9%92%BE/_blank" </w:instrText>
      </w:r>
      <w:r>
        <w:rPr>
          <w:rFonts w:hint="default" w:ascii="Times New Roman" w:hAnsi="Times New Roman" w:cs="Times New Roman"/>
          <w:color w:val="auto"/>
          <w:u w:val="none"/>
          <w:lang w:val="en-US" w:eastAsia="zh-CN"/>
        </w:rPr>
        <w:fldChar w:fldCharType="separate"/>
      </w:r>
      <w:r>
        <w:rPr>
          <w:rFonts w:hint="default" w:ascii="Times New Roman" w:hAnsi="Times New Roman" w:cs="Times New Roman"/>
          <w:color w:val="auto"/>
          <w:u w:val="none"/>
        </w:rPr>
        <w:t>乙醇</w:t>
      </w:r>
      <w:r>
        <w:rPr>
          <w:rFonts w:hint="default" w:ascii="Times New Roman" w:hAnsi="Times New Roman" w:cs="Times New Roman"/>
          <w:color w:val="auto"/>
          <w:u w:val="none"/>
          <w:lang w:val="en-US" w:eastAsia="zh-CN"/>
        </w:rPr>
        <w:fldChar w:fldCharType="end"/>
      </w:r>
      <w:r>
        <w:rPr>
          <w:rFonts w:hint="default" w:ascii="Times New Roman" w:hAnsi="Times New Roman" w:cs="Times New Roman"/>
          <w:color w:val="auto"/>
          <w:u w:val="none"/>
          <w:lang w:val="en-US" w:eastAsia="zh-CN"/>
        </w:rPr>
        <w:t>，但溶于水。重铬酸钾是一种有毒且有致癌性的强氧化剂，它被国际癌症研究机构划归为第一类致癌物质，而且是强氧化剂，在实验室和工业中都有很广泛的应用。用于制铬矾、火柴、铬颜料、电镀、</w:t>
      </w:r>
      <w:r>
        <w:rPr>
          <w:rFonts w:hint="default" w:ascii="Times New Roman" w:hAnsi="Times New Roman" w:cs="Times New Roman"/>
          <w:color w:val="auto"/>
          <w:u w:val="none"/>
          <w:lang w:val="en-US" w:eastAsia="zh-CN"/>
        </w:rPr>
        <w:fldChar w:fldCharType="begin"/>
      </w:r>
      <w:r>
        <w:rPr>
          <w:rFonts w:hint="default" w:ascii="Times New Roman" w:hAnsi="Times New Roman" w:cs="Times New Roman"/>
          <w:color w:val="auto"/>
          <w:u w:val="none"/>
          <w:lang w:val="en-US" w:eastAsia="zh-CN"/>
        </w:rPr>
        <w:instrText xml:space="preserve"> HYPERLINK "https://baike.baidu.com/item/%E6%9C%89%E6%9C%BA%E5%90%88%E6%88%90/829667?fromModule=lemma_inlink" \t "https://baike.baidu.com/item/%E9%87%8D%E9%93%AC%E9%85%B8%E9%92%BE/_blank" </w:instrText>
      </w:r>
      <w:r>
        <w:rPr>
          <w:rFonts w:hint="default" w:ascii="Times New Roman" w:hAnsi="Times New Roman" w:cs="Times New Roman"/>
          <w:color w:val="auto"/>
          <w:u w:val="none"/>
          <w:lang w:val="en-US" w:eastAsia="zh-CN"/>
        </w:rPr>
        <w:fldChar w:fldCharType="separate"/>
      </w:r>
      <w:r>
        <w:rPr>
          <w:rFonts w:hint="default" w:ascii="Times New Roman" w:hAnsi="Times New Roman" w:cs="Times New Roman"/>
          <w:color w:val="auto"/>
          <w:u w:val="none"/>
        </w:rPr>
        <w:t>有机合成</w:t>
      </w:r>
      <w:r>
        <w:rPr>
          <w:rFonts w:hint="default" w:ascii="Times New Roman" w:hAnsi="Times New Roman" w:cs="Times New Roman"/>
          <w:color w:val="auto"/>
          <w:u w:val="none"/>
          <w:lang w:val="en-US" w:eastAsia="zh-CN"/>
        </w:rPr>
        <w:fldChar w:fldCharType="end"/>
      </w:r>
      <w:r>
        <w:rPr>
          <w:rFonts w:hint="default" w:ascii="Times New Roman" w:hAnsi="Times New Roman" w:cs="Times New Roman"/>
          <w:color w:val="auto"/>
          <w:u w:val="none"/>
          <w:lang w:val="en-US" w:eastAsia="zh-CN"/>
        </w:rPr>
        <w:t>等。</w:t>
      </w:r>
    </w:p>
    <w:p w14:paraId="60B04D5A">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③</w:t>
      </w:r>
      <w:r>
        <w:rPr>
          <w:rFonts w:hint="default" w:ascii="Times New Roman" w:hAnsi="Times New Roman" w:cs="Times New Roman"/>
          <w:color w:val="auto"/>
          <w:u w:val="none"/>
        </w:rPr>
        <w:t>片碱：化学式：NaOH，工业品一级≥99.5％、二级≥99.0％，熔点318.4℃，沸点1390℃，相对密度（水=1）2.12，白色半透明片状固体，易潮解。与酸发生中和反应并放热。遇潮时对铝、锌和锡有腐蚀性，并放出易燃易爆的氢气。本品不会燃烧,遇水和水蒸气大量放热，形成腐蚀性溶液。具有强腐蚀性。</w:t>
      </w:r>
    </w:p>
    <w:p w14:paraId="07C8022F">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④</w:t>
      </w:r>
      <w:r>
        <w:rPr>
          <w:rFonts w:hint="default" w:ascii="Times New Roman" w:hAnsi="Times New Roman" w:cs="Times New Roman"/>
          <w:color w:val="auto"/>
          <w:u w:val="none"/>
        </w:rPr>
        <w:t>化抛添加剂：由聚乙二醇（20%）、硫酸钠（15%）、三聚磷酸钠（25%）及水（39%）组成。深灰至黑色不透明液体，PH值小于1.8，相对密度（水=1）1.61。</w:t>
      </w:r>
    </w:p>
    <w:p w14:paraId="6A14CA5C">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⑤</w:t>
      </w:r>
      <w:r>
        <w:rPr>
          <w:rFonts w:hint="default" w:ascii="Times New Roman" w:hAnsi="Times New Roman" w:cs="Times New Roman"/>
          <w:color w:val="auto"/>
          <w:u w:val="none"/>
        </w:rPr>
        <w:t>硫酸：化学式：H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rPr>
        <w:t>，工业级92.5％或98%，无色、粘稠的油状液体，难挥发，遇水大量放热可发生沸溅。熔点105℃，沸点330℃，相对密度（水=1）1.83，饱和蒸气压0.13（145.8℃）kPa；与易燃物（如苯）和可燃物（如糖、纤维素等）接触会发生剧烈反应，甚至引起燃烧。遇电石、高氯酸盐、雷酸盐、硝酸盐、苦味酸盐、金属粉末等猛烈反应，发生爆炸或燃烧。有强烈的腐蚀性和吸水性。</w:t>
      </w:r>
    </w:p>
    <w:p w14:paraId="684C4332">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⑥</w:t>
      </w:r>
      <w:r>
        <w:rPr>
          <w:rFonts w:hint="default" w:ascii="Times New Roman" w:hAnsi="Times New Roman" w:cs="Times New Roman"/>
          <w:color w:val="auto"/>
          <w:u w:val="none"/>
        </w:rPr>
        <w:t>无氮中和剂：由无机盐30%、缓冲剂20%、硫酸10%及水40%组成。无色透明液体，pH值小于3，密度：1.0-1.2g/cm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，有酸性、腐蚀性。</w:t>
      </w:r>
    </w:p>
    <w:p w14:paraId="3F9D6A62">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⑦</w:t>
      </w:r>
      <w:r>
        <w:rPr>
          <w:rFonts w:hint="default" w:ascii="Times New Roman" w:hAnsi="Times New Roman" w:cs="Times New Roman"/>
          <w:color w:val="auto"/>
          <w:u w:val="none"/>
        </w:rPr>
        <w:t>‌表调剂：‌表调剂是一种用于钢铁、锌及其合金金属的化学物质，主要用于改变金属工件的表面微观状态，使其在磷化过程中产生均匀的磷酸盐皮膜，增强耐蚀性能和涂膜附着力。‌ 表调剂通过在工件表面吸附形成结晶核磷化生长点，使工件表面活性均一化，克服皮膜粗化现象，消除金属工件经强碱性脱脂或强酸性除锈所引起的腐蚀不均等缺陷，提高磷化速度并缩短处理时间</w:t>
      </w:r>
    </w:p>
    <w:p w14:paraId="67D8E45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⑨染料：本项目使用两种染料，一种为水溶性染料（含铬/铜），酸性偶氮金属铬染料44.5%、酸性偶氮金属铜染料2.2%、糊精41.2%、醋酸钠10.5%、防菌剂（5-氯-2-甲基-4-异噻唑啉-3-酮）1.5%、消泡剂0.1%，蓝色固体粉末，无气味，能溶于水。无爆炸性。另一种为无铬水溶性染料，由酸性染料44.2%、糊精52.6%、醋酸钠1.7%、防菌剂1.5%组成，黑色固体粉末，无气味，能溶于水。</w:t>
      </w:r>
    </w:p>
    <w:p w14:paraId="595DCB9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⑩中温封孔剂：中温封孔剂是一种特殊的封孔材料，广泛应用于建筑、工业和家居装饰等领域。它是一种固态胶状物质，具有粘度适中、粘结力强、耐热性好等特点，并能快速干燥和固化</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中温封孔剂主要由高分子聚合物、填充剂、胶溶剂等多种成分组成。其中，高分子聚合物是中温封孔剂的主要成分，它能够在加热过程中变软，填充孔隙并黏合材料表面。填充剂则可以增加封孔剂的粘度和填充力，减少涂覆时的渗透性。胶溶剂则作为稀释剂，使封孔剂更易于涂覆。</w:t>
      </w:r>
    </w:p>
    <w:p w14:paraId="7CD63B98">
      <w:pPr>
        <w:ind w:firstLine="480"/>
        <w:rPr>
          <w:rFonts w:hint="default" w:ascii="Times New Roman" w:hAnsi="Times New Roman" w:cs="Times New Roman"/>
          <w:color w:val="auto"/>
          <w:u w:val="none"/>
        </w:rPr>
      </w:pPr>
      <w:r>
        <w:rPr>
          <w:rFonts w:hint="eastAsia"/>
        </w:rPr>
        <w:t>⑪</w:t>
      </w:r>
      <w:r>
        <w:rPr>
          <w:rFonts w:hint="default" w:ascii="Times New Roman" w:hAnsi="Times New Roman" w:cs="Times New Roman"/>
          <w:color w:val="auto"/>
          <w:u w:val="none"/>
        </w:rPr>
        <w:t>硝酸：化学式：HNO3，纯品为无色透明发烟液体，有酸味，工业级一级≥98.2％、二级≥97.2％，熔点-42℃，相对密度（水=1）1.50，饱和蒸气压2.17（145.8℃）kPa，强氧化剂，见光易分解。能与多种物质如金属粉末、电石、硫化氢、松节油等猛烈反应，甚至发生爆炸。与还原剂、可燃物如糖、纤维素、木屑、稻草等接触，引起燃烧并散发出剧毒的棕色烟雾。</w:t>
      </w:r>
    </w:p>
    <w:p w14:paraId="38BA7D6B">
      <w:pPr>
        <w:pStyle w:val="4"/>
        <w:ind w:left="0" w:leftChars="0" w:firstLineChars="0"/>
        <w:rPr>
          <w:rFonts w:hint="default" w:ascii="Times New Roman" w:hAnsi="Times New Roman" w:cs="Times New Roman"/>
          <w:color w:val="auto"/>
          <w:u w:val="none"/>
        </w:rPr>
      </w:pPr>
      <w:bookmarkStart w:id="64" w:name="_Toc18549"/>
      <w:bookmarkStart w:id="65" w:name="_Toc490915902"/>
      <w:bookmarkStart w:id="66" w:name="_Toc350783556"/>
      <w:bookmarkStart w:id="67" w:name="_Toc14064"/>
      <w:bookmarkStart w:id="68" w:name="_Toc209237363"/>
      <w:r>
        <w:rPr>
          <w:rFonts w:hint="default" w:ascii="Times New Roman" w:hAnsi="Times New Roman" w:cs="Times New Roman"/>
          <w:color w:val="auto"/>
          <w:u w:val="none"/>
        </w:rPr>
        <w:t>主要设备</w:t>
      </w:r>
      <w:bookmarkEnd w:id="64"/>
      <w:bookmarkEnd w:id="65"/>
      <w:bookmarkEnd w:id="66"/>
      <w:bookmarkEnd w:id="67"/>
    </w:p>
    <w:p w14:paraId="5C3B6DBB">
      <w:pPr>
        <w:numPr>
          <w:ilvl w:val="0"/>
          <w:numId w:val="6"/>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主要生产设备清单</w:t>
      </w:r>
      <w:bookmarkStart w:id="69" w:name="_Toc31326"/>
      <w:bookmarkStart w:id="70" w:name="_Toc350783557"/>
      <w:bookmarkStart w:id="71" w:name="_Toc490915903"/>
      <w:r>
        <w:rPr>
          <w:rFonts w:hint="eastAsia" w:ascii="Times New Roman" w:hAnsi="Times New Roman" w:cs="Times New Roman"/>
          <w:color w:val="auto"/>
          <w:u w:val="none"/>
          <w:lang w:eastAsia="zh-CN"/>
        </w:rPr>
        <w:t>；</w:t>
      </w:r>
    </w:p>
    <w:p w14:paraId="32DE196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表3.4-1  项目</w:t>
      </w:r>
      <w:r>
        <w:rPr>
          <w:rFonts w:hint="eastAsia" w:cs="Times New Roman"/>
          <w:b/>
          <w:bCs/>
          <w:color w:val="auto"/>
          <w:u w:val="none"/>
          <w:lang w:val="en-US" w:eastAsia="zh-CN"/>
        </w:rPr>
        <w:t>主要</w:t>
      </w:r>
      <w:r>
        <w:rPr>
          <w:rFonts w:hint="default" w:ascii="Times New Roman" w:hAnsi="Times New Roman" w:cs="Times New Roman"/>
          <w:b/>
          <w:bCs/>
          <w:color w:val="auto"/>
          <w:u w:val="none"/>
        </w:rPr>
        <w:t>设备一览表</w:t>
      </w:r>
    </w:p>
    <w:tbl>
      <w:tblPr>
        <w:tblStyle w:val="30"/>
        <w:tblW w:w="499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8"/>
        <w:gridCol w:w="4229"/>
        <w:gridCol w:w="3053"/>
        <w:gridCol w:w="1844"/>
      </w:tblGrid>
      <w:tr w14:paraId="3E6D8D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3EECA5E1">
            <w:pPr>
              <w:pStyle w:val="41"/>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序号</w:t>
            </w:r>
          </w:p>
        </w:tc>
        <w:tc>
          <w:tcPr>
            <w:tcW w:w="2147" w:type="pct"/>
            <w:vAlign w:val="center"/>
          </w:tcPr>
          <w:p w14:paraId="28BFF413">
            <w:pPr>
              <w:pStyle w:val="41"/>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设备名称</w:t>
            </w:r>
          </w:p>
        </w:tc>
        <w:tc>
          <w:tcPr>
            <w:tcW w:w="1550" w:type="pct"/>
            <w:vAlign w:val="center"/>
          </w:tcPr>
          <w:p w14:paraId="6BA8ABE0">
            <w:pPr>
              <w:pStyle w:val="41"/>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规格、型号</w:t>
            </w:r>
          </w:p>
        </w:tc>
        <w:tc>
          <w:tcPr>
            <w:tcW w:w="936" w:type="pct"/>
            <w:vAlign w:val="center"/>
          </w:tcPr>
          <w:p w14:paraId="5EEE02AD">
            <w:pPr>
              <w:pStyle w:val="41"/>
              <w:rPr>
                <w:rFonts w:hint="default" w:ascii="Times New Roman" w:hAnsi="Times New Roman" w:eastAsia="宋体" w:cs="Times New Roman"/>
                <w:b/>
                <w:bCs/>
                <w:color w:val="auto"/>
                <w:sz w:val="21"/>
                <w:szCs w:val="21"/>
                <w:u w:val="none"/>
              </w:rPr>
            </w:pPr>
            <w:r>
              <w:rPr>
                <w:rFonts w:hint="default" w:ascii="Times New Roman" w:hAnsi="Times New Roman" w:eastAsia="宋体" w:cs="Times New Roman"/>
                <w:b/>
                <w:bCs/>
                <w:color w:val="auto"/>
                <w:sz w:val="21"/>
                <w:szCs w:val="21"/>
                <w:u w:val="none"/>
              </w:rPr>
              <w:t>数量（台/套/条）</w:t>
            </w:r>
          </w:p>
        </w:tc>
      </w:tr>
      <w:tr w14:paraId="3BD411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1A7DE1FC">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c>
          <w:tcPr>
            <w:tcW w:w="2147" w:type="pct"/>
            <w:vAlign w:val="center"/>
          </w:tcPr>
          <w:p w14:paraId="777E6E21">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自动阳极设备</w:t>
            </w:r>
          </w:p>
        </w:tc>
        <w:tc>
          <w:tcPr>
            <w:tcW w:w="1550" w:type="pct"/>
            <w:vAlign w:val="center"/>
          </w:tcPr>
          <w:p w14:paraId="591684AB">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RST-ZDYH5300L</w:t>
            </w:r>
          </w:p>
        </w:tc>
        <w:tc>
          <w:tcPr>
            <w:tcW w:w="936" w:type="pct"/>
            <w:vAlign w:val="center"/>
          </w:tcPr>
          <w:p w14:paraId="7F96F4C4">
            <w:pPr>
              <w:pStyle w:val="41"/>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2</w:t>
            </w:r>
          </w:p>
        </w:tc>
      </w:tr>
      <w:tr w14:paraId="3EED39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5A1767B5">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w:t>
            </w:r>
          </w:p>
        </w:tc>
        <w:tc>
          <w:tcPr>
            <w:tcW w:w="2147" w:type="pct"/>
            <w:vAlign w:val="center"/>
          </w:tcPr>
          <w:p w14:paraId="10A30DB4">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酸碱废气处理设备</w:t>
            </w:r>
          </w:p>
        </w:tc>
        <w:tc>
          <w:tcPr>
            <w:tcW w:w="1550" w:type="pct"/>
            <w:vAlign w:val="center"/>
          </w:tcPr>
          <w:p w14:paraId="3CBAB2E4">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RST-SJFQ5000H</w:t>
            </w:r>
          </w:p>
        </w:tc>
        <w:tc>
          <w:tcPr>
            <w:tcW w:w="936" w:type="pct"/>
            <w:vAlign w:val="center"/>
          </w:tcPr>
          <w:p w14:paraId="6D6DA8B3">
            <w:pPr>
              <w:pStyle w:val="41"/>
              <w:rPr>
                <w:rFonts w:hint="default" w:ascii="Times New Roman" w:hAnsi="Times New Roman" w:eastAsia="宋体" w:cs="Times New Roman"/>
                <w:color w:val="auto"/>
                <w:sz w:val="21"/>
                <w:szCs w:val="21"/>
                <w:u w:val="none"/>
                <w:lang w:eastAsia="zh-CN"/>
              </w:rPr>
            </w:pPr>
            <w:r>
              <w:rPr>
                <w:rFonts w:hint="default" w:ascii="Times New Roman" w:hAnsi="Times New Roman" w:eastAsia="宋体" w:cs="Times New Roman"/>
                <w:color w:val="auto"/>
                <w:sz w:val="21"/>
                <w:szCs w:val="21"/>
                <w:u w:val="none"/>
                <w:lang w:val="en-US" w:eastAsia="zh-CN"/>
              </w:rPr>
              <w:t>1</w:t>
            </w:r>
          </w:p>
        </w:tc>
      </w:tr>
      <w:tr w14:paraId="5F6D76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66EA0395">
            <w:pPr>
              <w:pStyle w:val="41"/>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3</w:t>
            </w:r>
          </w:p>
        </w:tc>
        <w:tc>
          <w:tcPr>
            <w:tcW w:w="2147" w:type="pct"/>
            <w:vAlign w:val="center"/>
          </w:tcPr>
          <w:p w14:paraId="7C668390">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rPr>
              <w:t>含铬废气处理设备</w:t>
            </w:r>
          </w:p>
        </w:tc>
        <w:tc>
          <w:tcPr>
            <w:tcW w:w="1550" w:type="pct"/>
            <w:vAlign w:val="center"/>
          </w:tcPr>
          <w:p w14:paraId="75895A91">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rPr>
              <w:t>RST-HGFQ4500H</w:t>
            </w:r>
          </w:p>
        </w:tc>
        <w:tc>
          <w:tcPr>
            <w:tcW w:w="936" w:type="pct"/>
            <w:vAlign w:val="center"/>
          </w:tcPr>
          <w:p w14:paraId="08C112B4">
            <w:pPr>
              <w:pStyle w:val="41"/>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rPr>
              <w:t>1</w:t>
            </w:r>
          </w:p>
        </w:tc>
      </w:tr>
      <w:tr w14:paraId="4B74D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7FEA0EA3">
            <w:pPr>
              <w:pStyle w:val="41"/>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4</w:t>
            </w:r>
          </w:p>
        </w:tc>
        <w:tc>
          <w:tcPr>
            <w:tcW w:w="2147" w:type="pct"/>
            <w:vAlign w:val="center"/>
          </w:tcPr>
          <w:p w14:paraId="555D9A4D">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纯水机</w:t>
            </w:r>
          </w:p>
        </w:tc>
        <w:tc>
          <w:tcPr>
            <w:tcW w:w="1550" w:type="pct"/>
            <w:vAlign w:val="center"/>
          </w:tcPr>
          <w:p w14:paraId="11C6072F">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7.5*302</w:t>
            </w:r>
          </w:p>
        </w:tc>
        <w:tc>
          <w:tcPr>
            <w:tcW w:w="936" w:type="pct"/>
            <w:vAlign w:val="center"/>
          </w:tcPr>
          <w:p w14:paraId="62E58270">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w:t>
            </w:r>
          </w:p>
        </w:tc>
      </w:tr>
      <w:tr w14:paraId="7B0693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752226C6">
            <w:pPr>
              <w:pStyle w:val="41"/>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5</w:t>
            </w:r>
          </w:p>
        </w:tc>
        <w:tc>
          <w:tcPr>
            <w:tcW w:w="2147" w:type="pct"/>
            <w:vAlign w:val="center"/>
          </w:tcPr>
          <w:p w14:paraId="64C296AF">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冷冻机</w:t>
            </w:r>
          </w:p>
        </w:tc>
        <w:tc>
          <w:tcPr>
            <w:tcW w:w="1550" w:type="pct"/>
            <w:vAlign w:val="center"/>
          </w:tcPr>
          <w:p w14:paraId="6AA71A9B">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30*302</w:t>
            </w:r>
          </w:p>
        </w:tc>
        <w:tc>
          <w:tcPr>
            <w:tcW w:w="936" w:type="pct"/>
            <w:vAlign w:val="center"/>
          </w:tcPr>
          <w:p w14:paraId="2AD91C21">
            <w:pPr>
              <w:pStyle w:val="41"/>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2</w:t>
            </w:r>
          </w:p>
        </w:tc>
      </w:tr>
      <w:tr w14:paraId="12A0D5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65" w:type="pct"/>
            <w:vAlign w:val="center"/>
          </w:tcPr>
          <w:p w14:paraId="6F95CF5E">
            <w:pPr>
              <w:pStyle w:val="41"/>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6</w:t>
            </w:r>
          </w:p>
        </w:tc>
        <w:tc>
          <w:tcPr>
            <w:tcW w:w="2147" w:type="pct"/>
            <w:vAlign w:val="center"/>
          </w:tcPr>
          <w:p w14:paraId="23EBAE19">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空压机</w:t>
            </w:r>
          </w:p>
        </w:tc>
        <w:tc>
          <w:tcPr>
            <w:tcW w:w="1550" w:type="pct"/>
            <w:vAlign w:val="center"/>
          </w:tcPr>
          <w:p w14:paraId="03A92057">
            <w:pPr>
              <w:pStyle w:val="41"/>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20*302</w:t>
            </w:r>
          </w:p>
        </w:tc>
        <w:tc>
          <w:tcPr>
            <w:tcW w:w="936" w:type="pct"/>
            <w:vAlign w:val="center"/>
          </w:tcPr>
          <w:p w14:paraId="07E9D2AD">
            <w:pPr>
              <w:pStyle w:val="41"/>
              <w:rPr>
                <w:rFonts w:hint="eastAsia" w:ascii="Times New Roman" w:hAnsi="Times New Roman" w:eastAsia="宋体" w:cs="Times New Roman"/>
                <w:color w:val="auto"/>
                <w:sz w:val="21"/>
                <w:szCs w:val="21"/>
                <w:u w:val="none"/>
                <w:lang w:eastAsia="zh-CN"/>
              </w:rPr>
            </w:pPr>
            <w:r>
              <w:rPr>
                <w:rFonts w:hint="eastAsia" w:cs="Times New Roman"/>
                <w:color w:val="auto"/>
                <w:sz w:val="21"/>
                <w:szCs w:val="21"/>
                <w:u w:val="none"/>
                <w:lang w:val="en-US" w:eastAsia="zh-CN"/>
              </w:rPr>
              <w:t>1</w:t>
            </w:r>
          </w:p>
        </w:tc>
      </w:tr>
    </w:tbl>
    <w:p w14:paraId="52A6738E">
      <w:pPr>
        <w:numPr>
          <w:ilvl w:val="0"/>
          <w:numId w:val="6"/>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配套铝阳极氧化线情况</w:t>
      </w:r>
      <w:r>
        <w:rPr>
          <w:rFonts w:hint="eastAsia" w:ascii="Times New Roman" w:hAnsi="Times New Roman" w:cs="Times New Roman"/>
          <w:color w:val="auto"/>
          <w:u w:val="none"/>
          <w:lang w:eastAsia="zh-CN"/>
        </w:rPr>
        <w:t>；</w:t>
      </w:r>
    </w:p>
    <w:p w14:paraId="0E06760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表3.4-</w:t>
      </w:r>
      <w:r>
        <w:rPr>
          <w:rFonts w:hint="eastAsia" w:cs="Times New Roman"/>
          <w:b/>
          <w:bCs/>
          <w:color w:val="auto"/>
          <w:u w:val="none"/>
          <w:lang w:val="en-US" w:eastAsia="zh-CN"/>
        </w:rPr>
        <w:t>2</w:t>
      </w:r>
      <w:r>
        <w:rPr>
          <w:rFonts w:hint="default" w:ascii="Times New Roman" w:hAnsi="Times New Roman" w:cs="Times New Roman"/>
          <w:b/>
          <w:bCs/>
          <w:color w:val="auto"/>
          <w:u w:val="none"/>
        </w:rPr>
        <w:t xml:space="preserve">  大自动阳极氧化生产线槽体排列及尺寸</w:t>
      </w:r>
    </w:p>
    <w:tbl>
      <w:tblPr>
        <w:tblStyle w:val="30"/>
        <w:tblW w:w="4996"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59"/>
        <w:gridCol w:w="2141"/>
        <w:gridCol w:w="1225"/>
        <w:gridCol w:w="1265"/>
        <w:gridCol w:w="1263"/>
        <w:gridCol w:w="1271"/>
        <w:gridCol w:w="1422"/>
      </w:tblGrid>
      <w:tr w14:paraId="039BAEB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atLeast"/>
        </w:trPr>
        <w:tc>
          <w:tcPr>
            <w:tcW w:w="639" w:type="pct"/>
            <w:vMerge w:val="restart"/>
            <w:tcBorders>
              <w:tl2br w:val="nil"/>
              <w:tr2bl w:val="nil"/>
            </w:tcBorders>
            <w:shd w:val="clear" w:color="auto" w:fill="auto"/>
            <w:noWrap/>
            <w:vAlign w:val="center"/>
          </w:tcPr>
          <w:p w14:paraId="2E4FD3C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087" w:type="pct"/>
            <w:vMerge w:val="restart"/>
            <w:tcBorders>
              <w:tl2br w:val="nil"/>
              <w:tr2bl w:val="nil"/>
            </w:tcBorders>
            <w:shd w:val="clear" w:color="auto" w:fill="auto"/>
            <w:noWrap/>
            <w:vAlign w:val="center"/>
          </w:tcPr>
          <w:p w14:paraId="2B8D43F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槽体名称</w:t>
            </w:r>
          </w:p>
        </w:tc>
        <w:tc>
          <w:tcPr>
            <w:tcW w:w="622" w:type="pct"/>
            <w:vMerge w:val="restart"/>
            <w:tcBorders>
              <w:tl2br w:val="nil"/>
              <w:tr2bl w:val="nil"/>
            </w:tcBorders>
            <w:shd w:val="clear" w:color="auto" w:fill="auto"/>
            <w:noWrap/>
            <w:vAlign w:val="center"/>
          </w:tcPr>
          <w:p w14:paraId="6EE0EAD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1928" w:type="pct"/>
            <w:gridSpan w:val="3"/>
            <w:tcBorders>
              <w:tl2br w:val="nil"/>
              <w:tr2bl w:val="nil"/>
            </w:tcBorders>
            <w:shd w:val="clear" w:color="auto" w:fill="auto"/>
            <w:noWrap/>
            <w:vAlign w:val="center"/>
          </w:tcPr>
          <w:p w14:paraId="10D4E4C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槽体尺寸</w:t>
            </w:r>
          </w:p>
        </w:tc>
        <w:tc>
          <w:tcPr>
            <w:tcW w:w="722" w:type="pct"/>
            <w:vMerge w:val="restart"/>
            <w:tcBorders>
              <w:tl2br w:val="nil"/>
              <w:tr2bl w:val="nil"/>
            </w:tcBorders>
            <w:shd w:val="clear" w:color="auto" w:fill="auto"/>
            <w:noWrap/>
            <w:vAlign w:val="center"/>
          </w:tcPr>
          <w:p w14:paraId="677B099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有效容积m</w:t>
            </w:r>
            <w:r>
              <w:rPr>
                <w:rFonts w:hint="default" w:ascii="Times New Roman" w:hAnsi="Times New Roman" w:cs="Times New Roman"/>
                <w:b/>
                <w:bCs/>
                <w:color w:val="auto"/>
                <w:u w:val="none"/>
                <w:vertAlign w:val="superscript"/>
              </w:rPr>
              <w:t>3</w:t>
            </w:r>
          </w:p>
        </w:tc>
      </w:tr>
      <w:tr w14:paraId="5E20EDB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39" w:type="pct"/>
            <w:vMerge w:val="continue"/>
            <w:tcBorders>
              <w:tl2br w:val="nil"/>
              <w:tr2bl w:val="nil"/>
            </w:tcBorders>
            <w:shd w:val="clear" w:color="auto" w:fill="auto"/>
            <w:noWrap/>
            <w:vAlign w:val="center"/>
          </w:tcPr>
          <w:p w14:paraId="33151971">
            <w:pPr>
              <w:pStyle w:val="41"/>
              <w:rPr>
                <w:rFonts w:hint="default" w:ascii="Times New Roman" w:hAnsi="Times New Roman" w:cs="Times New Roman"/>
                <w:color w:val="auto"/>
                <w:u w:val="none"/>
              </w:rPr>
            </w:pPr>
          </w:p>
        </w:tc>
        <w:tc>
          <w:tcPr>
            <w:tcW w:w="1087" w:type="pct"/>
            <w:vMerge w:val="continue"/>
            <w:tcBorders>
              <w:tl2br w:val="nil"/>
              <w:tr2bl w:val="nil"/>
            </w:tcBorders>
            <w:shd w:val="clear" w:color="auto" w:fill="auto"/>
            <w:noWrap/>
            <w:vAlign w:val="center"/>
          </w:tcPr>
          <w:p w14:paraId="042DED20">
            <w:pPr>
              <w:pStyle w:val="41"/>
              <w:rPr>
                <w:rFonts w:hint="default" w:ascii="Times New Roman" w:hAnsi="Times New Roman" w:cs="Times New Roman"/>
                <w:color w:val="auto"/>
                <w:u w:val="none"/>
              </w:rPr>
            </w:pPr>
          </w:p>
        </w:tc>
        <w:tc>
          <w:tcPr>
            <w:tcW w:w="622" w:type="pct"/>
            <w:vMerge w:val="continue"/>
            <w:tcBorders>
              <w:tl2br w:val="nil"/>
              <w:tr2bl w:val="nil"/>
            </w:tcBorders>
            <w:shd w:val="clear" w:color="auto" w:fill="auto"/>
            <w:noWrap/>
            <w:vAlign w:val="center"/>
          </w:tcPr>
          <w:p w14:paraId="0FB9DA9D">
            <w:pPr>
              <w:pStyle w:val="41"/>
              <w:rPr>
                <w:rFonts w:hint="default" w:ascii="Times New Roman" w:hAnsi="Times New Roman" w:cs="Times New Roman"/>
                <w:color w:val="auto"/>
                <w:u w:val="none"/>
              </w:rPr>
            </w:pPr>
          </w:p>
        </w:tc>
        <w:tc>
          <w:tcPr>
            <w:tcW w:w="642" w:type="pct"/>
            <w:tcBorders>
              <w:tl2br w:val="nil"/>
              <w:tr2bl w:val="nil"/>
            </w:tcBorders>
            <w:shd w:val="clear" w:color="auto" w:fill="auto"/>
            <w:noWrap/>
            <w:vAlign w:val="center"/>
          </w:tcPr>
          <w:p w14:paraId="2BA90F6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长mm</w:t>
            </w:r>
          </w:p>
        </w:tc>
        <w:tc>
          <w:tcPr>
            <w:tcW w:w="641" w:type="pct"/>
            <w:tcBorders>
              <w:tl2br w:val="nil"/>
              <w:tr2bl w:val="nil"/>
            </w:tcBorders>
            <w:shd w:val="clear" w:color="auto" w:fill="auto"/>
            <w:noWrap/>
            <w:vAlign w:val="center"/>
          </w:tcPr>
          <w:p w14:paraId="175C28B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宽mm</w:t>
            </w:r>
          </w:p>
        </w:tc>
        <w:tc>
          <w:tcPr>
            <w:tcW w:w="644" w:type="pct"/>
            <w:tcBorders>
              <w:tl2br w:val="nil"/>
              <w:tr2bl w:val="nil"/>
            </w:tcBorders>
            <w:shd w:val="clear" w:color="auto" w:fill="auto"/>
            <w:noWrap/>
            <w:vAlign w:val="center"/>
          </w:tcPr>
          <w:p w14:paraId="385861B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高mm</w:t>
            </w:r>
          </w:p>
        </w:tc>
        <w:tc>
          <w:tcPr>
            <w:tcW w:w="722" w:type="pct"/>
            <w:vMerge w:val="continue"/>
            <w:tcBorders>
              <w:tl2br w:val="nil"/>
              <w:tr2bl w:val="nil"/>
            </w:tcBorders>
            <w:shd w:val="clear" w:color="auto" w:fill="auto"/>
            <w:noWrap/>
            <w:vAlign w:val="center"/>
          </w:tcPr>
          <w:p w14:paraId="4805DE4D">
            <w:pPr>
              <w:pStyle w:val="41"/>
              <w:rPr>
                <w:rFonts w:hint="default" w:ascii="Times New Roman" w:hAnsi="Times New Roman" w:cs="Times New Roman"/>
                <w:color w:val="auto"/>
                <w:u w:val="none"/>
              </w:rPr>
            </w:pPr>
          </w:p>
        </w:tc>
      </w:tr>
      <w:tr w14:paraId="34685B2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46D6DFFE">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87" w:type="pct"/>
            <w:tcBorders>
              <w:tl2br w:val="nil"/>
              <w:tr2bl w:val="nil"/>
            </w:tcBorders>
            <w:shd w:val="clear" w:color="auto" w:fill="auto"/>
            <w:noWrap/>
            <w:vAlign w:val="center"/>
          </w:tcPr>
          <w:p w14:paraId="0C35BA2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化学除油</w:t>
            </w:r>
          </w:p>
        </w:tc>
        <w:tc>
          <w:tcPr>
            <w:tcW w:w="622" w:type="pct"/>
            <w:tcBorders>
              <w:tl2br w:val="nil"/>
              <w:tr2bl w:val="nil"/>
            </w:tcBorders>
            <w:shd w:val="clear" w:color="auto" w:fill="auto"/>
            <w:noWrap/>
            <w:vAlign w:val="center"/>
          </w:tcPr>
          <w:p w14:paraId="6E052DCF">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3F1A561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62BD0573">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17D29D4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8E16B1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70BE25C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6BB1809D">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087" w:type="pct"/>
            <w:tcBorders>
              <w:tl2br w:val="nil"/>
              <w:tr2bl w:val="nil"/>
            </w:tcBorders>
            <w:shd w:val="clear" w:color="auto" w:fill="auto"/>
            <w:noWrap/>
            <w:vAlign w:val="center"/>
          </w:tcPr>
          <w:p w14:paraId="4BB34CC5">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热水洗</w:t>
            </w:r>
          </w:p>
        </w:tc>
        <w:tc>
          <w:tcPr>
            <w:tcW w:w="622" w:type="pct"/>
            <w:tcBorders>
              <w:tl2br w:val="nil"/>
              <w:tr2bl w:val="nil"/>
            </w:tcBorders>
            <w:shd w:val="clear" w:color="auto" w:fill="auto"/>
            <w:noWrap/>
            <w:vAlign w:val="center"/>
          </w:tcPr>
          <w:p w14:paraId="3A7997AF">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0BC11EC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30AE8CFC">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5747567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E360987">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2694970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162F794C">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1087" w:type="pct"/>
            <w:tcBorders>
              <w:tl2br w:val="nil"/>
              <w:tr2bl w:val="nil"/>
            </w:tcBorders>
            <w:shd w:val="clear" w:color="auto" w:fill="auto"/>
            <w:noWrap/>
            <w:vAlign w:val="center"/>
          </w:tcPr>
          <w:p w14:paraId="5B453DF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0B9FD175">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656A537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287E053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1AEB51BC">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2D2277E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08C49F9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43DCAABC">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087" w:type="pct"/>
            <w:tcBorders>
              <w:tl2br w:val="nil"/>
              <w:tr2bl w:val="nil"/>
            </w:tcBorders>
            <w:shd w:val="clear" w:color="auto" w:fill="auto"/>
            <w:noWrap/>
            <w:vAlign w:val="center"/>
          </w:tcPr>
          <w:p w14:paraId="3D9DA15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光亮腐蚀</w:t>
            </w:r>
          </w:p>
        </w:tc>
        <w:tc>
          <w:tcPr>
            <w:tcW w:w="622" w:type="pct"/>
            <w:tcBorders>
              <w:tl2br w:val="nil"/>
              <w:tr2bl w:val="nil"/>
            </w:tcBorders>
            <w:shd w:val="clear" w:color="auto" w:fill="auto"/>
            <w:noWrap/>
            <w:vAlign w:val="center"/>
          </w:tcPr>
          <w:p w14:paraId="21907401">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501B988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12D3CDD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368F81F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40BE982F">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1E7D4FC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09B51387">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087" w:type="pct"/>
            <w:tcBorders>
              <w:tl2br w:val="nil"/>
              <w:tr2bl w:val="nil"/>
            </w:tcBorders>
            <w:shd w:val="clear" w:color="auto" w:fill="auto"/>
            <w:noWrap/>
            <w:vAlign w:val="center"/>
          </w:tcPr>
          <w:p w14:paraId="51B78F5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447DCCBC">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1C2F942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237A0D3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1DD917A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28D8B4B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3686081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38FB229A">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087" w:type="pct"/>
            <w:tcBorders>
              <w:tl2br w:val="nil"/>
              <w:tr2bl w:val="nil"/>
            </w:tcBorders>
            <w:shd w:val="clear" w:color="auto" w:fill="auto"/>
            <w:noWrap/>
            <w:vAlign w:val="center"/>
          </w:tcPr>
          <w:p w14:paraId="5AA91BAF">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碱蚀</w:t>
            </w:r>
          </w:p>
        </w:tc>
        <w:tc>
          <w:tcPr>
            <w:tcW w:w="622" w:type="pct"/>
            <w:tcBorders>
              <w:tl2br w:val="nil"/>
              <w:tr2bl w:val="nil"/>
            </w:tcBorders>
            <w:shd w:val="clear" w:color="auto" w:fill="auto"/>
            <w:noWrap/>
            <w:vAlign w:val="center"/>
          </w:tcPr>
          <w:p w14:paraId="3D955F26">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028DA97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01924A6C">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26FB4CA8">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4D96F3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231C079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13F368E0">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1087" w:type="pct"/>
            <w:tcBorders>
              <w:tl2br w:val="nil"/>
              <w:tr2bl w:val="nil"/>
            </w:tcBorders>
            <w:shd w:val="clear" w:color="auto" w:fill="auto"/>
            <w:noWrap/>
            <w:vAlign w:val="center"/>
          </w:tcPr>
          <w:p w14:paraId="64C2409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热水洗</w:t>
            </w:r>
          </w:p>
        </w:tc>
        <w:tc>
          <w:tcPr>
            <w:tcW w:w="622" w:type="pct"/>
            <w:tcBorders>
              <w:tl2br w:val="nil"/>
              <w:tr2bl w:val="nil"/>
            </w:tcBorders>
            <w:shd w:val="clear" w:color="auto" w:fill="auto"/>
            <w:noWrap/>
            <w:vAlign w:val="center"/>
          </w:tcPr>
          <w:p w14:paraId="3C2DA7D6">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54FD210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09C0DB0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6ABF5B1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214FBADC">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012AD06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217E5BB7">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1087" w:type="pct"/>
            <w:tcBorders>
              <w:tl2br w:val="nil"/>
              <w:tr2bl w:val="nil"/>
            </w:tcBorders>
            <w:shd w:val="clear" w:color="auto" w:fill="auto"/>
            <w:noWrap/>
            <w:vAlign w:val="center"/>
          </w:tcPr>
          <w:p w14:paraId="0338D6E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7CDE7205">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1D29456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25A73951">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774ADB3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7228579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1C4514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3F4E8476">
            <w:pPr>
              <w:pStyle w:val="41"/>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1087" w:type="pct"/>
            <w:tcBorders>
              <w:tl2br w:val="nil"/>
              <w:tr2bl w:val="nil"/>
            </w:tcBorders>
            <w:shd w:val="clear" w:color="auto" w:fill="auto"/>
            <w:noWrap/>
            <w:vAlign w:val="center"/>
          </w:tcPr>
          <w:p w14:paraId="561233F8">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出光</w:t>
            </w:r>
          </w:p>
        </w:tc>
        <w:tc>
          <w:tcPr>
            <w:tcW w:w="622" w:type="pct"/>
            <w:tcBorders>
              <w:tl2br w:val="nil"/>
              <w:tr2bl w:val="nil"/>
            </w:tcBorders>
            <w:shd w:val="clear" w:color="auto" w:fill="auto"/>
            <w:noWrap/>
            <w:vAlign w:val="center"/>
          </w:tcPr>
          <w:p w14:paraId="23B051E7">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7AE801A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45B1691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3965C8D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01AD6AC">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1279F21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27469E43">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087" w:type="pct"/>
            <w:tcBorders>
              <w:tl2br w:val="nil"/>
              <w:tr2bl w:val="nil"/>
            </w:tcBorders>
            <w:shd w:val="clear" w:color="auto" w:fill="auto"/>
            <w:noWrap/>
            <w:vAlign w:val="center"/>
          </w:tcPr>
          <w:p w14:paraId="18B271C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247B2CA5">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779708E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477362D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75C2A70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5B06F0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2C7F57D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03864EEB">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1087" w:type="pct"/>
            <w:tcBorders>
              <w:tl2br w:val="nil"/>
              <w:tr2bl w:val="nil"/>
            </w:tcBorders>
            <w:shd w:val="clear" w:color="auto" w:fill="auto"/>
            <w:noWrap/>
            <w:vAlign w:val="center"/>
          </w:tcPr>
          <w:p w14:paraId="68B41DB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氧化槽1</w:t>
            </w:r>
          </w:p>
        </w:tc>
        <w:tc>
          <w:tcPr>
            <w:tcW w:w="622" w:type="pct"/>
            <w:tcBorders>
              <w:tl2br w:val="nil"/>
              <w:tr2bl w:val="nil"/>
            </w:tcBorders>
            <w:shd w:val="clear" w:color="auto" w:fill="auto"/>
            <w:noWrap/>
            <w:vAlign w:val="center"/>
          </w:tcPr>
          <w:p w14:paraId="60CB501C">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48E5CFF8">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45F2F06F">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1600</w:t>
            </w:r>
          </w:p>
        </w:tc>
        <w:tc>
          <w:tcPr>
            <w:tcW w:w="644" w:type="pct"/>
            <w:tcBorders>
              <w:tl2br w:val="nil"/>
              <w:tr2bl w:val="nil"/>
            </w:tcBorders>
            <w:shd w:val="clear" w:color="auto" w:fill="auto"/>
            <w:noWrap/>
            <w:vAlign w:val="center"/>
          </w:tcPr>
          <w:p w14:paraId="2501501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7DDDCD97">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22.89</w:t>
            </w:r>
          </w:p>
        </w:tc>
      </w:tr>
      <w:tr w14:paraId="3721249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3A675FA8">
            <w:pPr>
              <w:pStyle w:val="41"/>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1087" w:type="pct"/>
            <w:tcBorders>
              <w:tl2br w:val="nil"/>
              <w:tr2bl w:val="nil"/>
            </w:tcBorders>
            <w:shd w:val="clear" w:color="auto" w:fill="auto"/>
            <w:noWrap/>
            <w:vAlign w:val="center"/>
          </w:tcPr>
          <w:p w14:paraId="32D0AD4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氧化槽2</w:t>
            </w:r>
          </w:p>
        </w:tc>
        <w:tc>
          <w:tcPr>
            <w:tcW w:w="622" w:type="pct"/>
            <w:tcBorders>
              <w:tl2br w:val="nil"/>
              <w:tr2bl w:val="nil"/>
            </w:tcBorders>
            <w:shd w:val="clear" w:color="auto" w:fill="auto"/>
            <w:noWrap/>
            <w:vAlign w:val="center"/>
          </w:tcPr>
          <w:p w14:paraId="5CCA8FB7">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6B9C181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62C037E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1600</w:t>
            </w:r>
          </w:p>
        </w:tc>
        <w:tc>
          <w:tcPr>
            <w:tcW w:w="644" w:type="pct"/>
            <w:tcBorders>
              <w:tl2br w:val="nil"/>
              <w:tr2bl w:val="nil"/>
            </w:tcBorders>
            <w:shd w:val="clear" w:color="auto" w:fill="auto"/>
            <w:noWrap/>
            <w:vAlign w:val="center"/>
          </w:tcPr>
          <w:p w14:paraId="1DCAA9E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248EC65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22.89</w:t>
            </w:r>
          </w:p>
        </w:tc>
      </w:tr>
      <w:tr w14:paraId="731C042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5C35ECFA">
            <w:pPr>
              <w:pStyle w:val="41"/>
              <w:rPr>
                <w:rFonts w:hint="default" w:ascii="Times New Roman" w:hAnsi="Times New Roman" w:cs="Times New Roman"/>
                <w:color w:val="auto"/>
                <w:u w:val="none"/>
              </w:rPr>
            </w:pPr>
            <w:r>
              <w:rPr>
                <w:rFonts w:hint="default" w:ascii="Times New Roman" w:hAnsi="Times New Roman" w:cs="Times New Roman"/>
                <w:color w:val="auto"/>
                <w:u w:val="none"/>
              </w:rPr>
              <w:t>13</w:t>
            </w:r>
          </w:p>
        </w:tc>
        <w:tc>
          <w:tcPr>
            <w:tcW w:w="1087" w:type="pct"/>
            <w:tcBorders>
              <w:tl2br w:val="nil"/>
              <w:tr2bl w:val="nil"/>
            </w:tcBorders>
            <w:shd w:val="clear" w:color="auto" w:fill="auto"/>
            <w:noWrap/>
            <w:vAlign w:val="center"/>
          </w:tcPr>
          <w:p w14:paraId="59700BF5">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43F3001F">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2EA92A0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20580BD3">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42E52271">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34DAA58">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1A63D8F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46276699">
            <w:pPr>
              <w:pStyle w:val="41"/>
              <w:rPr>
                <w:rFonts w:hint="default" w:ascii="Times New Roman" w:hAnsi="Times New Roman" w:cs="Times New Roman"/>
                <w:color w:val="auto"/>
                <w:u w:val="none"/>
              </w:rPr>
            </w:pPr>
            <w:r>
              <w:rPr>
                <w:rFonts w:hint="default" w:ascii="Times New Roman" w:hAnsi="Times New Roman" w:cs="Times New Roman"/>
                <w:color w:val="auto"/>
                <w:u w:val="none"/>
              </w:rPr>
              <w:t>14</w:t>
            </w:r>
          </w:p>
        </w:tc>
        <w:tc>
          <w:tcPr>
            <w:tcW w:w="1087" w:type="pct"/>
            <w:tcBorders>
              <w:tl2br w:val="nil"/>
              <w:tr2bl w:val="nil"/>
            </w:tcBorders>
            <w:shd w:val="clear" w:color="auto" w:fill="auto"/>
            <w:noWrap/>
            <w:vAlign w:val="center"/>
          </w:tcPr>
          <w:p w14:paraId="43DBD1A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30C83021">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70E23F6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6200137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56E9ADF5">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57CA6E8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56B06B0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7D82EF99">
            <w:pPr>
              <w:pStyle w:val="41"/>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087" w:type="pct"/>
            <w:tcBorders>
              <w:tl2br w:val="nil"/>
              <w:tr2bl w:val="nil"/>
            </w:tcBorders>
            <w:shd w:val="clear" w:color="auto" w:fill="auto"/>
            <w:noWrap/>
            <w:vAlign w:val="center"/>
          </w:tcPr>
          <w:p w14:paraId="0DA5578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铬酸盐封闭</w:t>
            </w:r>
          </w:p>
        </w:tc>
        <w:tc>
          <w:tcPr>
            <w:tcW w:w="622" w:type="pct"/>
            <w:tcBorders>
              <w:tl2br w:val="nil"/>
              <w:tr2bl w:val="nil"/>
            </w:tcBorders>
            <w:shd w:val="clear" w:color="auto" w:fill="auto"/>
            <w:noWrap/>
            <w:vAlign w:val="center"/>
          </w:tcPr>
          <w:p w14:paraId="2357D667">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33EB177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5B5DA23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4" w:type="pct"/>
            <w:tcBorders>
              <w:tl2br w:val="nil"/>
              <w:tr2bl w:val="nil"/>
            </w:tcBorders>
            <w:shd w:val="clear" w:color="auto" w:fill="auto"/>
            <w:noWrap/>
            <w:vAlign w:val="center"/>
          </w:tcPr>
          <w:p w14:paraId="4678FF1F">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2FAE65C3">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17.17</w:t>
            </w:r>
          </w:p>
        </w:tc>
      </w:tr>
      <w:tr w14:paraId="5C1BF12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7D58A1A9">
            <w:pPr>
              <w:pStyle w:val="41"/>
              <w:rPr>
                <w:rFonts w:hint="default" w:ascii="Times New Roman" w:hAnsi="Times New Roman" w:cs="Times New Roman"/>
                <w:color w:val="auto"/>
                <w:u w:val="none"/>
              </w:rPr>
            </w:pPr>
            <w:r>
              <w:rPr>
                <w:rFonts w:hint="default" w:ascii="Times New Roman" w:hAnsi="Times New Roman" w:cs="Times New Roman"/>
                <w:color w:val="auto"/>
                <w:u w:val="none"/>
              </w:rPr>
              <w:t>16</w:t>
            </w:r>
          </w:p>
        </w:tc>
        <w:tc>
          <w:tcPr>
            <w:tcW w:w="1087" w:type="pct"/>
            <w:tcBorders>
              <w:tl2br w:val="nil"/>
              <w:tr2bl w:val="nil"/>
            </w:tcBorders>
            <w:shd w:val="clear" w:color="auto" w:fill="auto"/>
            <w:noWrap/>
            <w:vAlign w:val="center"/>
          </w:tcPr>
          <w:p w14:paraId="42F046A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0ABF39B1">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388AAA3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57858F3B">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2E114A8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3A18AA4F">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2F237D5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20383637">
            <w:pPr>
              <w:pStyle w:val="41"/>
              <w:rPr>
                <w:rFonts w:hint="default" w:ascii="Times New Roman" w:hAnsi="Times New Roman" w:cs="Times New Roman"/>
                <w:color w:val="auto"/>
                <w:u w:val="none"/>
              </w:rPr>
            </w:pPr>
            <w:r>
              <w:rPr>
                <w:rFonts w:hint="default" w:ascii="Times New Roman" w:hAnsi="Times New Roman" w:cs="Times New Roman"/>
                <w:color w:val="auto"/>
                <w:u w:val="none"/>
              </w:rPr>
              <w:t>17</w:t>
            </w:r>
          </w:p>
        </w:tc>
        <w:tc>
          <w:tcPr>
            <w:tcW w:w="1087" w:type="pct"/>
            <w:tcBorders>
              <w:tl2br w:val="nil"/>
              <w:tr2bl w:val="nil"/>
            </w:tcBorders>
            <w:shd w:val="clear" w:color="auto" w:fill="auto"/>
            <w:noWrap/>
            <w:vAlign w:val="center"/>
          </w:tcPr>
          <w:p w14:paraId="6D3A906A">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染色</w:t>
            </w:r>
          </w:p>
        </w:tc>
        <w:tc>
          <w:tcPr>
            <w:tcW w:w="622" w:type="pct"/>
            <w:tcBorders>
              <w:tl2br w:val="nil"/>
              <w:tr2bl w:val="nil"/>
            </w:tcBorders>
            <w:shd w:val="clear" w:color="auto" w:fill="auto"/>
            <w:noWrap/>
            <w:vAlign w:val="center"/>
          </w:tcPr>
          <w:p w14:paraId="4FFE3874">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645C926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1E2CEF9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4" w:type="pct"/>
            <w:tcBorders>
              <w:tl2br w:val="nil"/>
              <w:tr2bl w:val="nil"/>
            </w:tcBorders>
            <w:shd w:val="clear" w:color="auto" w:fill="auto"/>
            <w:noWrap/>
            <w:vAlign w:val="center"/>
          </w:tcPr>
          <w:p w14:paraId="41325DB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656AC03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17.17</w:t>
            </w:r>
          </w:p>
        </w:tc>
      </w:tr>
      <w:tr w14:paraId="4ADE1DD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5D1FABFC">
            <w:pPr>
              <w:pStyle w:val="41"/>
              <w:rPr>
                <w:rFonts w:hint="default" w:ascii="Times New Roman" w:hAnsi="Times New Roman" w:cs="Times New Roman"/>
                <w:color w:val="auto"/>
                <w:u w:val="none"/>
              </w:rPr>
            </w:pPr>
            <w:r>
              <w:rPr>
                <w:rFonts w:hint="default" w:ascii="Times New Roman" w:hAnsi="Times New Roman" w:cs="Times New Roman"/>
                <w:color w:val="auto"/>
                <w:u w:val="none"/>
              </w:rPr>
              <w:t>18</w:t>
            </w:r>
          </w:p>
        </w:tc>
        <w:tc>
          <w:tcPr>
            <w:tcW w:w="1087" w:type="pct"/>
            <w:tcBorders>
              <w:tl2br w:val="nil"/>
              <w:tr2bl w:val="nil"/>
            </w:tcBorders>
            <w:shd w:val="clear" w:color="auto" w:fill="auto"/>
            <w:noWrap/>
            <w:vAlign w:val="center"/>
          </w:tcPr>
          <w:p w14:paraId="6209CAC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2" w:type="pct"/>
            <w:tcBorders>
              <w:tl2br w:val="nil"/>
              <w:tr2bl w:val="nil"/>
            </w:tcBorders>
            <w:shd w:val="clear" w:color="auto" w:fill="auto"/>
            <w:noWrap/>
            <w:vAlign w:val="center"/>
          </w:tcPr>
          <w:p w14:paraId="22463B9E">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18BF217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56E80CEB">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1CB487B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4CD1540D">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29E8C6A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0D9087FA">
            <w:pPr>
              <w:pStyle w:val="41"/>
              <w:rPr>
                <w:rFonts w:hint="default" w:ascii="Times New Roman" w:hAnsi="Times New Roman" w:cs="Times New Roman"/>
                <w:color w:val="auto"/>
                <w:u w:val="none"/>
              </w:rPr>
            </w:pPr>
            <w:r>
              <w:rPr>
                <w:rFonts w:hint="default" w:ascii="Times New Roman" w:hAnsi="Times New Roman" w:cs="Times New Roman"/>
                <w:color w:val="auto"/>
                <w:u w:val="none"/>
              </w:rPr>
              <w:t>19</w:t>
            </w:r>
          </w:p>
        </w:tc>
        <w:tc>
          <w:tcPr>
            <w:tcW w:w="1087" w:type="pct"/>
            <w:tcBorders>
              <w:tl2br w:val="nil"/>
              <w:tr2bl w:val="nil"/>
            </w:tcBorders>
            <w:shd w:val="clear" w:color="auto" w:fill="auto"/>
            <w:noWrap/>
            <w:vAlign w:val="center"/>
          </w:tcPr>
          <w:p w14:paraId="168D73F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镍盐封闭</w:t>
            </w:r>
          </w:p>
        </w:tc>
        <w:tc>
          <w:tcPr>
            <w:tcW w:w="622" w:type="pct"/>
            <w:tcBorders>
              <w:tl2br w:val="nil"/>
              <w:tr2bl w:val="nil"/>
            </w:tcBorders>
            <w:shd w:val="clear" w:color="auto" w:fill="auto"/>
            <w:noWrap/>
            <w:vAlign w:val="center"/>
          </w:tcPr>
          <w:p w14:paraId="3A14D7C9">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6818AE81">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5D9408C7">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4" w:type="pct"/>
            <w:tcBorders>
              <w:tl2br w:val="nil"/>
              <w:tr2bl w:val="nil"/>
            </w:tcBorders>
            <w:shd w:val="clear" w:color="auto" w:fill="auto"/>
            <w:noWrap/>
            <w:vAlign w:val="center"/>
          </w:tcPr>
          <w:p w14:paraId="0ADC688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3628BA90">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17.17</w:t>
            </w:r>
          </w:p>
        </w:tc>
      </w:tr>
      <w:tr w14:paraId="0529295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2693CCDF">
            <w:pPr>
              <w:pStyle w:val="41"/>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1087" w:type="pct"/>
            <w:tcBorders>
              <w:tl2br w:val="nil"/>
              <w:tr2bl w:val="nil"/>
            </w:tcBorders>
            <w:shd w:val="clear" w:color="auto" w:fill="auto"/>
            <w:noWrap/>
            <w:vAlign w:val="center"/>
          </w:tcPr>
          <w:p w14:paraId="4D6E3C4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水洗</w:t>
            </w:r>
          </w:p>
        </w:tc>
        <w:tc>
          <w:tcPr>
            <w:tcW w:w="622" w:type="pct"/>
            <w:tcBorders>
              <w:tl2br w:val="nil"/>
              <w:tr2bl w:val="nil"/>
            </w:tcBorders>
            <w:shd w:val="clear" w:color="auto" w:fill="auto"/>
            <w:noWrap/>
            <w:vAlign w:val="center"/>
          </w:tcPr>
          <w:p w14:paraId="568A2D2C">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085DC347">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0DD699E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1100</w:t>
            </w:r>
          </w:p>
        </w:tc>
        <w:tc>
          <w:tcPr>
            <w:tcW w:w="644" w:type="pct"/>
            <w:tcBorders>
              <w:tl2br w:val="nil"/>
              <w:tr2bl w:val="nil"/>
            </w:tcBorders>
            <w:shd w:val="clear" w:color="auto" w:fill="auto"/>
            <w:noWrap/>
            <w:vAlign w:val="center"/>
          </w:tcPr>
          <w:p w14:paraId="33C0BB79">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2D256B8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15.74</w:t>
            </w:r>
          </w:p>
        </w:tc>
      </w:tr>
      <w:tr w14:paraId="2C2EDAB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9" w:type="pct"/>
            <w:tcBorders>
              <w:tl2br w:val="nil"/>
              <w:tr2bl w:val="nil"/>
            </w:tcBorders>
            <w:shd w:val="clear" w:color="auto" w:fill="auto"/>
            <w:noWrap/>
            <w:vAlign w:val="center"/>
          </w:tcPr>
          <w:p w14:paraId="6C5757FD">
            <w:pPr>
              <w:pStyle w:val="41"/>
              <w:rPr>
                <w:rFonts w:hint="default" w:ascii="Times New Roman" w:hAnsi="Times New Roman" w:cs="Times New Roman"/>
                <w:color w:val="auto"/>
                <w:u w:val="none"/>
              </w:rPr>
            </w:pPr>
            <w:r>
              <w:rPr>
                <w:rFonts w:hint="default" w:ascii="Times New Roman" w:hAnsi="Times New Roman" w:cs="Times New Roman"/>
                <w:color w:val="auto"/>
                <w:u w:val="none"/>
              </w:rPr>
              <w:t>21</w:t>
            </w:r>
          </w:p>
        </w:tc>
        <w:tc>
          <w:tcPr>
            <w:tcW w:w="1087" w:type="pct"/>
            <w:tcBorders>
              <w:tl2br w:val="nil"/>
              <w:tr2bl w:val="nil"/>
            </w:tcBorders>
            <w:shd w:val="clear" w:color="auto" w:fill="auto"/>
            <w:noWrap/>
            <w:vAlign w:val="center"/>
          </w:tcPr>
          <w:p w14:paraId="1DADB50B">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热水封闭</w:t>
            </w:r>
          </w:p>
        </w:tc>
        <w:tc>
          <w:tcPr>
            <w:tcW w:w="622" w:type="pct"/>
            <w:tcBorders>
              <w:tl2br w:val="nil"/>
              <w:tr2bl w:val="nil"/>
            </w:tcBorders>
            <w:shd w:val="clear" w:color="auto" w:fill="auto"/>
            <w:noWrap/>
            <w:vAlign w:val="center"/>
          </w:tcPr>
          <w:p w14:paraId="6FA37F73">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2" w:type="pct"/>
            <w:tcBorders>
              <w:tl2br w:val="nil"/>
              <w:tr2bl w:val="nil"/>
            </w:tcBorders>
            <w:shd w:val="clear" w:color="auto" w:fill="auto"/>
            <w:noWrap/>
            <w:vAlign w:val="center"/>
          </w:tcPr>
          <w:p w14:paraId="31781DF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5300</w:t>
            </w:r>
          </w:p>
        </w:tc>
        <w:tc>
          <w:tcPr>
            <w:tcW w:w="641" w:type="pct"/>
            <w:tcBorders>
              <w:tl2br w:val="nil"/>
              <w:tr2bl w:val="nil"/>
            </w:tcBorders>
            <w:shd w:val="clear" w:color="auto" w:fill="auto"/>
            <w:noWrap/>
            <w:vAlign w:val="center"/>
          </w:tcPr>
          <w:p w14:paraId="5C67ED34">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4" w:type="pct"/>
            <w:tcBorders>
              <w:tl2br w:val="nil"/>
              <w:tr2bl w:val="nil"/>
            </w:tcBorders>
            <w:shd w:val="clear" w:color="auto" w:fill="auto"/>
            <w:noWrap/>
            <w:vAlign w:val="center"/>
          </w:tcPr>
          <w:p w14:paraId="32A39512">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2700</w:t>
            </w:r>
          </w:p>
        </w:tc>
        <w:tc>
          <w:tcPr>
            <w:tcW w:w="722" w:type="pct"/>
            <w:tcBorders>
              <w:tl2br w:val="nil"/>
              <w:tr2bl w:val="nil"/>
            </w:tcBorders>
            <w:shd w:val="clear" w:color="auto" w:fill="auto"/>
            <w:noWrap/>
            <w:vAlign w:val="center"/>
          </w:tcPr>
          <w:p w14:paraId="71C76038">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17.17</w:t>
            </w:r>
          </w:p>
        </w:tc>
      </w:tr>
    </w:tbl>
    <w:p w14:paraId="0ACE841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表3.4-</w:t>
      </w:r>
      <w:r>
        <w:rPr>
          <w:rFonts w:hint="eastAsia" w:cs="Times New Roman"/>
          <w:b/>
          <w:bCs/>
          <w:color w:val="auto"/>
          <w:u w:val="none"/>
          <w:lang w:val="en-US" w:eastAsia="zh-CN"/>
        </w:rPr>
        <w:t>3</w:t>
      </w:r>
      <w:r>
        <w:rPr>
          <w:rFonts w:hint="default" w:ascii="Times New Roman" w:hAnsi="Times New Roman" w:cs="Times New Roman"/>
          <w:b/>
          <w:bCs/>
          <w:color w:val="auto"/>
          <w:u w:val="none"/>
        </w:rPr>
        <w:t xml:space="preserve"> </w:t>
      </w:r>
      <w:r>
        <w:rPr>
          <w:rFonts w:hint="eastAsia" w:cs="Times New Roman"/>
          <w:b/>
          <w:bCs/>
          <w:color w:val="auto"/>
          <w:u w:val="none"/>
          <w:lang w:val="en-US" w:eastAsia="zh-CN"/>
        </w:rPr>
        <w:t xml:space="preserve"> 小线</w:t>
      </w:r>
      <w:r>
        <w:rPr>
          <w:rFonts w:hint="default" w:ascii="Times New Roman" w:hAnsi="Times New Roman" w:cs="Times New Roman"/>
          <w:b/>
          <w:bCs/>
          <w:color w:val="auto"/>
          <w:u w:val="none"/>
        </w:rPr>
        <w:t>阳极</w:t>
      </w:r>
      <w:r>
        <w:rPr>
          <w:rFonts w:hint="eastAsia" w:cs="Times New Roman"/>
          <w:b/>
          <w:bCs/>
          <w:color w:val="auto"/>
          <w:u w:val="none"/>
          <w:lang w:val="en-US" w:eastAsia="zh-CN"/>
        </w:rPr>
        <w:t>氧化生产线</w:t>
      </w:r>
      <w:r>
        <w:rPr>
          <w:rFonts w:hint="default" w:ascii="Times New Roman" w:hAnsi="Times New Roman" w:cs="Times New Roman"/>
          <w:b/>
          <w:bCs/>
          <w:color w:val="auto"/>
          <w:u w:val="none"/>
        </w:rPr>
        <w:t>槽体排列及尺寸</w:t>
      </w:r>
    </w:p>
    <w:tbl>
      <w:tblPr>
        <w:tblStyle w:val="30"/>
        <w:tblW w:w="4995" w:type="pct"/>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54"/>
        <w:gridCol w:w="2139"/>
        <w:gridCol w:w="1221"/>
        <w:gridCol w:w="1263"/>
        <w:gridCol w:w="1261"/>
        <w:gridCol w:w="1268"/>
        <w:gridCol w:w="1438"/>
      </w:tblGrid>
      <w:tr w14:paraId="259C4BF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0" w:hRule="atLeast"/>
        </w:trPr>
        <w:tc>
          <w:tcPr>
            <w:tcW w:w="637" w:type="pct"/>
            <w:vMerge w:val="restart"/>
            <w:tcBorders>
              <w:tl2br w:val="nil"/>
              <w:tr2bl w:val="nil"/>
            </w:tcBorders>
            <w:shd w:val="clear" w:color="auto" w:fill="auto"/>
            <w:noWrap/>
            <w:vAlign w:val="bottom"/>
          </w:tcPr>
          <w:p w14:paraId="04E3CB67">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086" w:type="pct"/>
            <w:vMerge w:val="restart"/>
            <w:tcBorders>
              <w:tl2br w:val="nil"/>
              <w:tr2bl w:val="nil"/>
            </w:tcBorders>
            <w:shd w:val="clear" w:color="auto" w:fill="auto"/>
            <w:noWrap/>
            <w:vAlign w:val="bottom"/>
          </w:tcPr>
          <w:p w14:paraId="35457972">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槽体名称</w:t>
            </w:r>
          </w:p>
        </w:tc>
        <w:tc>
          <w:tcPr>
            <w:tcW w:w="620" w:type="pct"/>
            <w:vMerge w:val="restart"/>
            <w:tcBorders>
              <w:tl2br w:val="nil"/>
              <w:tr2bl w:val="nil"/>
            </w:tcBorders>
            <w:shd w:val="clear" w:color="auto" w:fill="auto"/>
            <w:noWrap/>
            <w:vAlign w:val="bottom"/>
          </w:tcPr>
          <w:p w14:paraId="51C77047">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1925" w:type="pct"/>
            <w:gridSpan w:val="3"/>
            <w:tcBorders>
              <w:tl2br w:val="nil"/>
              <w:tr2bl w:val="nil"/>
            </w:tcBorders>
            <w:shd w:val="clear" w:color="auto" w:fill="auto"/>
            <w:noWrap/>
            <w:vAlign w:val="bottom"/>
          </w:tcPr>
          <w:p w14:paraId="40B27C14">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槽体尺寸</w:t>
            </w:r>
          </w:p>
        </w:tc>
        <w:tc>
          <w:tcPr>
            <w:tcW w:w="730" w:type="pct"/>
            <w:vMerge w:val="restart"/>
            <w:tcBorders>
              <w:tl2br w:val="nil"/>
              <w:tr2bl w:val="nil"/>
            </w:tcBorders>
            <w:shd w:val="clear" w:color="auto" w:fill="auto"/>
            <w:noWrap/>
            <w:vAlign w:val="bottom"/>
          </w:tcPr>
          <w:p w14:paraId="6358FA53">
            <w:pPr>
              <w:pStyle w:val="41"/>
              <w:jc w:val="center"/>
              <w:rPr>
                <w:rFonts w:hint="default" w:ascii="Times New Roman" w:hAnsi="Times New Roman" w:cs="Times New Roman"/>
                <w:color w:val="auto"/>
                <w:u w:val="none"/>
              </w:rPr>
            </w:pPr>
            <w:r>
              <w:rPr>
                <w:rFonts w:hint="default" w:ascii="Times New Roman" w:hAnsi="Times New Roman" w:cs="Times New Roman"/>
                <w:b/>
                <w:bCs/>
                <w:color w:val="auto"/>
                <w:u w:val="none"/>
              </w:rPr>
              <w:t>有效容积m</w:t>
            </w:r>
            <w:r>
              <w:rPr>
                <w:rFonts w:hint="default" w:ascii="Times New Roman" w:hAnsi="Times New Roman" w:cs="Times New Roman"/>
                <w:b/>
                <w:bCs/>
                <w:color w:val="auto"/>
                <w:u w:val="none"/>
                <w:vertAlign w:val="superscript"/>
              </w:rPr>
              <w:t>3</w:t>
            </w:r>
          </w:p>
        </w:tc>
      </w:tr>
      <w:tr w14:paraId="2C92BFB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637" w:type="pct"/>
            <w:vMerge w:val="continue"/>
            <w:tcBorders>
              <w:tl2br w:val="nil"/>
              <w:tr2bl w:val="nil"/>
            </w:tcBorders>
            <w:shd w:val="clear" w:color="auto" w:fill="auto"/>
            <w:noWrap/>
            <w:vAlign w:val="bottom"/>
          </w:tcPr>
          <w:p w14:paraId="739F4AD8">
            <w:pPr>
              <w:pStyle w:val="41"/>
              <w:jc w:val="center"/>
              <w:rPr>
                <w:rFonts w:hint="default" w:ascii="Times New Roman" w:hAnsi="Times New Roman" w:cs="Times New Roman"/>
                <w:b/>
                <w:bCs/>
                <w:color w:val="auto"/>
                <w:u w:val="none"/>
              </w:rPr>
            </w:pPr>
          </w:p>
        </w:tc>
        <w:tc>
          <w:tcPr>
            <w:tcW w:w="1086" w:type="pct"/>
            <w:vMerge w:val="continue"/>
            <w:tcBorders>
              <w:tl2br w:val="nil"/>
              <w:tr2bl w:val="nil"/>
            </w:tcBorders>
            <w:shd w:val="clear" w:color="auto" w:fill="auto"/>
            <w:noWrap/>
            <w:vAlign w:val="bottom"/>
          </w:tcPr>
          <w:p w14:paraId="2BE27261">
            <w:pPr>
              <w:pStyle w:val="41"/>
              <w:jc w:val="center"/>
              <w:rPr>
                <w:rFonts w:hint="default" w:ascii="Times New Roman" w:hAnsi="Times New Roman" w:cs="Times New Roman"/>
                <w:b/>
                <w:bCs/>
                <w:color w:val="auto"/>
                <w:u w:val="none"/>
              </w:rPr>
            </w:pPr>
          </w:p>
        </w:tc>
        <w:tc>
          <w:tcPr>
            <w:tcW w:w="620" w:type="pct"/>
            <w:vMerge w:val="continue"/>
            <w:tcBorders>
              <w:tl2br w:val="nil"/>
              <w:tr2bl w:val="nil"/>
            </w:tcBorders>
            <w:shd w:val="clear" w:color="auto" w:fill="auto"/>
            <w:noWrap/>
            <w:vAlign w:val="bottom"/>
          </w:tcPr>
          <w:p w14:paraId="6E0422A1">
            <w:pPr>
              <w:pStyle w:val="41"/>
              <w:jc w:val="center"/>
              <w:rPr>
                <w:rFonts w:hint="default" w:ascii="Times New Roman" w:hAnsi="Times New Roman" w:cs="Times New Roman"/>
                <w:b/>
                <w:bCs/>
                <w:color w:val="auto"/>
                <w:u w:val="none"/>
              </w:rPr>
            </w:pPr>
          </w:p>
        </w:tc>
        <w:tc>
          <w:tcPr>
            <w:tcW w:w="641" w:type="pct"/>
            <w:tcBorders>
              <w:tl2br w:val="nil"/>
              <w:tr2bl w:val="nil"/>
            </w:tcBorders>
            <w:shd w:val="clear" w:color="auto" w:fill="auto"/>
            <w:noWrap/>
            <w:vAlign w:val="bottom"/>
          </w:tcPr>
          <w:p w14:paraId="5F735B7B">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长mm</w:t>
            </w:r>
          </w:p>
        </w:tc>
        <w:tc>
          <w:tcPr>
            <w:tcW w:w="640" w:type="pct"/>
            <w:tcBorders>
              <w:tl2br w:val="nil"/>
              <w:tr2bl w:val="nil"/>
            </w:tcBorders>
            <w:shd w:val="clear" w:color="auto" w:fill="auto"/>
            <w:noWrap/>
            <w:vAlign w:val="bottom"/>
          </w:tcPr>
          <w:p w14:paraId="533BAF66">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宽mm</w:t>
            </w:r>
          </w:p>
        </w:tc>
        <w:tc>
          <w:tcPr>
            <w:tcW w:w="643" w:type="pct"/>
            <w:tcBorders>
              <w:tl2br w:val="nil"/>
              <w:tr2bl w:val="nil"/>
            </w:tcBorders>
            <w:shd w:val="clear" w:color="auto" w:fill="auto"/>
            <w:noWrap/>
            <w:vAlign w:val="bottom"/>
          </w:tcPr>
          <w:p w14:paraId="36762F74">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高mm</w:t>
            </w:r>
          </w:p>
        </w:tc>
        <w:tc>
          <w:tcPr>
            <w:tcW w:w="730" w:type="pct"/>
            <w:vMerge w:val="continue"/>
            <w:tcBorders>
              <w:tl2br w:val="nil"/>
              <w:tr2bl w:val="nil"/>
            </w:tcBorders>
            <w:shd w:val="clear" w:color="auto" w:fill="auto"/>
            <w:noWrap/>
            <w:vAlign w:val="bottom"/>
          </w:tcPr>
          <w:p w14:paraId="2AD07E38">
            <w:pPr>
              <w:pStyle w:val="41"/>
              <w:jc w:val="center"/>
              <w:rPr>
                <w:rFonts w:hint="default" w:ascii="Times New Roman" w:hAnsi="Times New Roman" w:cs="Times New Roman"/>
                <w:color w:val="auto"/>
                <w:u w:val="none"/>
              </w:rPr>
            </w:pPr>
          </w:p>
        </w:tc>
      </w:tr>
      <w:tr w14:paraId="6BCC0B7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7" w:type="pct"/>
            <w:tcBorders>
              <w:tl2br w:val="nil"/>
              <w:tr2bl w:val="nil"/>
            </w:tcBorders>
            <w:shd w:val="clear" w:color="auto" w:fill="auto"/>
            <w:noWrap/>
            <w:vAlign w:val="bottom"/>
          </w:tcPr>
          <w:p w14:paraId="729DD5A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86" w:type="pct"/>
            <w:tcBorders>
              <w:tl2br w:val="nil"/>
              <w:tr2bl w:val="nil"/>
            </w:tcBorders>
            <w:shd w:val="clear" w:color="auto" w:fill="auto"/>
            <w:noWrap/>
            <w:vAlign w:val="bottom"/>
          </w:tcPr>
          <w:p w14:paraId="46885CC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超声波化学除油</w:t>
            </w:r>
          </w:p>
        </w:tc>
        <w:tc>
          <w:tcPr>
            <w:tcW w:w="620" w:type="pct"/>
            <w:tcBorders>
              <w:tl2br w:val="nil"/>
              <w:tr2bl w:val="nil"/>
            </w:tcBorders>
            <w:shd w:val="clear" w:color="auto" w:fill="auto"/>
            <w:noWrap/>
            <w:vAlign w:val="bottom"/>
          </w:tcPr>
          <w:p w14:paraId="2758D8D3">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tcBorders>
              <w:tl2br w:val="nil"/>
              <w:tr2bl w:val="nil"/>
            </w:tcBorders>
            <w:shd w:val="clear" w:color="auto" w:fill="auto"/>
            <w:noWrap/>
            <w:vAlign w:val="bottom"/>
          </w:tcPr>
          <w:p w14:paraId="4671B26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tcBorders>
              <w:tl2br w:val="nil"/>
              <w:tr2bl w:val="nil"/>
            </w:tcBorders>
            <w:shd w:val="clear" w:color="auto" w:fill="auto"/>
            <w:noWrap/>
            <w:vAlign w:val="bottom"/>
          </w:tcPr>
          <w:p w14:paraId="355D3D5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800</w:t>
            </w:r>
          </w:p>
        </w:tc>
        <w:tc>
          <w:tcPr>
            <w:tcW w:w="643" w:type="pct"/>
            <w:tcBorders>
              <w:tl2br w:val="nil"/>
              <w:tr2bl w:val="nil"/>
            </w:tcBorders>
            <w:shd w:val="clear" w:color="auto" w:fill="auto"/>
            <w:noWrap/>
            <w:vAlign w:val="bottom"/>
          </w:tcPr>
          <w:p w14:paraId="7A8FD8C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tcBorders>
              <w:tl2br w:val="nil"/>
              <w:tr2bl w:val="nil"/>
            </w:tcBorders>
            <w:shd w:val="clear" w:color="auto" w:fill="auto"/>
            <w:noWrap/>
            <w:vAlign w:val="bottom"/>
          </w:tcPr>
          <w:p w14:paraId="08A3801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0.96</w:t>
            </w:r>
          </w:p>
        </w:tc>
      </w:tr>
      <w:tr w14:paraId="23A30F8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7" w:type="pct"/>
            <w:tcBorders>
              <w:tl2br w:val="nil"/>
              <w:tr2bl w:val="nil"/>
            </w:tcBorders>
            <w:shd w:val="clear" w:color="auto" w:fill="auto"/>
            <w:noWrap/>
            <w:vAlign w:val="bottom"/>
          </w:tcPr>
          <w:p w14:paraId="288AC086">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086" w:type="pct"/>
            <w:tcBorders>
              <w:tl2br w:val="nil"/>
              <w:tr2bl w:val="nil"/>
            </w:tcBorders>
            <w:shd w:val="clear" w:color="auto" w:fill="auto"/>
            <w:noWrap/>
            <w:vAlign w:val="bottom"/>
          </w:tcPr>
          <w:p w14:paraId="5390376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热水洗</w:t>
            </w:r>
          </w:p>
        </w:tc>
        <w:tc>
          <w:tcPr>
            <w:tcW w:w="620" w:type="pct"/>
            <w:tcBorders>
              <w:tl2br w:val="nil"/>
              <w:tr2bl w:val="nil"/>
            </w:tcBorders>
            <w:shd w:val="clear" w:color="auto" w:fill="auto"/>
            <w:noWrap/>
            <w:vAlign w:val="bottom"/>
          </w:tcPr>
          <w:p w14:paraId="3F33B9B5">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tcBorders>
              <w:tl2br w:val="nil"/>
              <w:tr2bl w:val="nil"/>
            </w:tcBorders>
            <w:shd w:val="clear" w:color="auto" w:fill="auto"/>
            <w:noWrap/>
            <w:vAlign w:val="bottom"/>
          </w:tcPr>
          <w:p w14:paraId="5904B07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tcBorders>
              <w:tl2br w:val="nil"/>
              <w:tr2bl w:val="nil"/>
            </w:tcBorders>
            <w:shd w:val="clear" w:color="auto" w:fill="auto"/>
            <w:noWrap/>
            <w:vAlign w:val="bottom"/>
          </w:tcPr>
          <w:p w14:paraId="291ABD3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tcBorders>
              <w:tl2br w:val="nil"/>
              <w:tr2bl w:val="nil"/>
            </w:tcBorders>
            <w:shd w:val="clear" w:color="auto" w:fill="auto"/>
            <w:noWrap/>
            <w:vAlign w:val="bottom"/>
          </w:tcPr>
          <w:p w14:paraId="2AAD18EE">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tcBorders>
              <w:tl2br w:val="nil"/>
              <w:tr2bl w:val="nil"/>
            </w:tcBorders>
            <w:shd w:val="clear" w:color="auto" w:fill="auto"/>
            <w:noWrap/>
            <w:vAlign w:val="bottom"/>
          </w:tcPr>
          <w:p w14:paraId="163A02D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7611C3F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7" w:type="pct"/>
            <w:tcBorders>
              <w:tl2br w:val="nil"/>
              <w:tr2bl w:val="nil"/>
            </w:tcBorders>
            <w:shd w:val="clear" w:color="auto" w:fill="auto"/>
            <w:noWrap/>
            <w:vAlign w:val="bottom"/>
          </w:tcPr>
          <w:p w14:paraId="7984ECC4">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1086" w:type="pct"/>
            <w:tcBorders>
              <w:tl2br w:val="nil"/>
              <w:tr2bl w:val="nil"/>
            </w:tcBorders>
            <w:shd w:val="clear" w:color="auto" w:fill="auto"/>
            <w:noWrap/>
            <w:vAlign w:val="bottom"/>
          </w:tcPr>
          <w:p w14:paraId="5E9BDEC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0" w:type="pct"/>
            <w:tcBorders>
              <w:tl2br w:val="nil"/>
              <w:tr2bl w:val="nil"/>
            </w:tcBorders>
            <w:shd w:val="clear" w:color="auto" w:fill="auto"/>
            <w:noWrap/>
            <w:vAlign w:val="bottom"/>
          </w:tcPr>
          <w:p w14:paraId="75EA13A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tcBorders>
              <w:tl2br w:val="nil"/>
              <w:tr2bl w:val="nil"/>
            </w:tcBorders>
            <w:shd w:val="clear" w:color="auto" w:fill="auto"/>
            <w:noWrap/>
            <w:vAlign w:val="bottom"/>
          </w:tcPr>
          <w:p w14:paraId="5AC14A3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tcBorders>
              <w:tl2br w:val="nil"/>
              <w:tr2bl w:val="nil"/>
            </w:tcBorders>
            <w:shd w:val="clear" w:color="auto" w:fill="auto"/>
            <w:noWrap/>
            <w:vAlign w:val="bottom"/>
          </w:tcPr>
          <w:p w14:paraId="3BFC9B2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tcBorders>
              <w:tl2br w:val="nil"/>
              <w:tr2bl w:val="nil"/>
            </w:tcBorders>
            <w:shd w:val="clear" w:color="auto" w:fill="auto"/>
            <w:noWrap/>
            <w:vAlign w:val="bottom"/>
          </w:tcPr>
          <w:p w14:paraId="24CF7FC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tcBorders>
              <w:tl2br w:val="nil"/>
              <w:tr2bl w:val="nil"/>
            </w:tcBorders>
            <w:shd w:val="clear" w:color="auto" w:fill="auto"/>
            <w:noWrap/>
            <w:vAlign w:val="bottom"/>
          </w:tcPr>
          <w:p w14:paraId="5AF6888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17433E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7" w:type="pct"/>
            <w:tcBorders>
              <w:tl2br w:val="nil"/>
              <w:tr2bl w:val="nil"/>
            </w:tcBorders>
            <w:shd w:val="clear" w:color="auto" w:fill="auto"/>
            <w:noWrap/>
            <w:vAlign w:val="bottom"/>
          </w:tcPr>
          <w:p w14:paraId="2AF75DF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086" w:type="pct"/>
            <w:tcBorders>
              <w:tl2br w:val="nil"/>
              <w:tr2bl w:val="nil"/>
            </w:tcBorders>
            <w:shd w:val="clear" w:color="auto" w:fill="auto"/>
            <w:noWrap/>
            <w:vAlign w:val="bottom"/>
          </w:tcPr>
          <w:p w14:paraId="41F3ACE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碱蚀</w:t>
            </w:r>
          </w:p>
        </w:tc>
        <w:tc>
          <w:tcPr>
            <w:tcW w:w="620" w:type="pct"/>
            <w:tcBorders>
              <w:tl2br w:val="nil"/>
              <w:tr2bl w:val="nil"/>
            </w:tcBorders>
            <w:shd w:val="clear" w:color="auto" w:fill="auto"/>
            <w:noWrap/>
            <w:vAlign w:val="bottom"/>
          </w:tcPr>
          <w:p w14:paraId="534B399D">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tcBorders>
              <w:tl2br w:val="nil"/>
              <w:tr2bl w:val="nil"/>
            </w:tcBorders>
            <w:shd w:val="clear" w:color="auto" w:fill="auto"/>
            <w:noWrap/>
            <w:vAlign w:val="bottom"/>
          </w:tcPr>
          <w:p w14:paraId="1130273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tcBorders>
              <w:tl2br w:val="nil"/>
              <w:tr2bl w:val="nil"/>
            </w:tcBorders>
            <w:shd w:val="clear" w:color="auto" w:fill="auto"/>
            <w:noWrap/>
            <w:vAlign w:val="bottom"/>
          </w:tcPr>
          <w:p w14:paraId="75BFB67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tcBorders>
              <w:tl2br w:val="nil"/>
              <w:tr2bl w:val="nil"/>
            </w:tcBorders>
            <w:shd w:val="clear" w:color="auto" w:fill="auto"/>
            <w:noWrap/>
            <w:vAlign w:val="bottom"/>
          </w:tcPr>
          <w:p w14:paraId="26EAEA4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tcBorders>
              <w:tl2br w:val="nil"/>
              <w:tr2bl w:val="nil"/>
            </w:tcBorders>
            <w:shd w:val="clear" w:color="auto" w:fill="auto"/>
            <w:noWrap/>
            <w:vAlign w:val="bottom"/>
          </w:tcPr>
          <w:p w14:paraId="497AD63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28E48B4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7" w:type="pct"/>
            <w:tcBorders>
              <w:tl2br w:val="nil"/>
              <w:tr2bl w:val="nil"/>
            </w:tcBorders>
            <w:shd w:val="clear" w:color="auto" w:fill="auto"/>
            <w:noWrap/>
            <w:vAlign w:val="bottom"/>
          </w:tcPr>
          <w:p w14:paraId="601DA432">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086" w:type="pct"/>
            <w:tcBorders>
              <w:tl2br w:val="nil"/>
              <w:tr2bl w:val="nil"/>
            </w:tcBorders>
            <w:shd w:val="clear" w:color="auto" w:fill="auto"/>
            <w:noWrap/>
            <w:vAlign w:val="bottom"/>
          </w:tcPr>
          <w:p w14:paraId="44A44AE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热水洗</w:t>
            </w:r>
          </w:p>
        </w:tc>
        <w:tc>
          <w:tcPr>
            <w:tcW w:w="620" w:type="pct"/>
            <w:tcBorders>
              <w:tl2br w:val="nil"/>
              <w:tr2bl w:val="nil"/>
            </w:tcBorders>
            <w:shd w:val="clear" w:color="auto" w:fill="auto"/>
            <w:noWrap/>
            <w:vAlign w:val="bottom"/>
          </w:tcPr>
          <w:p w14:paraId="4CC1C836">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tcBorders>
              <w:tl2br w:val="nil"/>
              <w:tr2bl w:val="nil"/>
            </w:tcBorders>
            <w:shd w:val="clear" w:color="auto" w:fill="auto"/>
            <w:noWrap/>
            <w:vAlign w:val="bottom"/>
          </w:tcPr>
          <w:p w14:paraId="616B094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tcBorders>
              <w:tl2br w:val="nil"/>
              <w:tr2bl w:val="nil"/>
            </w:tcBorders>
            <w:shd w:val="clear" w:color="auto" w:fill="auto"/>
            <w:noWrap/>
            <w:vAlign w:val="bottom"/>
          </w:tcPr>
          <w:p w14:paraId="1F5311D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tcBorders>
              <w:tl2br w:val="nil"/>
              <w:tr2bl w:val="nil"/>
            </w:tcBorders>
            <w:shd w:val="clear" w:color="auto" w:fill="auto"/>
            <w:noWrap/>
            <w:vAlign w:val="bottom"/>
          </w:tcPr>
          <w:p w14:paraId="4960AA1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tcBorders>
              <w:tl2br w:val="nil"/>
              <w:tr2bl w:val="nil"/>
            </w:tcBorders>
            <w:shd w:val="clear" w:color="auto" w:fill="auto"/>
            <w:noWrap/>
            <w:vAlign w:val="bottom"/>
          </w:tcPr>
          <w:p w14:paraId="442F5B6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2863B65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637" w:type="pct"/>
            <w:tcBorders>
              <w:tl2br w:val="nil"/>
              <w:tr2bl w:val="nil"/>
            </w:tcBorders>
            <w:shd w:val="clear" w:color="auto" w:fill="auto"/>
            <w:noWrap/>
            <w:vAlign w:val="bottom"/>
          </w:tcPr>
          <w:p w14:paraId="1B0B9B4B">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086" w:type="pct"/>
            <w:tcBorders>
              <w:tl2br w:val="nil"/>
              <w:tr2bl w:val="nil"/>
            </w:tcBorders>
            <w:shd w:val="clear" w:color="auto" w:fill="auto"/>
            <w:noWrap/>
            <w:vAlign w:val="bottom"/>
          </w:tcPr>
          <w:p w14:paraId="48FC1E2D">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620" w:type="pct"/>
            <w:tcBorders>
              <w:tl2br w:val="nil"/>
              <w:tr2bl w:val="nil"/>
            </w:tcBorders>
            <w:shd w:val="clear" w:color="auto" w:fill="auto"/>
            <w:noWrap/>
            <w:vAlign w:val="bottom"/>
          </w:tcPr>
          <w:p w14:paraId="0049C89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tcBorders>
              <w:tl2br w:val="nil"/>
              <w:tr2bl w:val="nil"/>
            </w:tcBorders>
            <w:shd w:val="clear" w:color="auto" w:fill="auto"/>
            <w:noWrap/>
            <w:vAlign w:val="bottom"/>
          </w:tcPr>
          <w:p w14:paraId="64CEC4E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tcBorders>
              <w:tl2br w:val="nil"/>
              <w:tr2bl w:val="nil"/>
            </w:tcBorders>
            <w:shd w:val="clear" w:color="auto" w:fill="auto"/>
            <w:noWrap/>
            <w:vAlign w:val="bottom"/>
          </w:tcPr>
          <w:p w14:paraId="29C4075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tcBorders>
              <w:tl2br w:val="nil"/>
              <w:tr2bl w:val="nil"/>
            </w:tcBorders>
            <w:shd w:val="clear" w:color="auto" w:fill="auto"/>
            <w:noWrap/>
            <w:vAlign w:val="bottom"/>
          </w:tcPr>
          <w:p w14:paraId="210069DD">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tcBorders>
              <w:tl2br w:val="nil"/>
              <w:tr2bl w:val="nil"/>
            </w:tcBorders>
            <w:shd w:val="clear" w:color="auto" w:fill="auto"/>
            <w:noWrap/>
            <w:vAlign w:val="bottom"/>
          </w:tcPr>
          <w:p w14:paraId="0C95266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07CD9EB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39C79A17">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1086" w:type="pct"/>
            <w:vAlign w:val="bottom"/>
          </w:tcPr>
          <w:p w14:paraId="0371E58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化学研磨</w:t>
            </w:r>
          </w:p>
        </w:tc>
        <w:tc>
          <w:tcPr>
            <w:tcW w:w="0" w:type="auto"/>
            <w:vAlign w:val="bottom"/>
          </w:tcPr>
          <w:p w14:paraId="4A2F1902">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64C1374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5C74AEFC">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4A541B7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2A6286F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775C9D4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2D95A214">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1086" w:type="pct"/>
            <w:vAlign w:val="bottom"/>
          </w:tcPr>
          <w:p w14:paraId="6D28CB3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热水洗</w:t>
            </w:r>
          </w:p>
        </w:tc>
        <w:tc>
          <w:tcPr>
            <w:tcW w:w="0" w:type="auto"/>
            <w:vAlign w:val="bottom"/>
          </w:tcPr>
          <w:p w14:paraId="64907E5B">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324D976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691ED51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75A08BB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42623DAD">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77C60F2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373C93C0">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1086" w:type="pct"/>
            <w:vAlign w:val="bottom"/>
          </w:tcPr>
          <w:p w14:paraId="368C7E3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53F6A46C">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42FEB6D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7C80E6E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367E4F1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430B606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3F79740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70D77ACA">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086" w:type="pct"/>
            <w:vAlign w:val="bottom"/>
          </w:tcPr>
          <w:p w14:paraId="632F9B4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出光</w:t>
            </w:r>
          </w:p>
        </w:tc>
        <w:tc>
          <w:tcPr>
            <w:tcW w:w="0" w:type="auto"/>
            <w:vAlign w:val="bottom"/>
          </w:tcPr>
          <w:p w14:paraId="637FEA9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014A984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0A38607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800</w:t>
            </w:r>
          </w:p>
        </w:tc>
        <w:tc>
          <w:tcPr>
            <w:tcW w:w="643" w:type="pct"/>
            <w:vAlign w:val="bottom"/>
          </w:tcPr>
          <w:p w14:paraId="134B714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021B92F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0.96</w:t>
            </w:r>
          </w:p>
        </w:tc>
      </w:tr>
      <w:tr w14:paraId="30FD311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3E1D9CD4">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1086" w:type="pct"/>
            <w:vAlign w:val="bottom"/>
          </w:tcPr>
          <w:p w14:paraId="372ADEF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29DE3E27">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38F21A8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72CAFE10">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60CD063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49B7BC7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5951B2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47CDC906">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1086" w:type="pct"/>
            <w:vAlign w:val="bottom"/>
          </w:tcPr>
          <w:p w14:paraId="10C1A5B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54A77281">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3FBE51BC">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0545FEB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42839B2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CFAB95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344022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6C6612B0">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13</w:t>
            </w:r>
          </w:p>
        </w:tc>
        <w:tc>
          <w:tcPr>
            <w:tcW w:w="1086" w:type="pct"/>
            <w:vAlign w:val="bottom"/>
          </w:tcPr>
          <w:p w14:paraId="64FF840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氧化槽1</w:t>
            </w:r>
          </w:p>
        </w:tc>
        <w:tc>
          <w:tcPr>
            <w:tcW w:w="0" w:type="auto"/>
            <w:vAlign w:val="bottom"/>
          </w:tcPr>
          <w:p w14:paraId="3080C24F">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093474D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395C0AA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643" w:type="pct"/>
            <w:vAlign w:val="bottom"/>
          </w:tcPr>
          <w:p w14:paraId="08F75C5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123B20D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w:t>
            </w:r>
          </w:p>
        </w:tc>
      </w:tr>
      <w:tr w14:paraId="37EAF9B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026DF791">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14</w:t>
            </w:r>
          </w:p>
        </w:tc>
        <w:tc>
          <w:tcPr>
            <w:tcW w:w="1086" w:type="pct"/>
            <w:vAlign w:val="bottom"/>
          </w:tcPr>
          <w:p w14:paraId="7BC8804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氧化槽2</w:t>
            </w:r>
          </w:p>
        </w:tc>
        <w:tc>
          <w:tcPr>
            <w:tcW w:w="0" w:type="auto"/>
            <w:vAlign w:val="bottom"/>
          </w:tcPr>
          <w:p w14:paraId="0E4C113C">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4CD50A4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643E1B4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643" w:type="pct"/>
            <w:vAlign w:val="bottom"/>
          </w:tcPr>
          <w:p w14:paraId="1D7811FE">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11905DA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w:t>
            </w:r>
          </w:p>
        </w:tc>
      </w:tr>
      <w:tr w14:paraId="0692038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71172FDA">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086" w:type="pct"/>
            <w:vAlign w:val="bottom"/>
          </w:tcPr>
          <w:p w14:paraId="01AFDB5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4F1AF3E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727F050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75B0218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7483A1B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2407E47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3E637C74">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40D04143">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16</w:t>
            </w:r>
          </w:p>
        </w:tc>
        <w:tc>
          <w:tcPr>
            <w:tcW w:w="1086" w:type="pct"/>
            <w:vAlign w:val="bottom"/>
          </w:tcPr>
          <w:p w14:paraId="2CC845A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75FBD5B1">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6C9D5E2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5E2B897C">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79B75B6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375F0E1E">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834B91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6DD2561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17</w:t>
            </w:r>
          </w:p>
        </w:tc>
        <w:tc>
          <w:tcPr>
            <w:tcW w:w="1086" w:type="pct"/>
            <w:vAlign w:val="bottom"/>
          </w:tcPr>
          <w:p w14:paraId="251BDA6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2E6274D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29F986E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1FBB34DD">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800</w:t>
            </w:r>
          </w:p>
        </w:tc>
        <w:tc>
          <w:tcPr>
            <w:tcW w:w="643" w:type="pct"/>
            <w:vAlign w:val="bottom"/>
          </w:tcPr>
          <w:p w14:paraId="4718891C">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08507BA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0.96</w:t>
            </w:r>
          </w:p>
        </w:tc>
      </w:tr>
      <w:tr w14:paraId="7E4E518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7AAE6195">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18</w:t>
            </w:r>
          </w:p>
        </w:tc>
        <w:tc>
          <w:tcPr>
            <w:tcW w:w="1086" w:type="pct"/>
            <w:vAlign w:val="bottom"/>
          </w:tcPr>
          <w:p w14:paraId="6792919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超声波表调</w:t>
            </w:r>
          </w:p>
        </w:tc>
        <w:tc>
          <w:tcPr>
            <w:tcW w:w="0" w:type="auto"/>
            <w:vAlign w:val="bottom"/>
          </w:tcPr>
          <w:p w14:paraId="14674A4A">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5F3DFEFD">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7DF0D8E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800</w:t>
            </w:r>
          </w:p>
        </w:tc>
        <w:tc>
          <w:tcPr>
            <w:tcW w:w="643" w:type="pct"/>
            <w:vAlign w:val="bottom"/>
          </w:tcPr>
          <w:p w14:paraId="0F21850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CF32967">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0.96</w:t>
            </w:r>
          </w:p>
        </w:tc>
      </w:tr>
      <w:tr w14:paraId="736FB55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355B8B52">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19</w:t>
            </w:r>
          </w:p>
        </w:tc>
        <w:tc>
          <w:tcPr>
            <w:tcW w:w="1086" w:type="pct"/>
            <w:vAlign w:val="bottom"/>
          </w:tcPr>
          <w:p w14:paraId="5522307C">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铬酸盐封闭</w:t>
            </w:r>
          </w:p>
        </w:tc>
        <w:tc>
          <w:tcPr>
            <w:tcW w:w="0" w:type="auto"/>
            <w:vAlign w:val="bottom"/>
          </w:tcPr>
          <w:p w14:paraId="6EA36E66">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628CDCE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35B02CF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1793774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9B43BA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522C1F0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236862C9">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w:t>
            </w:r>
          </w:p>
        </w:tc>
        <w:tc>
          <w:tcPr>
            <w:tcW w:w="1086" w:type="pct"/>
            <w:vAlign w:val="bottom"/>
          </w:tcPr>
          <w:p w14:paraId="739B4D10">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10D734BF">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515ACE0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4D96F4D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650</w:t>
            </w:r>
          </w:p>
        </w:tc>
        <w:tc>
          <w:tcPr>
            <w:tcW w:w="643" w:type="pct"/>
            <w:vAlign w:val="bottom"/>
          </w:tcPr>
          <w:p w14:paraId="634A2B1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42B708C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0.78</w:t>
            </w:r>
          </w:p>
        </w:tc>
      </w:tr>
      <w:tr w14:paraId="3D77C2F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097209B0">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21</w:t>
            </w:r>
          </w:p>
        </w:tc>
        <w:tc>
          <w:tcPr>
            <w:tcW w:w="1086" w:type="pct"/>
            <w:vAlign w:val="bottom"/>
          </w:tcPr>
          <w:p w14:paraId="013AD413">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011DD260">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15FE9EE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3C7B6F6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650</w:t>
            </w:r>
          </w:p>
        </w:tc>
        <w:tc>
          <w:tcPr>
            <w:tcW w:w="643" w:type="pct"/>
            <w:vAlign w:val="bottom"/>
          </w:tcPr>
          <w:p w14:paraId="54789B4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6513D938">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0.78</w:t>
            </w:r>
          </w:p>
        </w:tc>
      </w:tr>
      <w:tr w14:paraId="47E2EE7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762A5EBE">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22</w:t>
            </w:r>
          </w:p>
        </w:tc>
        <w:tc>
          <w:tcPr>
            <w:tcW w:w="1086" w:type="pct"/>
            <w:vAlign w:val="bottom"/>
          </w:tcPr>
          <w:p w14:paraId="41ECFFD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染色</w:t>
            </w:r>
          </w:p>
        </w:tc>
        <w:tc>
          <w:tcPr>
            <w:tcW w:w="0" w:type="auto"/>
            <w:vAlign w:val="bottom"/>
          </w:tcPr>
          <w:p w14:paraId="563F5C0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105CEDE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553C5C0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75E0B3F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BC65F2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31872A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64C93CC4">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23</w:t>
            </w:r>
          </w:p>
        </w:tc>
        <w:tc>
          <w:tcPr>
            <w:tcW w:w="1086" w:type="pct"/>
            <w:vAlign w:val="bottom"/>
          </w:tcPr>
          <w:p w14:paraId="7BEC484E">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7142582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32B2DD7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3692C3A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38F0664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C880A4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232255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1C76A78B">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24</w:t>
            </w:r>
          </w:p>
        </w:tc>
        <w:tc>
          <w:tcPr>
            <w:tcW w:w="1086" w:type="pct"/>
            <w:vAlign w:val="bottom"/>
          </w:tcPr>
          <w:p w14:paraId="6B2E62F4">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封孔槽</w:t>
            </w:r>
          </w:p>
        </w:tc>
        <w:tc>
          <w:tcPr>
            <w:tcW w:w="0" w:type="auto"/>
            <w:vAlign w:val="bottom"/>
          </w:tcPr>
          <w:p w14:paraId="2186A1A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6BCBC97E">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0B0122A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21ED23E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363A28A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04700C1D">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34AA9AD9">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w:t>
            </w:r>
          </w:p>
        </w:tc>
        <w:tc>
          <w:tcPr>
            <w:tcW w:w="1086" w:type="pct"/>
            <w:vAlign w:val="bottom"/>
          </w:tcPr>
          <w:p w14:paraId="5B0B2586">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571B675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7F72907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787E277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0EF6A395">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3DED934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133733D8">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4021364E">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26</w:t>
            </w:r>
          </w:p>
        </w:tc>
        <w:tc>
          <w:tcPr>
            <w:tcW w:w="1086" w:type="pct"/>
            <w:vAlign w:val="bottom"/>
          </w:tcPr>
          <w:p w14:paraId="09F0391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冷水洗</w:t>
            </w:r>
          </w:p>
        </w:tc>
        <w:tc>
          <w:tcPr>
            <w:tcW w:w="0" w:type="auto"/>
            <w:vAlign w:val="bottom"/>
          </w:tcPr>
          <w:p w14:paraId="49BE2BBF">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301D1221">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4EA40680">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600</w:t>
            </w:r>
          </w:p>
        </w:tc>
        <w:tc>
          <w:tcPr>
            <w:tcW w:w="643" w:type="pct"/>
            <w:vAlign w:val="bottom"/>
          </w:tcPr>
          <w:p w14:paraId="2427D11F">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4937C1A">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0.72</w:t>
            </w:r>
          </w:p>
        </w:tc>
      </w:tr>
      <w:tr w14:paraId="7AE596F6">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20" w:hRule="atLeast"/>
        </w:trPr>
        <w:tc>
          <w:tcPr>
            <w:tcW w:w="0" w:type="auto"/>
            <w:vAlign w:val="bottom"/>
          </w:tcPr>
          <w:p w14:paraId="6BFDEE92">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27</w:t>
            </w:r>
          </w:p>
        </w:tc>
        <w:tc>
          <w:tcPr>
            <w:tcW w:w="1086" w:type="pct"/>
            <w:vAlign w:val="bottom"/>
          </w:tcPr>
          <w:p w14:paraId="07E528A9">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热水洗</w:t>
            </w:r>
          </w:p>
        </w:tc>
        <w:tc>
          <w:tcPr>
            <w:tcW w:w="0" w:type="auto"/>
            <w:vAlign w:val="bottom"/>
          </w:tcPr>
          <w:p w14:paraId="47F06382">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1" w:type="pct"/>
            <w:vAlign w:val="bottom"/>
          </w:tcPr>
          <w:p w14:paraId="0F05071C">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1200</w:t>
            </w:r>
          </w:p>
        </w:tc>
        <w:tc>
          <w:tcPr>
            <w:tcW w:w="640" w:type="pct"/>
            <w:vAlign w:val="bottom"/>
          </w:tcPr>
          <w:p w14:paraId="019D67FE">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800</w:t>
            </w:r>
          </w:p>
        </w:tc>
        <w:tc>
          <w:tcPr>
            <w:tcW w:w="643" w:type="pct"/>
            <w:vAlign w:val="bottom"/>
          </w:tcPr>
          <w:p w14:paraId="14EF30E2">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1000</w:t>
            </w:r>
          </w:p>
        </w:tc>
        <w:tc>
          <w:tcPr>
            <w:tcW w:w="730" w:type="pct"/>
            <w:vAlign w:val="bottom"/>
          </w:tcPr>
          <w:p w14:paraId="714209AB">
            <w:pPr>
              <w:pStyle w:val="41"/>
              <w:jc w:val="center"/>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0.96</w:t>
            </w:r>
          </w:p>
        </w:tc>
      </w:tr>
    </w:tbl>
    <w:p w14:paraId="27FE5EB0">
      <w:pPr>
        <w:pStyle w:val="4"/>
        <w:ind w:left="0" w:leftChars="0" w:firstLineChars="0"/>
        <w:rPr>
          <w:rFonts w:hint="default" w:ascii="Times New Roman" w:hAnsi="Times New Roman" w:cs="Times New Roman"/>
          <w:color w:val="auto"/>
          <w:u w:val="none"/>
        </w:rPr>
      </w:pPr>
      <w:bookmarkStart w:id="72" w:name="_Toc28929"/>
      <w:r>
        <w:rPr>
          <w:rFonts w:hint="default" w:ascii="Times New Roman" w:hAnsi="Times New Roman" w:cs="Times New Roman"/>
          <w:color w:val="auto"/>
          <w:u w:val="none"/>
        </w:rPr>
        <w:t>劳动定员及工作制度</w:t>
      </w:r>
      <w:bookmarkEnd w:id="68"/>
      <w:bookmarkEnd w:id="69"/>
      <w:bookmarkEnd w:id="70"/>
      <w:bookmarkEnd w:id="71"/>
      <w:bookmarkEnd w:id="72"/>
    </w:p>
    <w:p w14:paraId="07D59EB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本项目拟定员工</w:t>
      </w:r>
      <w:r>
        <w:rPr>
          <w:rFonts w:hint="eastAsia" w:ascii="Times New Roman" w:hAnsi="Times New Roman" w:cs="Times New Roman"/>
          <w:color w:val="auto"/>
          <w:u w:val="none"/>
          <w:lang w:val="en-US" w:eastAsia="zh-CN"/>
        </w:rPr>
        <w:t>20</w:t>
      </w:r>
      <w:r>
        <w:rPr>
          <w:rFonts w:hint="default" w:ascii="Times New Roman" w:hAnsi="Times New Roman" w:cs="Times New Roman"/>
          <w:color w:val="auto"/>
          <w:u w:val="none"/>
        </w:rPr>
        <w:t>人，均</w:t>
      </w:r>
      <w:r>
        <w:rPr>
          <w:rFonts w:hint="eastAsia" w:ascii="Times New Roman" w:hAnsi="Times New Roman" w:cs="Times New Roman"/>
          <w:color w:val="auto"/>
          <w:u w:val="none"/>
          <w:lang w:val="en-US" w:eastAsia="zh-CN"/>
        </w:rPr>
        <w:t>不在</w:t>
      </w:r>
      <w:r>
        <w:rPr>
          <w:rFonts w:hint="default" w:ascii="Times New Roman" w:hAnsi="Times New Roman" w:cs="Times New Roman"/>
          <w:color w:val="auto"/>
          <w:u w:val="none"/>
        </w:rPr>
        <w:t>厂区食宿。项目每年工作</w:t>
      </w:r>
      <w:r>
        <w:rPr>
          <w:rFonts w:hint="eastAsia" w:ascii="Times New Roman" w:hAnsi="Times New Roman" w:cs="Times New Roman"/>
          <w:color w:val="auto"/>
          <w:u w:val="none"/>
          <w:lang w:val="en-US" w:eastAsia="zh-CN"/>
        </w:rPr>
        <w:t>300</w:t>
      </w:r>
      <w:r>
        <w:rPr>
          <w:rFonts w:hint="default" w:ascii="Times New Roman" w:hAnsi="Times New Roman" w:cs="Times New Roman"/>
          <w:color w:val="auto"/>
          <w:u w:val="none"/>
        </w:rPr>
        <w:t>天，每班</w:t>
      </w:r>
      <w:r>
        <w:rPr>
          <w:rFonts w:hint="eastAsia" w:ascii="Times New Roman" w:hAnsi="Times New Roman" w:cs="Times New Roman"/>
          <w:color w:val="auto"/>
          <w:u w:val="none"/>
          <w:lang w:val="en-US" w:eastAsia="zh-CN"/>
        </w:rPr>
        <w:t>12</w:t>
      </w:r>
      <w:r>
        <w:rPr>
          <w:rFonts w:hint="default" w:ascii="Times New Roman" w:hAnsi="Times New Roman" w:cs="Times New Roman"/>
          <w:color w:val="auto"/>
          <w:u w:val="none"/>
        </w:rPr>
        <w:t>小时，2班制。</w:t>
      </w:r>
    </w:p>
    <w:p w14:paraId="27B6AA42">
      <w:pPr>
        <w:pStyle w:val="4"/>
        <w:ind w:left="0" w:leftChars="0" w:firstLineChars="0"/>
        <w:rPr>
          <w:rFonts w:hint="default" w:ascii="Times New Roman" w:hAnsi="Times New Roman" w:cs="Times New Roman"/>
          <w:color w:val="auto"/>
          <w:u w:val="none"/>
        </w:rPr>
      </w:pPr>
      <w:bookmarkStart w:id="73" w:name="_Toc25752"/>
      <w:bookmarkStart w:id="74" w:name="_Toc209237368"/>
      <w:r>
        <w:rPr>
          <w:rFonts w:hint="default" w:ascii="Times New Roman" w:hAnsi="Times New Roman" w:cs="Times New Roman"/>
          <w:color w:val="auto"/>
          <w:u w:val="none"/>
        </w:rPr>
        <w:t>总平面布置</w:t>
      </w:r>
      <w:bookmarkEnd w:id="73"/>
    </w:p>
    <w:bookmarkEnd w:id="74"/>
    <w:p w14:paraId="140F9494">
      <w:pPr>
        <w:ind w:firstLine="480"/>
        <w:rPr>
          <w:rFonts w:hint="default" w:ascii="Times New Roman" w:hAnsi="Times New Roman" w:cs="Times New Roman"/>
          <w:color w:val="FF0000"/>
          <w:u w:val="none"/>
        </w:rPr>
      </w:pPr>
      <w:r>
        <w:rPr>
          <w:rFonts w:hint="eastAsia" w:ascii="Times New Roman" w:hAnsi="Times New Roman" w:cs="Times New Roman"/>
          <w:color w:val="auto"/>
          <w:u w:val="none"/>
          <w:lang w:eastAsia="zh-CN"/>
        </w:rPr>
        <w:t>湖南中达精密制造有限公司</w:t>
      </w:r>
      <w:r>
        <w:rPr>
          <w:rFonts w:hint="eastAsia" w:ascii="Times New Roman" w:hAnsi="Times New Roman" w:cs="Times New Roman"/>
          <w:color w:val="auto"/>
          <w:u w:val="none"/>
          <w:lang w:val="en-US" w:eastAsia="zh-CN"/>
        </w:rPr>
        <w:t>租赁</w:t>
      </w:r>
      <w:r>
        <w:rPr>
          <w:rFonts w:hint="default" w:ascii="Times New Roman" w:hAnsi="Times New Roman" w:cs="Times New Roman"/>
          <w:color w:val="auto"/>
          <w:u w:val="none"/>
        </w:rPr>
        <w:t>生产区建筑面积为</w:t>
      </w:r>
      <w:r>
        <w:rPr>
          <w:rFonts w:hint="eastAsia" w:ascii="Times New Roman" w:hAnsi="Times New Roman" w:cs="Times New Roman"/>
          <w:color w:val="auto"/>
          <w:u w:val="none"/>
          <w:lang w:val="en-US" w:eastAsia="zh-CN"/>
        </w:rPr>
        <w:t>2109</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位于长江大道与兴港路交汇处。项目车间平面布置以最佳的生产流程（物流、人流、信息流、能源流）和生产工艺工程进行设计，整体布置上强调物流的合理，减少物流的返回、交叉、往返等无效搬运；减少库存和再制品，缩短物料的停滞和等待；选用适当装卸搬运方式和机具。总体布置按照用地集约、紧凑，功能分区合理，工艺流线顺畅，运输线路短捷原则。车间平面布置见附图</w:t>
      </w:r>
      <w:r>
        <w:rPr>
          <w:rFonts w:hint="eastAsia" w:ascii="Times New Roman" w:hAnsi="Times New Roman" w:cs="Times New Roman"/>
          <w:color w:val="auto"/>
          <w:u w:val="none"/>
          <w:lang w:eastAsia="zh-CN"/>
        </w:rPr>
        <w:t>。</w:t>
      </w:r>
    </w:p>
    <w:p w14:paraId="71137826">
      <w:pPr>
        <w:pStyle w:val="15"/>
        <w:ind w:firstLine="360"/>
        <w:rPr>
          <w:rFonts w:hint="default" w:ascii="Times New Roman" w:hAnsi="Times New Roman" w:cs="Times New Roman"/>
          <w:color w:val="FF0000"/>
          <w:u w:val="none"/>
        </w:rPr>
      </w:pPr>
    </w:p>
    <w:p w14:paraId="4545B139">
      <w:pPr>
        <w:pStyle w:val="2"/>
        <w:ind w:left="0" w:leftChars="0" w:firstLineChars="0"/>
        <w:rPr>
          <w:rFonts w:hint="default" w:ascii="Times New Roman" w:hAnsi="Times New Roman" w:cs="Times New Roman"/>
          <w:color w:val="auto"/>
          <w:u w:val="none"/>
        </w:rPr>
      </w:pPr>
      <w:bookmarkStart w:id="75" w:name="_Toc3472"/>
      <w:bookmarkStart w:id="76" w:name="_Toc12309"/>
      <w:bookmarkStart w:id="77" w:name="_Toc490915905"/>
      <w:bookmarkStart w:id="78" w:name="_Toc350783559"/>
      <w:r>
        <w:rPr>
          <w:rFonts w:hint="default" w:ascii="Times New Roman" w:hAnsi="Times New Roman" w:cs="Times New Roman"/>
          <w:color w:val="auto"/>
          <w:u w:val="none"/>
        </w:rPr>
        <w:t>工程分析</w:t>
      </w:r>
      <w:bookmarkEnd w:id="75"/>
      <w:bookmarkEnd w:id="76"/>
      <w:bookmarkEnd w:id="77"/>
      <w:bookmarkEnd w:id="78"/>
    </w:p>
    <w:p w14:paraId="05B6D1CC">
      <w:pPr>
        <w:pStyle w:val="4"/>
        <w:ind w:left="0" w:leftChars="0" w:firstLineChars="0"/>
        <w:rPr>
          <w:rFonts w:hint="default" w:ascii="Times New Roman" w:hAnsi="Times New Roman" w:cs="Times New Roman"/>
          <w:color w:val="auto"/>
          <w:u w:val="none"/>
        </w:rPr>
      </w:pPr>
      <w:bookmarkStart w:id="79" w:name="_Toc1225"/>
      <w:bookmarkStart w:id="80" w:name="_Toc350783560"/>
      <w:bookmarkStart w:id="81" w:name="_Toc25892"/>
      <w:bookmarkStart w:id="82" w:name="_Toc209237370"/>
      <w:bookmarkStart w:id="83" w:name="_Toc490915906"/>
      <w:r>
        <w:rPr>
          <w:rFonts w:hint="default" w:ascii="Times New Roman" w:hAnsi="Times New Roman" w:cs="Times New Roman"/>
          <w:color w:val="auto"/>
          <w:u w:val="none"/>
        </w:rPr>
        <w:t>营运期工艺流程和产污环节分析</w:t>
      </w:r>
      <w:bookmarkEnd w:id="79"/>
      <w:bookmarkEnd w:id="80"/>
      <w:bookmarkEnd w:id="81"/>
      <w:bookmarkEnd w:id="82"/>
      <w:bookmarkEnd w:id="83"/>
    </w:p>
    <w:p w14:paraId="7E845B34">
      <w:pPr>
        <w:numPr>
          <w:ilvl w:val="0"/>
          <w:numId w:val="7"/>
        </w:numPr>
        <w:ind w:firstLine="480"/>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 大自动线生产工艺流程</w:t>
      </w:r>
    </w:p>
    <w:p w14:paraId="7B995505">
      <w:pPr>
        <w:ind w:firstLine="960" w:firstLineChars="400"/>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3067685</wp:posOffset>
                </wp:positionH>
                <wp:positionV relativeFrom="paragraph">
                  <wp:posOffset>210185</wp:posOffset>
                </wp:positionV>
                <wp:extent cx="1442720" cy="33464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442720" cy="334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97AB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含油废水</w:t>
                            </w:r>
                            <w:r>
                              <w:rPr>
                                <w:rFonts w:hint="eastAsia"/>
                                <w:lang w:val="en-US" w:eastAsia="zh-CN"/>
                                <w14:textFill>
                                  <w14:noFill/>
                                </w14:textFill>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1.55pt;margin-top:16.55pt;height:26.35pt;width:113.6pt;z-index:251691008;mso-width-relative:page;mso-height-relative:page;" filled="f" stroked="f" coordsize="21600,21600" o:gfxdata="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40nO9oAAAAJAQAADwAAAAAAAAABACAAAAAiAAAAZHJz&#10;L2Rvd25yZXYueG1sUEsBAhQAFAAAAAgAh07iQNAWKRs7AgAAaAQAAA4AAAAAAAAAAQAgAAAAKQEA&#10;AGRycy9lMm9Eb2MueG1sUEsFBgAAAAAGAAYAWQEAANYFAAAAAA==&#10;">
                <v:fill on="f" focussize="0,0"/>
                <v:stroke on="f" weight="0.5pt"/>
                <v:imagedata o:title=""/>
                <o:lock v:ext="edit" aspectratio="f"/>
                <v:textbox>
                  <w:txbxContent>
                    <w:p w14:paraId="68597AB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含油废水</w:t>
                      </w:r>
                      <w:r>
                        <w:rPr>
                          <w:rFonts w:hint="eastAsia"/>
                          <w:lang w:val="en-US" w:eastAsia="zh-CN"/>
                          <w14:textFill>
                            <w14:noFill/>
                          </w14:textFill>
                        </w:rPr>
                        <w:t>油</w:t>
                      </w:r>
                    </w:p>
                  </w:txbxContent>
                </v:textbox>
              </v:shape>
            </w:pict>
          </mc:Fallback>
        </mc:AlternateContent>
      </w:r>
      <w:r>
        <w:rPr>
          <w:color w:val="auto"/>
          <w:sz w:val="24"/>
        </w:rPr>
        <mc:AlternateContent>
          <mc:Choice Requires="wps">
            <w:drawing>
              <wp:anchor distT="0" distB="0" distL="114300" distR="114300" simplePos="0" relativeHeight="251689984" behindDoc="0" locked="0" layoutInCell="1" allowOverlap="1">
                <wp:simplePos x="0" y="0"/>
                <wp:positionH relativeFrom="column">
                  <wp:posOffset>745490</wp:posOffset>
                </wp:positionH>
                <wp:positionV relativeFrom="paragraph">
                  <wp:posOffset>248285</wp:posOffset>
                </wp:positionV>
                <wp:extent cx="988060" cy="280670"/>
                <wp:effectExtent l="0" t="0" r="2540" b="5080"/>
                <wp:wrapNone/>
                <wp:docPr id="53" name="文本框 53"/>
                <wp:cNvGraphicFramePr/>
                <a:graphic xmlns:a="http://schemas.openxmlformats.org/drawingml/2006/main">
                  <a:graphicData uri="http://schemas.microsoft.com/office/word/2010/wordprocessingShape">
                    <wps:wsp>
                      <wps:cNvSpPr txBox="1"/>
                      <wps:spPr>
                        <a:xfrm>
                          <a:off x="0" y="0"/>
                          <a:ext cx="98806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5E53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铝除油剂</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7pt;margin-top:19.55pt;height:22.1pt;width:77.8pt;z-index:251689984;mso-width-relative:page;mso-height-relative:page;" filled="f" stroked="f" coordsize="21600,21600" o:gfxdata="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oLEv9oAAAAJAQAADwAAAAAAAAABACAAAAAiAAAAZHJz&#10;L2Rvd25yZXYueG1sUEsBAhQAFAAAAAgAh07iQGm4oHg7AgAAZwQAAA4AAAAAAAAAAQAgAAAAKQEA&#10;AGRycy9lMm9Eb2MueG1sUEsFBgAAAAAGAAYAWQEAANYFAAAAAA==&#10;">
                <v:fill on="f" focussize="0,0"/>
                <v:stroke on="f" weight="0.5pt"/>
                <v:imagedata o:title=""/>
                <o:lock v:ext="edit" aspectratio="f"/>
                <v:textbox>
                  <w:txbxContent>
                    <w:p w14:paraId="2EE5E53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铝除油剂</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1948180</wp:posOffset>
                </wp:positionH>
                <wp:positionV relativeFrom="paragraph">
                  <wp:posOffset>233045</wp:posOffset>
                </wp:positionV>
                <wp:extent cx="988060" cy="280670"/>
                <wp:effectExtent l="4445" t="4445" r="17145" b="19685"/>
                <wp:wrapNone/>
                <wp:docPr id="4" name="文本框 4"/>
                <wp:cNvGraphicFramePr/>
                <a:graphic xmlns:a="http://schemas.openxmlformats.org/drawingml/2006/main">
                  <a:graphicData uri="http://schemas.microsoft.com/office/word/2010/wordprocessingShape">
                    <wps:wsp>
                      <wps:cNvSpPr txBox="1"/>
                      <wps:spPr>
                        <a:xfrm>
                          <a:off x="2489200" y="2205355"/>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EF40AE">
                            <w:pPr>
                              <w:ind w:left="0" w:leftChars="0" w:firstLine="0" w:firstLineChars="0"/>
                              <w:jc w:val="center"/>
                              <w:rPr>
                                <w:rFonts w:hint="default" w:eastAsia="宋体"/>
                                <w:lang w:val="en-US" w:eastAsia="zh-CN"/>
                              </w:rPr>
                            </w:pPr>
                            <w:r>
                              <w:rPr>
                                <w:rFonts w:hint="eastAsia"/>
                                <w:lang w:val="en-US" w:eastAsia="zh-CN"/>
                              </w:rPr>
                              <w:t>化学除油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4pt;margin-top:18.35pt;height:22.1pt;width:77.8pt;z-index:251662336;mso-width-relative:page;mso-height-relative:page;" fillcolor="#FFFFFF [3201]" filled="t" stroked="t" coordsize="21600,21600" o:gfxdata="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rnPy9YAAAAJAQAADwAAAAAAAAABACAAAAAiAAAAZHJzL2Rvd25yZXYueG1sUEsBAhQAFAAA&#10;AAgAh07iQFv/J7NjAgAAwgQAAA4AAAAAAAAAAQAgAAAAJQEAAGRycy9lMm9Eb2MueG1sUEsFBgAA&#10;AAAGAAYAWQEAAPoFAAAAAA==&#10;">
                <v:fill on="t" focussize="0,0"/>
                <v:stroke weight="0.5pt" color="#000000 [3204]" joinstyle="round"/>
                <v:imagedata o:title=""/>
                <o:lock v:ext="edit" aspectratio="f"/>
                <v:textbox>
                  <w:txbxContent>
                    <w:p w14:paraId="72EF40AE">
                      <w:pPr>
                        <w:ind w:left="0" w:leftChars="0" w:firstLine="0" w:firstLineChars="0"/>
                        <w:jc w:val="center"/>
                        <w:rPr>
                          <w:rFonts w:hint="default" w:eastAsia="宋体"/>
                          <w:lang w:val="en-US" w:eastAsia="zh-CN"/>
                        </w:rPr>
                      </w:pPr>
                      <w:r>
                        <w:rPr>
                          <w:rFonts w:hint="eastAsia"/>
                          <w:lang w:val="en-US" w:eastAsia="zh-CN"/>
                        </w:rPr>
                        <w:t>化学除油</w:t>
                      </w:r>
                    </w:p>
                  </w:txbxContent>
                </v:textbox>
              </v:shape>
            </w:pict>
          </mc:Fallback>
        </mc:AlternateContent>
      </w:r>
      <w:r>
        <w:rPr>
          <w:rFonts w:hint="eastAsia" w:ascii="Times New Roman" w:hAnsi="Times New Roman" w:cs="Times New Roman"/>
          <w:color w:val="auto"/>
          <w:u w:val="none"/>
          <w:lang w:val="en-US" w:eastAsia="zh-CN"/>
        </w:rPr>
        <w:t>生产工艺流程图如下所示</w:t>
      </w:r>
      <w:r>
        <w:rPr>
          <w:rFonts w:hint="default" w:ascii="Times New Roman" w:hAnsi="Times New Roman" w:cs="Times New Roman"/>
          <w:color w:val="auto"/>
          <w:u w:val="none"/>
        </w:rPr>
        <w:t>。</w:t>
      </w:r>
    </w:p>
    <w:p w14:paraId="6C803BBB">
      <w:pPr>
        <w:pStyle w:val="38"/>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2927350</wp:posOffset>
                </wp:positionH>
                <wp:positionV relativeFrom="paragraph">
                  <wp:posOffset>68580</wp:posOffset>
                </wp:positionV>
                <wp:extent cx="411480" cy="3175"/>
                <wp:effectExtent l="0" t="61595" r="7620" b="68580"/>
                <wp:wrapNone/>
                <wp:docPr id="56" name="直接箭头连接符 5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5pt;margin-top:5.4pt;height:0.25pt;width:32.4pt;z-index:251692032;mso-width-relative:page;mso-height-relative:page;" filled="f" stroked="t" coordsize="21600,21600" o:gfxdata="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pTuAdYAAAAJAQAADwAAAAAAAAABACAAAAAiAAAAZHJz&#10;L2Rvd25yZXYueG1sUEsBAhQAFAAAAAgAh07iQN/zdqcGAgAA3gMAAA4AAAAAAAAAAQAgAAAAJQ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1536700</wp:posOffset>
                </wp:positionH>
                <wp:positionV relativeFrom="paragraph">
                  <wp:posOffset>96520</wp:posOffset>
                </wp:positionV>
                <wp:extent cx="411480" cy="3175"/>
                <wp:effectExtent l="0" t="61595" r="7620" b="68580"/>
                <wp:wrapNone/>
                <wp:docPr id="26" name="直接箭头连接符 2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pt;margin-top:7.6pt;height:0.25pt;width:32.4pt;z-index:251669504;mso-width-relative:page;mso-height-relative:page;" filled="f" stroked="t" coordsize="21600,21600" o:gfxdata="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mVOjXAAAACQEAAA8AAAAAAAAAAQAgAAAAIgAAAGRy&#10;cy9kb3ducmV2LnhtbFBLAQIUABQAAAAIAIdO4kDpbTxMBgIAAN4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2466975</wp:posOffset>
                </wp:positionH>
                <wp:positionV relativeFrom="paragraph">
                  <wp:posOffset>236855</wp:posOffset>
                </wp:positionV>
                <wp:extent cx="4445" cy="316230"/>
                <wp:effectExtent l="61595" t="0" r="67310" b="7620"/>
                <wp:wrapNone/>
                <wp:docPr id="6" name="直接箭头连接符 6"/>
                <wp:cNvGraphicFramePr/>
                <a:graphic xmlns:a="http://schemas.openxmlformats.org/drawingml/2006/main">
                  <a:graphicData uri="http://schemas.microsoft.com/office/word/2010/wordprocessingShape">
                    <wps:wsp>
                      <wps:cNvCnPr>
                        <a:endCxn id="5" idx="0"/>
                      </wps:cNvCnPr>
                      <wps:spPr>
                        <a:xfrm flipH="1">
                          <a:off x="4227195" y="228854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25pt;margin-top:18.65pt;height:24.9pt;width:0.35pt;z-index:251665408;mso-width-relative:page;mso-height-relative:page;" filled="f" stroked="t" coordsize="21600,21600" o:gfxdata="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MRckzWAAAACQEAAA8AAAAAAAAAAQAgAAAAIgAAAGRycy9kb3ducmV2LnhtbFBLAQIUABQAAAAI&#10;AIdO4kCreASdKAIAABoEAAAOAAAAAAAAAAEAIAAAACUBAABkcnMvZTJvRG9jLnhtbFBLBQYAAAAA&#10;BgAGAFkBAAC/BQAAAAA=&#10;">
                <v:fill on="f" focussize="0,0"/>
                <v:stroke weight="2pt" color="#000000 [3213]" joinstyle="round" endarrow="block" endarrowwidth="wide" endarrowlength="long"/>
                <v:imagedata o:title=""/>
                <o:lock v:ext="edit" aspectratio="f"/>
              </v:shape>
            </w:pict>
          </mc:Fallback>
        </mc:AlternateContent>
      </w:r>
    </w:p>
    <w:p w14:paraId="5CF89AA7">
      <w:pPr>
        <w:pStyle w:val="38"/>
        <w:rPr>
          <w:rFonts w:hint="default" w:ascii="Times New Roman" w:hAnsi="Times New Roman" w:cs="Times New Roman"/>
          <w:color w:val="auto"/>
          <w:u w:val="none"/>
        </w:rPr>
      </w:pPr>
    </w:p>
    <w:p w14:paraId="68E6C362">
      <w:pPr>
        <w:pStyle w:val="38"/>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3368040</wp:posOffset>
                </wp:positionH>
                <wp:positionV relativeFrom="paragraph">
                  <wp:posOffset>47625</wp:posOffset>
                </wp:positionV>
                <wp:extent cx="744220" cy="28067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3AB1C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2pt;margin-top:3.75pt;height:22.1pt;width:58.6pt;z-index:251701248;mso-width-relative:page;mso-height-relative:page;" filled="f" stroked="f" coordsize="21600,21600" o:gfxdata="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IbibS2QAAAAgBAAAPAAAAAAAAAAEAIAAAACIAAABkcnMv&#10;ZG93bnJldi54bWxQSwECFAAUAAAACACHTuJAPFXmZjsCAABnBAAADgAAAAAAAAABACAAAAAoAQAA&#10;ZHJzL2Uyb0RvYy54bWxQSwUGAAAAAAYABgBZAQAA1QUAAAAA&#10;">
                <v:fill on="f" focussize="0,0"/>
                <v:stroke on="f" weight="0.5pt"/>
                <v:imagedata o:title=""/>
                <o:lock v:ext="edit" aspectratio="f"/>
                <v:textbox>
                  <w:txbxContent>
                    <w:p w14:paraId="033AB1C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703296" behindDoc="0" locked="0" layoutInCell="1" allowOverlap="1">
                <wp:simplePos x="0" y="0"/>
                <wp:positionH relativeFrom="column">
                  <wp:posOffset>1046480</wp:posOffset>
                </wp:positionH>
                <wp:positionV relativeFrom="paragraph">
                  <wp:posOffset>22225</wp:posOffset>
                </wp:positionV>
                <wp:extent cx="744220" cy="28067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54BA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4pt;margin-top:1.75pt;height:22.1pt;width:58.6pt;z-index:251703296;mso-width-relative:page;mso-height-relative:page;" filled="f" stroked="f" coordsize="21600,21600" o:gfxdata="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TMeStkAAAAIAQAADwAAAAAAAAABACAAAAAiAAAAZHJz&#10;L2Rvd25yZXYueG1sUEsBAhQAFAAAAAgAh07iQCeyrC48AgAAZwQAAA4AAAAAAAAAAQAgAAAAKAEA&#10;AGRycy9lMm9Eb2MueG1sUEsFBgAAAAAGAAYAWQEAANYFAAAAAA==&#10;">
                <v:fill on="f" focussize="0,0"/>
                <v:stroke on="f" weight="0.5pt"/>
                <v:imagedata o:title=""/>
                <o:lock v:ext="edit" aspectratio="f"/>
                <v:textbox>
                  <w:txbxContent>
                    <w:p w14:paraId="41754BA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96128" behindDoc="0" locked="0" layoutInCell="1" allowOverlap="1">
                <wp:simplePos x="0" y="0"/>
                <wp:positionH relativeFrom="column">
                  <wp:posOffset>2963545</wp:posOffset>
                </wp:positionH>
                <wp:positionV relativeFrom="paragraph">
                  <wp:posOffset>171450</wp:posOffset>
                </wp:positionV>
                <wp:extent cx="411480" cy="3175"/>
                <wp:effectExtent l="0" t="61595" r="7620" b="68580"/>
                <wp:wrapNone/>
                <wp:docPr id="60" name="直接箭头连接符 60"/>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3.35pt;margin-top:13.5pt;height:0.25pt;width:32.4pt;z-index:251696128;mso-width-relative:page;mso-height-relative:page;" filled="f" stroked="t" coordsize="21600,21600" o:gfxdata="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68yyNgAAAAJAQAADwAAAAAAAAABACAAAAAiAAAAZHJz&#10;L2Rvd25yZXYueG1sUEsBAhQAFAAAAAgAh07iQPMZeZ0EAgAA3gMAAA4AAAAAAAAAAQAgAAAAJw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93056" behindDoc="0" locked="0" layoutInCell="1" allowOverlap="1">
                <wp:simplePos x="0" y="0"/>
                <wp:positionH relativeFrom="column">
                  <wp:posOffset>1583055</wp:posOffset>
                </wp:positionH>
                <wp:positionV relativeFrom="paragraph">
                  <wp:posOffset>177800</wp:posOffset>
                </wp:positionV>
                <wp:extent cx="411480" cy="3175"/>
                <wp:effectExtent l="0" t="61595" r="7620" b="68580"/>
                <wp:wrapNone/>
                <wp:docPr id="57" name="直接箭头连接符 57"/>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4.65pt;margin-top:14pt;height:0.25pt;width:32.4pt;z-index:251693056;mso-width-relative:page;mso-height-relative:page;" filled="f" stroked="t" coordsize="21600,21600" o:gfxdata="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&#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7uVO2AAAAAkBAAAPAAAAAAAAAAEAIAAAACIAAABk&#10;cnMvZG93bnJldi54bWxQSwECFAAUAAAACACHTuJABSilcgYCAADeAwAADgAAAAAAAAABACAAAAAn&#10;AQAAZHJzL2Uyb0RvYy54bWxQSwUGAAAAAAYABgBZAQAAnwU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1972945</wp:posOffset>
                </wp:positionH>
                <wp:positionV relativeFrom="paragraph">
                  <wp:posOffset>27305</wp:posOffset>
                </wp:positionV>
                <wp:extent cx="988060" cy="280670"/>
                <wp:effectExtent l="4445" t="4445" r="17145" b="19685"/>
                <wp:wrapNone/>
                <wp:docPr id="5" name="文本框 5"/>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88DC35">
                            <w:pPr>
                              <w:ind w:left="0" w:leftChars="0" w:firstLine="0" w:firstLineChars="0"/>
                              <w:jc w:val="center"/>
                              <w:rPr>
                                <w:rFonts w:hint="default" w:eastAsia="宋体"/>
                                <w:lang w:val="en-US" w:eastAsia="zh-CN"/>
                              </w:rPr>
                            </w:pPr>
                            <w:r>
                              <w:rPr>
                                <w:rFonts w:hint="eastAsia"/>
                                <w:lang w:val="en-US" w:eastAsia="zh-CN"/>
                              </w:rPr>
                              <w:t>二级水洗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35pt;margin-top:2.15pt;height:22.1pt;width:77.8pt;z-index:251664384;mso-width-relative:page;mso-height-relative:page;" fillcolor="#FFFFFF [3201]" filled="t" stroked="t" coordsize="21600,21600" o:gfxdata="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ddgt9UAAAAI&#10;AQAADwAAAAAAAAABACAAAAAiAAAAZHJzL2Rvd25yZXYueG1sUEsBAhQAFAAAAAgAh07iQPm3P3VY&#10;AgAAtgQAAA4AAAAAAAAAAQAgAAAAJAEAAGRycy9lMm9Eb2MueG1sUEsFBgAAAAAGAAYAWQEAAO4F&#10;AAAAAA==&#10;">
                <v:fill on="t" focussize="0,0"/>
                <v:stroke weight="0.5pt" color="#000000 [3204]" joinstyle="round"/>
                <v:imagedata o:title=""/>
                <o:lock v:ext="edit" aspectratio="f"/>
                <v:textbox>
                  <w:txbxContent>
                    <w:p w14:paraId="5988DC35">
                      <w:pPr>
                        <w:ind w:left="0" w:leftChars="0" w:firstLine="0" w:firstLineChars="0"/>
                        <w:jc w:val="center"/>
                        <w:rPr>
                          <w:rFonts w:hint="default" w:eastAsia="宋体"/>
                          <w:lang w:val="en-US" w:eastAsia="zh-CN"/>
                        </w:rPr>
                      </w:pPr>
                      <w:r>
                        <w:rPr>
                          <w:rFonts w:hint="eastAsia"/>
                          <w:lang w:val="en-US" w:eastAsia="zh-CN"/>
                        </w:rPr>
                        <w:t>二级水洗</w:t>
                      </w:r>
                    </w:p>
                  </w:txbxContent>
                </v:textbox>
              </v:shape>
            </w:pict>
          </mc:Fallback>
        </mc:AlternateContent>
      </w:r>
    </w:p>
    <w:p w14:paraId="2540A62F">
      <w:pPr>
        <w:pStyle w:val="39"/>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2449830</wp:posOffset>
                </wp:positionH>
                <wp:positionV relativeFrom="paragraph">
                  <wp:posOffset>55880</wp:posOffset>
                </wp:positionV>
                <wp:extent cx="4445" cy="316230"/>
                <wp:effectExtent l="61595" t="0" r="67310" b="7620"/>
                <wp:wrapNone/>
                <wp:docPr id="17" name="直接箭头连接符 17"/>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9pt;margin-top:4.4pt;height:24.9pt;width:0.35pt;z-index:251666432;mso-width-relative:page;mso-height-relative:page;" filled="f" stroked="t" coordsize="21600,21600" o:gfxdata="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alWD1QAAAAgBAAAPAAAAAAAAAAEAIAAA&#10;ACIAAABkcnMvZG93bnJldi54bWxQSwECFAAUAAAACACHTuJAyRe5Uw8CAADpAwAADgAAAAAAAAAB&#10;ACAAAAAk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580E0F1C">
      <w:pPr>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01248" behindDoc="0" locked="0" layoutInCell="1" allowOverlap="1">
                <wp:simplePos x="0" y="0"/>
                <wp:positionH relativeFrom="column">
                  <wp:posOffset>1043940</wp:posOffset>
                </wp:positionH>
                <wp:positionV relativeFrom="paragraph">
                  <wp:posOffset>125730</wp:posOffset>
                </wp:positionV>
                <wp:extent cx="744220" cy="28067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C0601F">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片碱</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2pt;margin-top:9.9pt;height:22.1pt;width:58.6pt;z-index:251701248;mso-width-relative:page;mso-height-relative:page;" filled="f" stroked="f" coordsize="21600,21600" o:gfxdata="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efnc9kAAAAJAQAADwAAAAAAAAABACAAAAAiAAAAZHJz&#10;L2Rvd25yZXYueG1sUEsBAhQAFAAAAAgAh07iQGYqJY48AgAAZwQAAA4AAAAAAAAAAQAgAAAAKAEA&#10;AGRycy9lMm9Eb2MueG1sUEsFBgAAAAAGAAYAWQEAANYFAAAAAA==&#10;">
                <v:fill on="f" focussize="0,0"/>
                <v:stroke on="f" weight="0.5pt"/>
                <v:imagedata o:title=""/>
                <o:lock v:ext="edit" aspectratio="f"/>
                <v:textbox>
                  <w:txbxContent>
                    <w:p w14:paraId="70C0601F">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片碱</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3401695</wp:posOffset>
                </wp:positionH>
                <wp:positionV relativeFrom="paragraph">
                  <wp:posOffset>162560</wp:posOffset>
                </wp:positionV>
                <wp:extent cx="744220" cy="28067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286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含酸废水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85pt;margin-top:12.8pt;height:22.1pt;width:58.6pt;z-index:251699200;mso-width-relative:page;mso-height-relative:page;" filled="f" stroked="f" coordsize="21600,21600" o:gfxdata="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&#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JwwC9sAAAAJAQAADwAAAAAAAAABACAAAAAiAAAA&#10;ZHJzL2Rvd25yZXYueG1sUEsBAhQAFAAAAAgAh07iQMmtEWw9AgAAZwQAAA4AAAAAAAAAAQAgAAAA&#10;KgEAAGRycy9lMm9Eb2MueG1sUEsFBgAAAAAGAAYAWQEAANkFAAAAAA==&#10;">
                <v:fill on="f" focussize="0,0"/>
                <v:stroke on="f" weight="0.5pt"/>
                <v:imagedata o:title=""/>
                <o:lock v:ext="edit" aspectratio="f"/>
                <v:textbox>
                  <w:txbxContent>
                    <w:p w14:paraId="7455286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含酸废水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1951990</wp:posOffset>
                </wp:positionH>
                <wp:positionV relativeFrom="paragraph">
                  <wp:posOffset>135255</wp:posOffset>
                </wp:positionV>
                <wp:extent cx="988060" cy="280670"/>
                <wp:effectExtent l="4445" t="4445" r="17145" b="19685"/>
                <wp:wrapNone/>
                <wp:docPr id="23" name="文本框 23"/>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CF2758">
                            <w:pPr>
                              <w:ind w:left="0" w:leftChars="0" w:firstLine="0" w:firstLineChars="0"/>
                              <w:jc w:val="center"/>
                              <w:rPr>
                                <w:rFonts w:hint="default" w:eastAsia="宋体"/>
                                <w:lang w:val="en-US" w:eastAsia="zh-CN"/>
                              </w:rPr>
                            </w:pPr>
                            <w:r>
                              <w:rPr>
                                <w:rFonts w:hint="eastAsia"/>
                              </w:rPr>
                              <w:t>碱腐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10.65pt;height:22.1pt;width:77.8pt;z-index:251668480;mso-width-relative:page;mso-height-relative:page;" fillcolor="#FFFFFF [3201]" filled="t" stroked="t" coordsize="21600,21600" o:gfxdata="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1I1uz1gAA&#10;AAkBAAAPAAAAAAAAAAEAIAAAACIAAABkcnMvZG93bnJldi54bWxQSwECFAAUAAAACACHTuJAsw1X&#10;8FkCAAC4BAAADgAAAAAAAAABACAAAAAlAQAAZHJzL2Uyb0RvYy54bWxQSwUGAAAAAAYABgBZAQAA&#10;8AUAAAAA&#10;">
                <v:fill on="t" focussize="0,0"/>
                <v:stroke weight="0.5pt" color="#000000 [3204]" joinstyle="round"/>
                <v:imagedata o:title=""/>
                <o:lock v:ext="edit" aspectratio="f"/>
                <v:textbox>
                  <w:txbxContent>
                    <w:p w14:paraId="1ECF2758">
                      <w:pPr>
                        <w:ind w:left="0" w:leftChars="0" w:firstLine="0" w:firstLineChars="0"/>
                        <w:jc w:val="center"/>
                        <w:rPr>
                          <w:rFonts w:hint="default" w:eastAsia="宋体"/>
                          <w:lang w:val="en-US" w:eastAsia="zh-CN"/>
                        </w:rPr>
                      </w:pPr>
                      <w:r>
                        <w:rPr>
                          <w:rFonts w:hint="eastAsia"/>
                        </w:rPr>
                        <w:t>碱腐</w:t>
                      </w:r>
                    </w:p>
                  </w:txbxContent>
                </v:textbox>
              </v:shape>
            </w:pict>
          </mc:Fallback>
        </mc:AlternateContent>
      </w:r>
    </w:p>
    <w:p w14:paraId="70778378">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97152" behindDoc="0" locked="0" layoutInCell="1" allowOverlap="1">
                <wp:simplePos x="0" y="0"/>
                <wp:positionH relativeFrom="column">
                  <wp:posOffset>2962910</wp:posOffset>
                </wp:positionH>
                <wp:positionV relativeFrom="paragraph">
                  <wp:posOffset>24765</wp:posOffset>
                </wp:positionV>
                <wp:extent cx="411480" cy="3175"/>
                <wp:effectExtent l="0" t="61595" r="7620" b="68580"/>
                <wp:wrapNone/>
                <wp:docPr id="61" name="直接箭头连接符 6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3.3pt;margin-top:1.95pt;height:0.25pt;width:32.4pt;z-index:251697152;mso-width-relative:page;mso-height-relative:page;" filled="f" stroked="t" coordsize="21600,21600" o:gfxdata="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XuMJLWAAAABwEAAA8AAAAAAAAAAQAgAAAAIgAAAGRycy9k&#10;b3ducmV2LnhtbFBLAQIUABQAAAAIAIdO4kApwqpIBAIAAN4DAAAOAAAAAAAAAAEAIAAAACUBAABk&#10;cnMvZTJvRG9jLnhtbFBLBQYAAAAABgAGAFkBAACbBQ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94080" behindDoc="0" locked="0" layoutInCell="1" allowOverlap="1">
                <wp:simplePos x="0" y="0"/>
                <wp:positionH relativeFrom="column">
                  <wp:posOffset>1530350</wp:posOffset>
                </wp:positionH>
                <wp:positionV relativeFrom="paragraph">
                  <wp:posOffset>31115</wp:posOffset>
                </wp:positionV>
                <wp:extent cx="411480" cy="3175"/>
                <wp:effectExtent l="0" t="61595" r="7620" b="68580"/>
                <wp:wrapNone/>
                <wp:docPr id="58" name="直接箭头连接符 5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0.5pt;margin-top:2.45pt;height:0.25pt;width:32.4pt;z-index:251694080;mso-width-relative:page;mso-height-relative:page;" filled="f" stroked="t" coordsize="21600,21600" o:gfxdata="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usH3PXAAAABwEAAA8AAAAAAAAAAQAgAAAAIgAAAGRy&#10;cy9kb3ducmV2LnhtbFBLAQIUABQAAAAIAIdO4kBV4CYuBgIAAN4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p>
    <w:p w14:paraId="497DA5EE">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2453640</wp:posOffset>
                </wp:positionH>
                <wp:positionV relativeFrom="paragraph">
                  <wp:posOffset>11430</wp:posOffset>
                </wp:positionV>
                <wp:extent cx="4445" cy="316230"/>
                <wp:effectExtent l="61595" t="0" r="67310" b="7620"/>
                <wp:wrapNone/>
                <wp:docPr id="20" name="直接箭头连接符 20"/>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3.2pt;margin-top:0.9pt;height:24.9pt;width:0.35pt;z-index:251667456;mso-width-relative:page;mso-height-relative:page;" filled="f" stroked="t" coordsize="21600,21600" o:gfxdata="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1gwGr1AAAAAgBAAAPAAAAAAAAAAEAIAAAACIA&#10;AABkcnMvZG93bnJldi54bWxQSwECFAAUAAAACACHTuJAANY9HQ0CAADpAwAADgAAAAAAAAABACAA&#10;AAAjAQAAZHJzL2Uyb0RvYy54bWxQSwUGAAAAAAYABgBZAQAAogUAAAAA&#10;">
                <v:fill on="f" focussize="0,0"/>
                <v:stroke weight="2pt" color="#000000 [3213]" joinstyle="round" endarrow="block" endarrowwidth="wide" endarrowlength="long"/>
                <v:imagedata o:title=""/>
                <o:lock v:ext="edit" aspectratio="f"/>
              </v:shape>
            </w:pict>
          </mc:Fallback>
        </mc:AlternateContent>
      </w:r>
    </w:p>
    <w:p w14:paraId="2610A072">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3365500</wp:posOffset>
                </wp:positionH>
                <wp:positionV relativeFrom="paragraph">
                  <wp:posOffset>120650</wp:posOffset>
                </wp:positionV>
                <wp:extent cx="744220" cy="28067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E433E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pt;margin-top:9.5pt;height:22.1pt;width:58.6pt;z-index:251699200;mso-width-relative:page;mso-height-relative:page;" filled="f" stroked="f" coordsize="21600,21600" o:gfxdata="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hKhuU2gAAAAkBAAAPAAAAAAAAAAEAIAAAACIAAABk&#10;cnMvZG93bnJldi54bWxQSwECFAAUAAAACACHTuJA1qQJcz0CAABnBAAADgAAAAAAAAABACAAAAAp&#10;AQAAZHJzL2Uyb0RvYy54bWxQSwUGAAAAAAYABgBZAQAA2AUAAAAA&#10;">
                <v:fill on="f" focussize="0,0"/>
                <v:stroke on="f" weight="0.5pt"/>
                <v:imagedata o:title=""/>
                <o:lock v:ext="edit" aspectratio="f"/>
                <v:textbox>
                  <w:txbxContent>
                    <w:p w14:paraId="33E433E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99200" behindDoc="0" locked="0" layoutInCell="1" allowOverlap="1">
                <wp:simplePos x="0" y="0"/>
                <wp:positionH relativeFrom="column">
                  <wp:posOffset>1017905</wp:posOffset>
                </wp:positionH>
                <wp:positionV relativeFrom="paragraph">
                  <wp:posOffset>117475</wp:posOffset>
                </wp:positionV>
                <wp:extent cx="744220" cy="28067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0F92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15pt;margin-top:9.25pt;height:22.1pt;width:58.6pt;z-index:251699200;mso-width-relative:page;mso-height-relative:page;" filled="f" stroked="f" coordsize="21600,21600" o:gfxdata="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c2Cz/ZAAAACQEAAA8AAAAAAAAAAQAgAAAAIgAAAGRy&#10;cy9kb3ducmV2LnhtbFBLAQIUABQAAAAIAIdO4kCT0tKEPQIAAGcEAAAOAAAAAAAAAAEAIAAAACgB&#10;AABkcnMvZTJvRG9jLnhtbFBLBQYAAAAABgAGAFkBAADXBQAAAAA=&#10;">
                <v:fill on="f" focussize="0,0"/>
                <v:stroke on="f" weight="0.5pt"/>
                <v:imagedata o:title=""/>
                <o:lock v:ext="edit" aspectratio="f"/>
                <v:textbox>
                  <w:txbxContent>
                    <w:p w14:paraId="6A70F92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1958340</wp:posOffset>
                </wp:positionH>
                <wp:positionV relativeFrom="paragraph">
                  <wp:posOffset>128905</wp:posOffset>
                </wp:positionV>
                <wp:extent cx="988060" cy="280670"/>
                <wp:effectExtent l="4445" t="4445" r="17145" b="19685"/>
                <wp:wrapNone/>
                <wp:docPr id="28" name="文本框 28"/>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24655A">
                            <w:pPr>
                              <w:ind w:left="0" w:leftChars="0" w:firstLine="0" w:firstLineChars="0"/>
                              <w:jc w:val="center"/>
                              <w:rPr>
                                <w:rFonts w:hint="default" w:eastAsia="宋体"/>
                                <w:lang w:val="en-US" w:eastAsia="zh-CN"/>
                              </w:rPr>
                            </w:pPr>
                            <w:r>
                              <w:rPr>
                                <w:rFonts w:hint="eastAsia"/>
                                <w:lang w:val="en-US" w:eastAsia="zh-CN"/>
                              </w:rPr>
                              <w:t>二级水洗</w:t>
                            </w:r>
                          </w:p>
                          <w:p w14:paraId="6AF4D834">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2pt;margin-top:10.15pt;height:22.1pt;width:77.8pt;z-index:251671552;mso-width-relative:page;mso-height-relative:page;" fillcolor="#FFFFFF [3201]" filled="t" stroked="t" coordsize="21600,21600" o:gfxdata="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COS1gAA&#10;AAkBAAAPAAAAAAAAAAEAIAAAACIAAABkcnMvZG93bnJldi54bWxQSwECFAAUAAAACACHTuJA2dPd&#10;S1kCAAC4BAAADgAAAAAAAAABACAAAAAlAQAAZHJzL2Uyb0RvYy54bWxQSwUGAAAAAAYABgBZAQAA&#10;8AUAAAAA&#10;">
                <v:fill on="t" focussize="0,0"/>
                <v:stroke weight="0.5pt" color="#000000 [3204]" joinstyle="round"/>
                <v:imagedata o:title=""/>
                <o:lock v:ext="edit" aspectratio="f"/>
                <v:textbox>
                  <w:txbxContent>
                    <w:p w14:paraId="7224655A">
                      <w:pPr>
                        <w:ind w:left="0" w:leftChars="0" w:firstLine="0" w:firstLineChars="0"/>
                        <w:jc w:val="center"/>
                        <w:rPr>
                          <w:rFonts w:hint="default" w:eastAsia="宋体"/>
                          <w:lang w:val="en-US" w:eastAsia="zh-CN"/>
                        </w:rPr>
                      </w:pPr>
                      <w:r>
                        <w:rPr>
                          <w:rFonts w:hint="eastAsia"/>
                          <w:lang w:val="en-US" w:eastAsia="zh-CN"/>
                        </w:rPr>
                        <w:t>二级水洗</w:t>
                      </w:r>
                    </w:p>
                    <w:p w14:paraId="6AF4D834">
                      <w:pPr>
                        <w:rPr>
                          <w:rFonts w:hint="default"/>
                          <w:lang w:val="en-US" w:eastAsia="zh-CN"/>
                        </w:rPr>
                      </w:pPr>
                    </w:p>
                  </w:txbxContent>
                </v:textbox>
              </v:shape>
            </w:pict>
          </mc:Fallback>
        </mc:AlternateContent>
      </w:r>
    </w:p>
    <w:p w14:paraId="62220CE4">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98176" behindDoc="0" locked="0" layoutInCell="1" allowOverlap="1">
                <wp:simplePos x="0" y="0"/>
                <wp:positionH relativeFrom="column">
                  <wp:posOffset>2941955</wp:posOffset>
                </wp:positionH>
                <wp:positionV relativeFrom="paragraph">
                  <wp:posOffset>91440</wp:posOffset>
                </wp:positionV>
                <wp:extent cx="411480" cy="3175"/>
                <wp:effectExtent l="0" t="61595" r="7620" b="68580"/>
                <wp:wrapNone/>
                <wp:docPr id="64" name="直接箭头连接符 64"/>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1.65pt;margin-top:7.2pt;height:0.25pt;width:32.4pt;z-index:251698176;mso-width-relative:page;mso-height-relative:page;" filled="f" stroked="t" coordsize="21600,21600" o:gfxdata="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I0NdcAAAAJAQAADwAAAAAAAAABACAAAAAiAAAAZHJz&#10;L2Rvd25yZXYueG1sUEsBAhQAFAAAAAgAh07iQBl61HwFAgAA3gMAAA4AAAAAAAAAAQAgAAAAJg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1551305</wp:posOffset>
                </wp:positionH>
                <wp:positionV relativeFrom="paragraph">
                  <wp:posOffset>108585</wp:posOffset>
                </wp:positionV>
                <wp:extent cx="411480" cy="3175"/>
                <wp:effectExtent l="0" t="61595" r="7620" b="68580"/>
                <wp:wrapNone/>
                <wp:docPr id="59" name="直接箭头连接符 59"/>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2.15pt;margin-top:8.55pt;height:0.25pt;width:32.4pt;z-index:251695104;mso-width-relative:page;mso-height-relative:page;" filled="f" stroked="t" coordsize="21600,21600" o:gfxdata="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&#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uYE/v2AAAAAkBAAAPAAAAAAAAAAEAIAAAACIAAABk&#10;cnMvZG93bnJldi54bWxQSwECFAAUAAAACACHTuJAjzv1+wYCAADeAwAADgAAAAAAAAABACAAAAAn&#10;AQAAZHJzL2Uyb0RvYy54bWxQSwUGAAAAAAYABgBZAQAAnwUAAAAA&#10;">
                <v:fill on="f" focussize="0,0"/>
                <v:stroke weight="0.5pt" color="#000000 [3213]" joinstyle="round" endarrow="block" endarrowwidth="wide" endarrowlength="long"/>
                <v:imagedata o:title=""/>
                <o:lock v:ext="edit" aspectratio="f"/>
              </v:shape>
            </w:pict>
          </mc:Fallback>
        </mc:AlternateContent>
      </w:r>
    </w:p>
    <w:p w14:paraId="409FE1D9">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2415540</wp:posOffset>
                </wp:positionH>
                <wp:positionV relativeFrom="paragraph">
                  <wp:posOffset>71755</wp:posOffset>
                </wp:positionV>
                <wp:extent cx="4445" cy="316230"/>
                <wp:effectExtent l="61595" t="0" r="67310" b="7620"/>
                <wp:wrapNone/>
                <wp:docPr id="27" name="直接箭头连接符 27"/>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0.2pt;margin-top:5.65pt;height:24.9pt;width:0.35pt;z-index:251670528;mso-width-relative:page;mso-height-relative:page;" filled="f" stroked="t" coordsize="21600,21600" o:gfxdata="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Nr8nn1QAAAAkBAAAPAAAAAAAAAAEAIAAA&#10;ACIAAABkcnMvZG93bnJldi54bWxQSwECFAAUAAAACACHTuJAG5F9ww8CAADpAwAADgAAAAAAAAAB&#10;ACAAAAAk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02260C81">
      <w:pPr>
        <w:pStyle w:val="37"/>
        <w:rPr>
          <w:rFonts w:hint="default" w:ascii="Times New Roman" w:hAnsi="Times New Roman" w:cs="Times New Roman"/>
          <w:color w:val="auto"/>
          <w:u w:val="none"/>
        </w:rPr>
      </w:pPr>
    </w:p>
    <w:p w14:paraId="28AED03D">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830272" behindDoc="0" locked="0" layoutInCell="1" allowOverlap="1">
                <wp:simplePos x="0" y="0"/>
                <wp:positionH relativeFrom="column">
                  <wp:posOffset>3351530</wp:posOffset>
                </wp:positionH>
                <wp:positionV relativeFrom="paragraph">
                  <wp:posOffset>12700</wp:posOffset>
                </wp:positionV>
                <wp:extent cx="744220" cy="28067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F389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pt;margin-top:1pt;height:22.1pt;width:58.6pt;z-index:251830272;mso-width-relative:page;mso-height-relative:page;" filled="f" stroked="f" coordsize="21600,21600" o:gfxdata="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RN/4nZAAAACAEAAA8AAAAAAAAAAQAgAAAAIgAAAGRy&#10;cy9kb3ducmV2LnhtbFBLAQIUABQAAAAIAIdO4kCewSuqPQIAAGkEAAAOAAAAAAAAAAEAIAAAACgB&#10;AABkcnMvZTJvRG9jLnhtbFBLBQYAAAAABgAGAFkBAADXBQAAAAA=&#10;">
                <v:fill on="f" focussize="0,0"/>
                <v:stroke on="f" weight="0.5pt"/>
                <v:imagedata o:title=""/>
                <o:lock v:ext="edit" aspectratio="f"/>
                <v:textbox>
                  <w:txbxContent>
                    <w:p w14:paraId="6E1F389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828224" behindDoc="0" locked="0" layoutInCell="1" allowOverlap="1">
                <wp:simplePos x="0" y="0"/>
                <wp:positionH relativeFrom="column">
                  <wp:posOffset>2927350</wp:posOffset>
                </wp:positionH>
                <wp:positionV relativeFrom="paragraph">
                  <wp:posOffset>170180</wp:posOffset>
                </wp:positionV>
                <wp:extent cx="411480" cy="3175"/>
                <wp:effectExtent l="0" t="61595" r="7620" b="68580"/>
                <wp:wrapNone/>
                <wp:docPr id="300" name="直接箭头连接符 300"/>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5pt;margin-top:13.4pt;height:0.25pt;width:32.4pt;z-index:251828224;mso-width-relative:page;mso-height-relative:page;" filled="f" stroked="t" coordsize="21600,21600" o:gfxdata="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&#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9fkH2AAAAAkBAAAPAAAAAAAAAAEAIAAAACIAAABk&#10;cnMvZG93bnJldi54bWxQSwECFAAUAAAACACHTuJABxIGTgYCAADgAwAADgAAAAAAAAABACAAAAAn&#10;AQAAZHJzL2Uyb0RvYy54bWxQSwUGAAAAAAYABgBZAQAAnwU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718185</wp:posOffset>
                </wp:positionH>
                <wp:positionV relativeFrom="paragraph">
                  <wp:posOffset>57150</wp:posOffset>
                </wp:positionV>
                <wp:extent cx="981710" cy="28067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98171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DC71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无氮中和剂</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55pt;margin-top:4.5pt;height:22.1pt;width:77.3pt;z-index:251704320;mso-width-relative:page;mso-height-relative:page;" filled="f" stroked="f" coordsize="21600,21600" o:gfxdata="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Psnn82QAAAAgBAAAPAAAAAAAAAAEAIAAAACIAAABk&#10;cnMvZG93bnJldi54bWxQSwECFAAUAAAACACHTuJAJuCO4D4CAABnBAAADgAAAAAAAAABACAAAAAo&#10;AQAAZHJzL2Uyb0RvYy54bWxQSwUGAAAAAAYABgBZAQAA2AUAAAAA&#10;">
                <v:fill on="f" focussize="0,0"/>
                <v:stroke on="f" weight="0.5pt"/>
                <v:imagedata o:title=""/>
                <o:lock v:ext="edit" aspectratio="f"/>
                <v:textbox>
                  <w:txbxContent>
                    <w:p w14:paraId="53FDC71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无氮中和剂</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1936750</wp:posOffset>
                </wp:positionH>
                <wp:positionV relativeFrom="paragraph">
                  <wp:posOffset>39370</wp:posOffset>
                </wp:positionV>
                <wp:extent cx="988060" cy="280670"/>
                <wp:effectExtent l="4445" t="4445" r="17145" b="19685"/>
                <wp:wrapNone/>
                <wp:docPr id="31" name="文本框 31"/>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8C0F9E">
                            <w:pPr>
                              <w:ind w:left="0" w:leftChars="0" w:firstLine="0" w:firstLineChars="0"/>
                              <w:jc w:val="center"/>
                              <w:rPr>
                                <w:rFonts w:hint="default" w:eastAsia="宋体"/>
                                <w:lang w:val="en-US" w:eastAsia="zh-CN"/>
                              </w:rPr>
                            </w:pPr>
                            <w:r>
                              <w:rPr>
                                <w:rFonts w:hint="eastAsia"/>
                                <w:lang w:val="en-US" w:eastAsia="zh-CN"/>
                              </w:rPr>
                              <w:t>出光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pt;margin-top:3.1pt;height:22.1pt;width:77.8pt;z-index:251673600;mso-width-relative:page;mso-height-relative:page;" fillcolor="#FFFFFF [3201]" filled="t" stroked="t" coordsize="21600,21600" o:gfxdata="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17cHCNUAAAAI&#10;AQAADwAAAAAAAAABACAAAAAiAAAAZHJzL2Rvd25yZXYueG1sUEsBAhQAFAAAAAgAh07iQJxtWjRY&#10;AgAAuAQAAA4AAAAAAAAAAQAgAAAAJAEAAGRycy9lMm9Eb2MueG1sUEsFBgAAAAAGAAYAWQEAAO4F&#10;AAAAAA==&#10;">
                <v:fill on="t" focussize="0,0"/>
                <v:stroke weight="0.5pt" color="#000000 [3204]" joinstyle="round"/>
                <v:imagedata o:title=""/>
                <o:lock v:ext="edit" aspectratio="f"/>
                <v:textbox>
                  <w:txbxContent>
                    <w:p w14:paraId="0F8C0F9E">
                      <w:pPr>
                        <w:ind w:left="0" w:leftChars="0" w:firstLine="0" w:firstLineChars="0"/>
                        <w:jc w:val="center"/>
                        <w:rPr>
                          <w:rFonts w:hint="default" w:eastAsia="宋体"/>
                          <w:lang w:val="en-US" w:eastAsia="zh-CN"/>
                        </w:rPr>
                      </w:pPr>
                      <w:r>
                        <w:rPr>
                          <w:rFonts w:hint="eastAsia"/>
                          <w:lang w:val="en-US" w:eastAsia="zh-CN"/>
                        </w:rPr>
                        <w:t>出光</w:t>
                      </w:r>
                    </w:p>
                  </w:txbxContent>
                </v:textbox>
              </v:shape>
            </w:pict>
          </mc:Fallback>
        </mc:AlternateContent>
      </w:r>
    </w:p>
    <w:p w14:paraId="0E6829B5">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02272" behindDoc="0" locked="0" layoutInCell="1" allowOverlap="1">
                <wp:simplePos x="0" y="0"/>
                <wp:positionH relativeFrom="column">
                  <wp:posOffset>1513205</wp:posOffset>
                </wp:positionH>
                <wp:positionV relativeFrom="paragraph">
                  <wp:posOffset>14605</wp:posOffset>
                </wp:positionV>
                <wp:extent cx="411480" cy="3175"/>
                <wp:effectExtent l="0" t="61595" r="7620" b="68580"/>
                <wp:wrapNone/>
                <wp:docPr id="68" name="直接箭头连接符 6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9.15pt;margin-top:1.15pt;height:0.25pt;width:32.4pt;z-index:251702272;mso-width-relative:page;mso-height-relative:page;" filled="f" stroked="t" coordsize="21600,21600" o:gfxdata="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bay8fTAAAABwEAAA8AAAAAAAAAAQAgAAAAIgAAAGRycy9kb3du&#10;cmV2LnhtbFBLAQIUABQAAAAIAIdO4kBm2FKFBAIAAN4DAAAOAAAAAAAAAAEAIAAAACIBAABkcnMv&#10;ZTJvRG9jLnhtbFBLBQYAAAAABgAGAFkBAACYBQ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2430780</wp:posOffset>
                </wp:positionH>
                <wp:positionV relativeFrom="paragraph">
                  <wp:posOffset>121920</wp:posOffset>
                </wp:positionV>
                <wp:extent cx="4445" cy="316230"/>
                <wp:effectExtent l="61595" t="0" r="67310" b="7620"/>
                <wp:wrapNone/>
                <wp:docPr id="30" name="直接箭头连接符 30"/>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4pt;margin-top:9.6pt;height:24.9pt;width:0.35pt;z-index:251672576;mso-width-relative:page;mso-height-relative:page;" filled="f" stroked="t" coordsize="21600,21600" o:gfxdata="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NjwTjWAAAACQEAAA8AAAAAAAAAAQAgAAAA&#10;IgAAAGRycy9kb3ducmV2LnhtbFBLAQIUABQAAAAIAIdO4kBOVH5tDQIAAOkDAAAOAAAAAAAAAAEA&#10;IAAAACU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4324F1DB">
      <w:pPr>
        <w:pStyle w:val="37"/>
        <w:rPr>
          <w:rFonts w:hint="default" w:ascii="Times New Roman" w:hAnsi="Times New Roman" w:cs="Times New Roman"/>
          <w:color w:val="auto"/>
          <w:u w:val="none"/>
        </w:rPr>
      </w:pPr>
    </w:p>
    <w:p w14:paraId="281170C0">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3536" behindDoc="0" locked="0" layoutInCell="1" allowOverlap="1">
                <wp:simplePos x="0" y="0"/>
                <wp:positionH relativeFrom="column">
                  <wp:posOffset>3359150</wp:posOffset>
                </wp:positionH>
                <wp:positionV relativeFrom="paragraph">
                  <wp:posOffset>114935</wp:posOffset>
                </wp:positionV>
                <wp:extent cx="744220" cy="28067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292A8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5pt;margin-top:9.05pt;height:22.1pt;width:58.6pt;z-index:251713536;mso-width-relative:page;mso-height-relative:page;" filled="f" stroked="f" coordsize="21600,21600" o:gfxdata="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&#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QTRLy2gAAAAkBAAAPAAAAAAAAAAEAIAAAACIAAABk&#10;cnMvZG93bnJldi54bWxQSwECFAAUAAAACACHTuJAZPsq/j0CAABnBAAADgAAAAAAAAABACAAAAAp&#10;AQAAZHJzL2Uyb0RvYy54bWxQSwUGAAAAAAYABgBZAQAA2AUAAAAA&#10;">
                <v:fill on="f" focussize="0,0"/>
                <v:stroke on="f" weight="0.5pt"/>
                <v:imagedata o:title=""/>
                <o:lock v:ext="edit" aspectratio="f"/>
                <v:textbox>
                  <w:txbxContent>
                    <w:p w14:paraId="3D292A8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706368" behindDoc="0" locked="0" layoutInCell="1" allowOverlap="1">
                <wp:simplePos x="0" y="0"/>
                <wp:positionH relativeFrom="column">
                  <wp:posOffset>978535</wp:posOffset>
                </wp:positionH>
                <wp:positionV relativeFrom="paragraph">
                  <wp:posOffset>48895</wp:posOffset>
                </wp:positionV>
                <wp:extent cx="744220" cy="28067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F25B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05pt;margin-top:3.85pt;height:22.1pt;width:58.6pt;z-index:251706368;mso-width-relative:page;mso-height-relative:page;" filled="f" stroked="f" coordsize="21600,21600" o:gfxdata="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oRfZrZAAAACAEAAA8AAAAAAAAAAQAgAAAAIgAAAGRy&#10;cy9kb3ducmV2LnhtbFBLAQIUABQAAAAIAIdO4kAjXP55PQIAAGcEAAAOAAAAAAAAAAEAIAAAACgB&#10;AABkcnMvZTJvRG9jLnhtbFBLBQYAAAAABgAGAFkBAADXBQAAAAA=&#10;">
                <v:fill on="f" focussize="0,0"/>
                <v:stroke on="f" weight="0.5pt"/>
                <v:imagedata o:title=""/>
                <o:lock v:ext="edit" aspectratio="f"/>
                <v:textbox>
                  <w:txbxContent>
                    <w:p w14:paraId="19EF25B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1941195</wp:posOffset>
                </wp:positionH>
                <wp:positionV relativeFrom="paragraph">
                  <wp:posOffset>94615</wp:posOffset>
                </wp:positionV>
                <wp:extent cx="988060" cy="280670"/>
                <wp:effectExtent l="4445" t="4445" r="17145" b="19685"/>
                <wp:wrapNone/>
                <wp:docPr id="33" name="文本框 33"/>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11106E">
                            <w:pPr>
                              <w:ind w:left="0" w:leftChars="0" w:firstLine="0" w:firstLineChars="0"/>
                              <w:jc w:val="center"/>
                              <w:rPr>
                                <w:rFonts w:hint="default" w:eastAsia="宋体"/>
                                <w:lang w:val="en-US" w:eastAsia="zh-CN"/>
                              </w:rPr>
                            </w:pPr>
                            <w:r>
                              <w:rPr>
                                <w:rFonts w:hint="eastAsia"/>
                                <w:lang w:val="en-US" w:eastAsia="zh-CN"/>
                              </w:rPr>
                              <w:t>二级水洗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85pt;margin-top:7.45pt;height:22.1pt;width:77.8pt;z-index:251675648;mso-width-relative:page;mso-height-relative:page;" fillcolor="#FFFFFF [3201]" filled="t" stroked="t" coordsize="21600,21600" o:gfxdata="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we6gtcA&#10;AAAJAQAADwAAAAAAAAABACAAAAAiAAAAZHJzL2Rvd25yZXYueG1sUEsBAhQAFAAAAAgAh07iQFW1&#10;UYFZAgAAuAQAAA4AAAAAAAAAAQAgAAAAJgEAAGRycy9lMm9Eb2MueG1sUEsFBgAAAAAGAAYAWQEA&#10;APEFAAAAAA==&#10;">
                <v:fill on="t" focussize="0,0"/>
                <v:stroke weight="0.5pt" color="#000000 [3204]" joinstyle="round"/>
                <v:imagedata o:title=""/>
                <o:lock v:ext="edit" aspectratio="f"/>
                <v:textbox>
                  <w:txbxContent>
                    <w:p w14:paraId="7F11106E">
                      <w:pPr>
                        <w:ind w:left="0" w:leftChars="0" w:firstLine="0" w:firstLineChars="0"/>
                        <w:jc w:val="center"/>
                        <w:rPr>
                          <w:rFonts w:hint="default" w:eastAsia="宋体"/>
                          <w:lang w:val="en-US" w:eastAsia="zh-CN"/>
                        </w:rPr>
                      </w:pPr>
                      <w:r>
                        <w:rPr>
                          <w:rFonts w:hint="eastAsia"/>
                          <w:lang w:val="en-US" w:eastAsia="zh-CN"/>
                        </w:rPr>
                        <w:t>二级水洗</w:t>
                      </w:r>
                    </w:p>
                  </w:txbxContent>
                </v:textbox>
              </v:shape>
            </w:pict>
          </mc:Fallback>
        </mc:AlternateContent>
      </w:r>
    </w:p>
    <w:p w14:paraId="7D928236">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1522730</wp:posOffset>
                </wp:positionH>
                <wp:positionV relativeFrom="paragraph">
                  <wp:posOffset>33655</wp:posOffset>
                </wp:positionV>
                <wp:extent cx="411480" cy="3175"/>
                <wp:effectExtent l="0" t="61595" r="7620" b="68580"/>
                <wp:wrapNone/>
                <wp:docPr id="77" name="直接箭头连接符 77"/>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9.9pt;margin-top:2.65pt;height:0.25pt;width:32.4pt;z-index:251705344;mso-width-relative:page;mso-height-relative:page;" filled="f" stroked="t" coordsize="21600,21600" o:gfxdata="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yuaBtUAAAAHAQAADwAAAAAAAAABACAAAAAiAAAAZHJzL2Rv&#10;d25yZXYueG1sUEsBAhQAFAAAAAgAh07iQCf4Ar8EAgAA3gMAAA4AAAAAAAAAAQAgAAAAJAEAAGRy&#10;cy9lMm9Eb2MueG1sUEsFBgAAAAAGAAYAWQEAAJoFA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00224" behindDoc="0" locked="0" layoutInCell="1" allowOverlap="1">
                <wp:simplePos x="0" y="0"/>
                <wp:positionH relativeFrom="column">
                  <wp:posOffset>2931160</wp:posOffset>
                </wp:positionH>
                <wp:positionV relativeFrom="paragraph">
                  <wp:posOffset>60325</wp:posOffset>
                </wp:positionV>
                <wp:extent cx="411480" cy="3175"/>
                <wp:effectExtent l="0" t="61595" r="7620" b="68580"/>
                <wp:wrapNone/>
                <wp:docPr id="67" name="直接箭头连接符 67"/>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8pt;margin-top:4.75pt;height:0.25pt;width:32.4pt;z-index:251700224;mso-width-relative:page;mso-height-relative:page;" filled="f" stroked="t" coordsize="21600,21600" o:gfxdata="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vSkItgAAAAIAQAADwAAAAAAAAABACAAAAAiAAAAZHJz&#10;L2Rvd25yZXYueG1sUEsBAhQAFAAAAAgAh07iQDYQ0dkEAgAA3gMAAA4AAAAAAAAAAQAgAAAAJwEA&#10;AGRycy9lMm9Eb2MueG1sUEsFBgAAAAAGAAYAWQEAAJ0FAAAAAA==&#10;">
                <v:fill on="f" focussize="0,0"/>
                <v:stroke weight="0.5pt" color="#000000 [3213]" joinstyle="round" endarrow="block" endarrowwidth="wide" endarrowlength="long"/>
                <v:imagedata o:title=""/>
                <o:lock v:ext="edit" aspectratio="f"/>
              </v:shape>
            </w:pict>
          </mc:Fallback>
        </mc:AlternateContent>
      </w:r>
    </w:p>
    <w:p w14:paraId="4CF84DD4">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2424430</wp:posOffset>
                </wp:positionH>
                <wp:positionV relativeFrom="paragraph">
                  <wp:posOffset>6985</wp:posOffset>
                </wp:positionV>
                <wp:extent cx="4445" cy="316230"/>
                <wp:effectExtent l="61595" t="0" r="67310" b="7620"/>
                <wp:wrapNone/>
                <wp:docPr id="32" name="直接箭头连接符 32"/>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0.9pt;margin-top:0.55pt;height:24.9pt;width:0.35pt;z-index:251674624;mso-width-relative:page;mso-height-relative:page;" filled="f" stroked="t" coordsize="21600,21600" o:gfxdata="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4OBK1QAAAAgBAAAPAAAAAAAAAAEAIAAA&#10;ACIAAABkcnMvZG93bnJldi54bWxQSwECFAAUAAAACACHTuJARNaTPw8CAADpAwAADgAAAAAAAAAB&#10;ACAAAAAk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61CE2EAD">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0464" behindDoc="0" locked="0" layoutInCell="1" allowOverlap="1">
                <wp:simplePos x="0" y="0"/>
                <wp:positionH relativeFrom="column">
                  <wp:posOffset>739140</wp:posOffset>
                </wp:positionH>
                <wp:positionV relativeFrom="paragraph">
                  <wp:posOffset>109220</wp:posOffset>
                </wp:positionV>
                <wp:extent cx="1019810" cy="28067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01981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76A3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硫酸、硝酸</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8.6pt;height:22.1pt;width:80.3pt;z-index:251710464;mso-width-relative:page;mso-height-relative:page;" filled="f" stroked="f" coordsize="21600,21600" o:gfxdata="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PpehdgAAAAJAQAADwAAAAAAAAABACAAAAAiAAAAZHJz&#10;L2Rvd25yZXYueG1sUEsBAhQAFAAAAAgAh07iQKiyRrs9AgAAaAQAAA4AAAAAAAAAAQAgAAAAJwEA&#10;AGRycy9lMm9Eb2MueG1sUEsFBgAAAAAGAAYAWQEAANYFAAAAAA==&#10;">
                <v:fill on="f" focussize="0,0"/>
                <v:stroke on="f" weight="0.5pt"/>
                <v:imagedata o:title=""/>
                <o:lock v:ext="edit" aspectratio="f"/>
                <v:textbox>
                  <w:txbxContent>
                    <w:p w14:paraId="14576A3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硫酸、硝酸</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714560" behindDoc="0" locked="0" layoutInCell="1" allowOverlap="1">
                <wp:simplePos x="0" y="0"/>
                <wp:positionH relativeFrom="column">
                  <wp:posOffset>3315335</wp:posOffset>
                </wp:positionH>
                <wp:positionV relativeFrom="paragraph">
                  <wp:posOffset>124460</wp:posOffset>
                </wp:positionV>
                <wp:extent cx="1611630" cy="53467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611630" cy="534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92EC9">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酸雾、</w:t>
                            </w:r>
                            <w:r>
                              <w:rPr>
                                <w:kern w:val="2"/>
                                <w:sz w:val="21"/>
                                <w:szCs w:val="21"/>
                              </w:rPr>
                              <w:t>氮氧化物</w:t>
                            </w:r>
                            <w:r>
                              <w:rPr>
                                <w:rFonts w:hint="eastAsia"/>
                                <w:lang w:val="en-US" w:eastAsia="zh-CN"/>
                                <w14:textFill>
                                  <w14:noFill/>
                                </w14:textFill>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05pt;margin-top:9.8pt;height:42.1pt;width:126.9pt;z-index:251714560;mso-width-relative:page;mso-height-relative:page;" filled="f" stroked="f" coordsize="21600,21600" o:gfxdata="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9j5UtsAAAAKAQAADwAAAAAAAAABACAAAAAiAAAA&#10;ZHJzL2Rvd25yZXYueG1sUEsBAhQAFAAAAAgAh07iQHkz7Ck9AgAAaAQAAA4AAAAAAAAAAQAgAAAA&#10;KgEAAGRycy9lMm9Eb2MueG1sUEsFBgAAAAAGAAYAWQEAANkFAAAAAA==&#10;">
                <v:fill on="f" focussize="0,0"/>
                <v:stroke on="f" weight="0.5pt"/>
                <v:imagedata o:title=""/>
                <o:lock v:ext="edit" aspectratio="f"/>
                <v:textbox>
                  <w:txbxContent>
                    <w:p w14:paraId="5FA92EC9">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酸雾、</w:t>
                      </w:r>
                      <w:r>
                        <w:rPr>
                          <w:kern w:val="2"/>
                          <w:sz w:val="21"/>
                          <w:szCs w:val="21"/>
                        </w:rPr>
                        <w:t>氮氧化物</w:t>
                      </w:r>
                      <w:r>
                        <w:rPr>
                          <w:rFonts w:hint="eastAsia"/>
                          <w:lang w:val="en-US" w:eastAsia="zh-CN"/>
                          <w14:textFill>
                            <w14:noFill/>
                          </w14:textFill>
                        </w:rPr>
                        <w:t>油</w:t>
                      </w:r>
                    </w:p>
                  </w:txbxContent>
                </v:textbox>
              </v:shape>
            </w:pict>
          </mc:Fallback>
        </mc:AlternateContent>
      </w:r>
      <w:r>
        <w:rPr>
          <w:color w:val="auto"/>
          <w:sz w:val="24"/>
        </w:rPr>
        <mc:AlternateContent>
          <mc:Choice Requires="wps">
            <w:drawing>
              <wp:anchor distT="0" distB="0" distL="114300" distR="114300" simplePos="0" relativeHeight="251680768" behindDoc="0" locked="0" layoutInCell="1" allowOverlap="1">
                <wp:simplePos x="0" y="0"/>
                <wp:positionH relativeFrom="column">
                  <wp:posOffset>1934845</wp:posOffset>
                </wp:positionH>
                <wp:positionV relativeFrom="paragraph">
                  <wp:posOffset>124460</wp:posOffset>
                </wp:positionV>
                <wp:extent cx="988060" cy="280670"/>
                <wp:effectExtent l="4445" t="4445" r="17145" b="19685"/>
                <wp:wrapNone/>
                <wp:docPr id="38" name="文本框 38"/>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FD2CA6">
                            <w:pPr>
                              <w:ind w:left="0" w:leftChars="0" w:firstLine="0" w:firstLineChars="0"/>
                              <w:jc w:val="center"/>
                              <w:rPr>
                                <w:rFonts w:hint="default" w:eastAsia="宋体"/>
                                <w:lang w:val="en-US" w:eastAsia="zh-CN"/>
                              </w:rPr>
                            </w:pPr>
                            <w:r>
                              <w:rPr>
                                <w:rFonts w:hint="eastAsia"/>
                                <w:lang w:val="en-US" w:eastAsia="zh-CN"/>
                              </w:rPr>
                              <w:t>阳极氧化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35pt;margin-top:9.8pt;height:22.1pt;width:77.8pt;z-index:251680768;mso-width-relative:page;mso-height-relative:page;" fillcolor="#FFFFFF [3201]" filled="t" stroked="t" coordsize="21600,21600" o:gfxdata="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MTxMzWAAAA&#10;CQEAAA8AAAAAAAAAAQAgAAAAIgAAAGRycy9kb3ducmV2LnhtbFBLAQIUABQAAAAIAIdO4kA/a9s6&#10;WAIAALgEAAAOAAAAAAAAAAEAIAAAACUBAABkcnMvZTJvRG9jLnhtbFBLBQYAAAAABgAGAFkBAADv&#10;BQAAAAA=&#10;">
                <v:fill on="t" focussize="0,0"/>
                <v:stroke weight="0.5pt" color="#000000 [3204]" joinstyle="round"/>
                <v:imagedata o:title=""/>
                <o:lock v:ext="edit" aspectratio="f"/>
                <v:textbox>
                  <w:txbxContent>
                    <w:p w14:paraId="52FD2CA6">
                      <w:pPr>
                        <w:ind w:left="0" w:leftChars="0" w:firstLine="0" w:firstLineChars="0"/>
                        <w:jc w:val="center"/>
                        <w:rPr>
                          <w:rFonts w:hint="default" w:eastAsia="宋体"/>
                          <w:lang w:val="en-US" w:eastAsia="zh-CN"/>
                        </w:rPr>
                      </w:pPr>
                      <w:r>
                        <w:rPr>
                          <w:rFonts w:hint="eastAsia"/>
                          <w:lang w:val="en-US" w:eastAsia="zh-CN"/>
                        </w:rPr>
                        <w:t>阳极氧化</w:t>
                      </w:r>
                    </w:p>
                  </w:txbxContent>
                </v:textbox>
              </v:shape>
            </w:pict>
          </mc:Fallback>
        </mc:AlternateContent>
      </w:r>
    </w:p>
    <w:p w14:paraId="14E56D65">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2917190</wp:posOffset>
                </wp:positionH>
                <wp:positionV relativeFrom="paragraph">
                  <wp:posOffset>91440</wp:posOffset>
                </wp:positionV>
                <wp:extent cx="411480" cy="3175"/>
                <wp:effectExtent l="0" t="61595" r="7620" b="68580"/>
                <wp:wrapNone/>
                <wp:docPr id="80" name="直接箭头连接符 80"/>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9.7pt;margin-top:7.2pt;height:0.25pt;width:32.4pt;z-index:251707392;mso-width-relative:page;mso-height-relative:page;" filled="f" stroked="t" coordsize="21600,21600" o:gfxdata="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OHhW9gAAAAJAQAADwAAAAAAAAABACAAAAAiAAAAZHJz&#10;L2Rvd25yZXYueG1sUEsBAhQAFAAAAAgAh07iQN4jnZAEAgAA3gMAAA4AAAAAAAAAAQAgAAAAJw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1534160</wp:posOffset>
                </wp:positionH>
                <wp:positionV relativeFrom="paragraph">
                  <wp:posOffset>80010</wp:posOffset>
                </wp:positionV>
                <wp:extent cx="411480" cy="3175"/>
                <wp:effectExtent l="0" t="61595" r="7620" b="68580"/>
                <wp:wrapNone/>
                <wp:docPr id="78" name="直接箭头连接符 7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0.8pt;margin-top:6.3pt;height:0.25pt;width:32.4pt;z-index:251705344;mso-width-relative:page;mso-height-relative:page;" filled="f" stroked="t" coordsize="21600,21600" o:gfxdata="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UzGd1wAAAAkBAAAPAAAAAAAAAAEAIAAAACIAAABkcnMv&#10;ZG93bnJldi54bWxQSwECFAAUAAAACACHTuJAdzCB4wQCAADeAwAADgAAAAAAAAABACAAAAAmAQAA&#10;ZHJzL2Uyb0RvYy54bWxQSwUGAAAAAAYABgBZAQAAnAUAAAAA&#10;">
                <v:fill on="f" focussize="0,0"/>
                <v:stroke weight="0.5pt" color="#000000 [3213]" joinstyle="round" endarrow="block" endarrowwidth="wide" endarrowlength="long"/>
                <v:imagedata o:title=""/>
                <o:lock v:ext="edit" aspectratio="f"/>
              </v:shape>
            </w:pict>
          </mc:Fallback>
        </mc:AlternateContent>
      </w:r>
    </w:p>
    <w:p w14:paraId="61CFE9B6">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2426970</wp:posOffset>
                </wp:positionH>
                <wp:positionV relativeFrom="paragraph">
                  <wp:posOffset>96520</wp:posOffset>
                </wp:positionV>
                <wp:extent cx="4445" cy="316230"/>
                <wp:effectExtent l="61595" t="0" r="67310" b="7620"/>
                <wp:wrapNone/>
                <wp:docPr id="34" name="直接箭头连接符 34"/>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1pt;margin-top:7.6pt;height:24.9pt;width:0.35pt;z-index:251676672;mso-width-relative:page;mso-height-relative:page;" filled="f" stroked="t" coordsize="21600,21600" o:gfxdata="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UBQl1QAAAAkBAAAPAAAAAAAAAAEAIAAA&#10;ACIAAABkcnMvZG93bnJldi54bWxQSwECFAAUAAAACACHTuJAWlClyA8CAADpAwAADgAAAAAAAAAB&#10;ACAAAAAk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4D8913F9">
      <w:pPr>
        <w:pStyle w:val="37"/>
        <w:rPr>
          <w:rFonts w:hint="default" w:ascii="Times New Roman" w:hAnsi="Times New Roman" w:cs="Times New Roman"/>
          <w:color w:val="auto"/>
          <w:u w:val="none"/>
        </w:rPr>
      </w:pPr>
    </w:p>
    <w:p w14:paraId="2E3B58EA">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6608" behindDoc="0" locked="0" layoutInCell="1" allowOverlap="1">
                <wp:simplePos x="0" y="0"/>
                <wp:positionH relativeFrom="column">
                  <wp:posOffset>3369945</wp:posOffset>
                </wp:positionH>
                <wp:positionV relativeFrom="paragraph">
                  <wp:posOffset>83820</wp:posOffset>
                </wp:positionV>
                <wp:extent cx="744220" cy="28067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2FEE2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35pt;margin-top:6.6pt;height:22.1pt;width:58.6pt;z-index:251716608;mso-width-relative:page;mso-height-relative:page;" filled="f" stroked="f" coordsize="21600,21600" o:gfxdata="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&#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MF1s2gAAAAkBAAAPAAAAAAAAAAEAIAAAACIAAABk&#10;cnMvZG93bnJldi54bWxQSwECFAAUAAAACACHTuJA9W4uIj0CAABnBAAADgAAAAAAAAABACAAAAAp&#10;AQAAZHJzL2Uyb0RvYy54bWxQSwUGAAAAAAYABgBZAQAA2AUAAAAA&#10;">
                <v:fill on="f" focussize="0,0"/>
                <v:stroke on="f" weight="0.5pt"/>
                <v:imagedata o:title=""/>
                <o:lock v:ext="edit" aspectratio="f"/>
                <v:textbox>
                  <w:txbxContent>
                    <w:p w14:paraId="502FEE2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712512" behindDoc="0" locked="0" layoutInCell="1" allowOverlap="1">
                <wp:simplePos x="0" y="0"/>
                <wp:positionH relativeFrom="column">
                  <wp:posOffset>1046480</wp:posOffset>
                </wp:positionH>
                <wp:positionV relativeFrom="paragraph">
                  <wp:posOffset>64135</wp:posOffset>
                </wp:positionV>
                <wp:extent cx="744220" cy="28067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DFA5B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4pt;margin-top:5.05pt;height:22.1pt;width:58.6pt;z-index:251712512;mso-width-relative:page;mso-height-relative:page;" filled="f" stroked="f" coordsize="21600,21600" o:gfxdata="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Qj6O2gAAAAkBAAAPAAAAAAAAAAEAIAAAACIAAABk&#10;cnMvZG93bnJldi54bWxQSwECFAAUAAAACACHTuJArxHtyj0CAABnBAAADgAAAAAAAAABACAAAAAp&#10;AQAAZHJzL2Uyb0RvYy54bWxQSwUGAAAAAAYABgBZAQAA2AUAAAAA&#10;">
                <v:fill on="f" focussize="0,0"/>
                <v:stroke on="f" weight="0.5pt"/>
                <v:imagedata o:title=""/>
                <o:lock v:ext="edit" aspectratio="f"/>
                <v:textbox>
                  <w:txbxContent>
                    <w:p w14:paraId="5FDFA5B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78720" behindDoc="0" locked="0" layoutInCell="1" allowOverlap="1">
                <wp:simplePos x="0" y="0"/>
                <wp:positionH relativeFrom="column">
                  <wp:posOffset>1944370</wp:posOffset>
                </wp:positionH>
                <wp:positionV relativeFrom="paragraph">
                  <wp:posOffset>69215</wp:posOffset>
                </wp:positionV>
                <wp:extent cx="988060" cy="280670"/>
                <wp:effectExtent l="4445" t="4445" r="17145" b="19685"/>
                <wp:wrapNone/>
                <wp:docPr id="36" name="文本框 36"/>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BD9F05A">
                            <w:pPr>
                              <w:ind w:left="0" w:leftChars="0" w:firstLine="0" w:firstLineChars="0"/>
                              <w:jc w:val="center"/>
                              <w:rPr>
                                <w:rFonts w:hint="default" w:eastAsia="宋体"/>
                                <w:lang w:val="en-US" w:eastAsia="zh-CN"/>
                              </w:rPr>
                            </w:pPr>
                            <w:r>
                              <w:rPr>
                                <w:rFonts w:hint="eastAsia"/>
                                <w:lang w:val="en-US" w:eastAsia="zh-CN"/>
                              </w:rPr>
                              <w:t>二级水洗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1pt;margin-top:5.45pt;height:22.1pt;width:77.8pt;z-index:251678720;mso-width-relative:page;mso-height-relative:page;" fillcolor="#FFFFFF [3201]" filled="t" stroked="t" coordsize="21600,21600" o:gfxdata="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5MIrz1gAA&#10;AAkBAAAPAAAAAAAAAAEAIAAAACIAAABkcnMvZG93bnJldi54bWxQSwECFAAUAAAACACHTuJAwm0K&#10;h1kCAAC4BAAADgAAAAAAAAABACAAAAAlAQAAZHJzL2Uyb0RvYy54bWxQSwUGAAAAAAYABgBZAQAA&#10;8AUAAAAA&#10;">
                <v:fill on="t" focussize="0,0"/>
                <v:stroke weight="0.5pt" color="#000000 [3204]" joinstyle="round"/>
                <v:imagedata o:title=""/>
                <o:lock v:ext="edit" aspectratio="f"/>
                <v:textbox>
                  <w:txbxContent>
                    <w:p w14:paraId="0BD9F05A">
                      <w:pPr>
                        <w:ind w:left="0" w:leftChars="0" w:firstLine="0" w:firstLineChars="0"/>
                        <w:jc w:val="center"/>
                        <w:rPr>
                          <w:rFonts w:hint="default" w:eastAsia="宋体"/>
                          <w:lang w:val="en-US" w:eastAsia="zh-CN"/>
                        </w:rPr>
                      </w:pPr>
                      <w:r>
                        <w:rPr>
                          <w:rFonts w:hint="eastAsia"/>
                          <w:lang w:val="en-US" w:eastAsia="zh-CN"/>
                        </w:rPr>
                        <w:t>二级水洗</w:t>
                      </w:r>
                    </w:p>
                  </w:txbxContent>
                </v:textbox>
              </v:shape>
            </w:pict>
          </mc:Fallback>
        </mc:AlternateContent>
      </w:r>
    </w:p>
    <w:p w14:paraId="706CBC88">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08416" behindDoc="0" locked="0" layoutInCell="1" allowOverlap="1">
                <wp:simplePos x="0" y="0"/>
                <wp:positionH relativeFrom="column">
                  <wp:posOffset>2928620</wp:posOffset>
                </wp:positionH>
                <wp:positionV relativeFrom="paragraph">
                  <wp:posOffset>45720</wp:posOffset>
                </wp:positionV>
                <wp:extent cx="411480" cy="3175"/>
                <wp:effectExtent l="0" t="61595" r="7620" b="68580"/>
                <wp:wrapNone/>
                <wp:docPr id="81" name="直接箭头连接符 8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6pt;margin-top:3.6pt;height:0.25pt;width:32.4pt;z-index:251708416;mso-width-relative:page;mso-height-relative:page;" filled="f" stroked="t" coordsize="21600,21600" o:gfxdata="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EIL51gAAAAcBAAAPAAAAAAAAAAEAIAAAACIAAABkcnMv&#10;ZG93bnJldi54bWxQSwECFAAUAAAACACHTuJABPhORQUCAADeAwAADgAAAAAAAAABACAAAAAlAQAA&#10;ZHJzL2Uyb0RvYy54bWxQSwUGAAAAAAYABgBZAQAAnAU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05344" behindDoc="0" locked="0" layoutInCell="1" allowOverlap="1">
                <wp:simplePos x="0" y="0"/>
                <wp:positionH relativeFrom="column">
                  <wp:posOffset>1510665</wp:posOffset>
                </wp:positionH>
                <wp:positionV relativeFrom="paragraph">
                  <wp:posOffset>45720</wp:posOffset>
                </wp:positionV>
                <wp:extent cx="411480" cy="3175"/>
                <wp:effectExtent l="0" t="61595" r="7620" b="68580"/>
                <wp:wrapNone/>
                <wp:docPr id="79" name="直接箭头连接符 79"/>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8.95pt;margin-top:3.6pt;height:0.25pt;width:32.4pt;z-index:251705344;mso-width-relative:page;mso-height-relative:page;" filled="f" stroked="t" coordsize="21600,21600" o:gfxdata="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yBrVfVAAAABwEAAA8AAAAAAAAAAQAgAAAAIgAAAGRycy9k&#10;b3ducmV2LnhtbFBLAQIUABQAAAAIAIdO4kCt61I2BQIAAN4DAAAOAAAAAAAAAAEAIAAAACQBAABk&#10;cnMvZTJvRG9jLnhtbFBLBQYAAAAABgAGAFkBAACbBQ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677696" behindDoc="0" locked="0" layoutInCell="1" allowOverlap="1">
                <wp:simplePos x="0" y="0"/>
                <wp:positionH relativeFrom="column">
                  <wp:posOffset>2430145</wp:posOffset>
                </wp:positionH>
                <wp:positionV relativeFrom="paragraph">
                  <wp:posOffset>172085</wp:posOffset>
                </wp:positionV>
                <wp:extent cx="4445" cy="316230"/>
                <wp:effectExtent l="61595" t="0" r="67310" b="7620"/>
                <wp:wrapNone/>
                <wp:docPr id="35" name="直接箭头连接符 35"/>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35pt;margin-top:13.55pt;height:24.9pt;width:0.35pt;z-index:251677696;mso-width-relative:page;mso-height-relative:page;" filled="f" stroked="t" coordsize="21600,21600" o:gfxdata="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NLPdtYAAAAJAQAADwAAAAAAAAABACAA&#10;AAAiAAAAZHJzL2Rvd25yZXYueG1sUEsBAhQAFAAAAAgAh07iQF+R0+EPAgAA6QMAAA4AAAAAAAAA&#10;AQAgAAAAJQEAAGRycy9lMm9Eb2MueG1sUEsFBgAAAAAGAAYAWQEAAKYFAAAAAA==&#10;">
                <v:fill on="f" focussize="0,0"/>
                <v:stroke weight="2pt" color="#000000 [3213]" joinstyle="round" endarrow="block" endarrowwidth="wide" endarrowlength="long"/>
                <v:imagedata o:title=""/>
                <o:lock v:ext="edit" aspectratio="f"/>
              </v:shape>
            </w:pict>
          </mc:Fallback>
        </mc:AlternateContent>
      </w:r>
    </w:p>
    <w:p w14:paraId="53A01631">
      <w:pPr>
        <w:pStyle w:val="37"/>
        <w:rPr>
          <w:rFonts w:hint="default" w:ascii="Times New Roman" w:hAnsi="Times New Roman" w:cs="Times New Roman"/>
          <w:color w:val="auto"/>
          <w:u w:val="none"/>
        </w:rPr>
      </w:pPr>
    </w:p>
    <w:p w14:paraId="32E91C3C">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7632" behindDoc="0" locked="0" layoutInCell="1" allowOverlap="1">
                <wp:simplePos x="0" y="0"/>
                <wp:positionH relativeFrom="column">
                  <wp:posOffset>3924935</wp:posOffset>
                </wp:positionH>
                <wp:positionV relativeFrom="paragraph">
                  <wp:posOffset>165100</wp:posOffset>
                </wp:positionV>
                <wp:extent cx="902970" cy="28067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0297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5D92C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重金属废液</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05pt;margin-top:13pt;height:22.1pt;width:71.1pt;z-index:251717632;mso-width-relative:page;mso-height-relative:page;" filled="f" stroked="f" coordsize="21600,21600" o:gfxdata="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doo49oAAAAJAQAADwAAAAAAAAABACAAAAAiAAAAZHJz&#10;L2Rvd25yZXYueG1sUEsBAhQAFAAAAAgAh07iQEtRNBs7AgAAZwQAAA4AAAAAAAAAAQAgAAAAKQEA&#10;AGRycy9lMm9Eb2MueG1sUEsFBgAAAAAGAAYAWQEAANYFAAAAAA==&#10;">
                <v:fill on="f" focussize="0,0"/>
                <v:stroke on="f" weight="0.5pt"/>
                <v:imagedata o:title=""/>
                <o:lock v:ext="edit" aspectratio="f"/>
                <v:textbox>
                  <w:txbxContent>
                    <w:p w14:paraId="0B5D92C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重金属废液</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81792" behindDoc="0" locked="0" layoutInCell="1" allowOverlap="1">
                <wp:simplePos x="0" y="0"/>
                <wp:positionH relativeFrom="column">
                  <wp:posOffset>1564005</wp:posOffset>
                </wp:positionH>
                <wp:positionV relativeFrom="paragraph">
                  <wp:posOffset>143510</wp:posOffset>
                </wp:positionV>
                <wp:extent cx="1911350" cy="280670"/>
                <wp:effectExtent l="4445" t="4445" r="8255" b="19685"/>
                <wp:wrapNone/>
                <wp:docPr id="39" name="文本框 39"/>
                <wp:cNvGraphicFramePr/>
                <a:graphic xmlns:a="http://schemas.openxmlformats.org/drawingml/2006/main">
                  <a:graphicData uri="http://schemas.microsoft.com/office/word/2010/wordprocessingShape">
                    <wps:wsp>
                      <wps:cNvSpPr txBox="1"/>
                      <wps:spPr>
                        <a:xfrm>
                          <a:off x="0" y="0"/>
                          <a:ext cx="191135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E7DA9C2">
                            <w:pPr>
                              <w:ind w:left="0" w:leftChars="0" w:firstLine="0" w:firstLineChars="0"/>
                              <w:jc w:val="center"/>
                              <w:rPr>
                                <w:rFonts w:hint="default"/>
                                <w:lang w:val="en-US" w:eastAsia="zh-CN"/>
                              </w:rPr>
                            </w:pPr>
                            <w:r>
                              <w:rPr>
                                <w:rFonts w:hint="eastAsia"/>
                              </w:rPr>
                              <w:t>铬酸盐封闭/镍盐封闭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11.3pt;height:22.1pt;width:150.5pt;z-index:251681792;mso-width-relative:page;mso-height-relative:page;" fillcolor="#FFFFFF [3201]" filled="t" stroked="t" coordsize="21600,21600" o:gfxdata="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3yfUq9UAAAAJ&#10;AQAADwAAAAAAAAABACAAAAAiAAAAZHJzL2Rvd25yZXYueG1sUEsBAhQAFAAAAAgAh07iQFCPDJ1Y&#10;AgAAuQQAAA4AAAAAAAAAAQAgAAAAJAEAAGRycy9lMm9Eb2MueG1sUEsFBgAAAAAGAAYAWQEAAO4F&#10;AAAAAA==&#10;">
                <v:fill on="t" focussize="0,0"/>
                <v:stroke weight="0.5pt" color="#000000 [3204]" joinstyle="round"/>
                <v:imagedata o:title=""/>
                <o:lock v:ext="edit" aspectratio="f"/>
                <v:textbox>
                  <w:txbxContent>
                    <w:p w14:paraId="0E7DA9C2">
                      <w:pPr>
                        <w:ind w:left="0" w:leftChars="0" w:firstLine="0" w:firstLineChars="0"/>
                        <w:jc w:val="center"/>
                        <w:rPr>
                          <w:rFonts w:hint="default"/>
                          <w:lang w:val="en-US" w:eastAsia="zh-CN"/>
                        </w:rPr>
                      </w:pPr>
                      <w:r>
                        <w:rPr>
                          <w:rFonts w:hint="eastAsia"/>
                        </w:rPr>
                        <w:t>铬酸盐封闭/镍盐封闭</w:t>
                      </w:r>
                    </w:p>
                  </w:txbxContent>
                </v:textbox>
              </v:shape>
            </w:pict>
          </mc:Fallback>
        </mc:AlternateContent>
      </w:r>
    </w:p>
    <w:p w14:paraId="0B227B16">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5584" behindDoc="0" locked="0" layoutInCell="1" allowOverlap="1">
                <wp:simplePos x="0" y="0"/>
                <wp:positionH relativeFrom="column">
                  <wp:posOffset>193675</wp:posOffset>
                </wp:positionH>
                <wp:positionV relativeFrom="paragraph">
                  <wp:posOffset>1905</wp:posOffset>
                </wp:positionV>
                <wp:extent cx="1167130" cy="28067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16713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ECF89">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中温封孔剂</w:t>
                            </w:r>
                            <w:r>
                              <w:rPr>
                                <w:rFonts w:hint="eastAsia"/>
                                <w:lang w:val="en-US" w:eastAsia="zh-CN"/>
                                <w14:textFill>
                                  <w14:noFill/>
                                </w14:textFill>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pt;margin-top:0.15pt;height:22.1pt;width:91.9pt;z-index:251715584;mso-width-relative:page;mso-height-relative:page;" filled="f" stroked="f" coordsize="21600,21600" o:gfxdata="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BTIm1wAAAAYBAAAPAAAAAAAAAAEAIAAAACIAAABkcnMv&#10;ZG93bnJldi54bWxQSwECFAAUAAAACACHTuJArl56uT0CAABoBAAADgAAAAAAAAABACAAAAAmAQAA&#10;ZHJzL2Uyb0RvYy54bWxQSwUGAAAAAAYABgBZAQAA1QUAAAAA&#10;">
                <v:fill on="f" focussize="0,0"/>
                <v:stroke on="f" weight="0.5pt"/>
                <v:imagedata o:title=""/>
                <o:lock v:ext="edit" aspectratio="f"/>
                <v:textbox>
                  <w:txbxContent>
                    <w:p w14:paraId="338ECF89">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中温封孔剂</w:t>
                      </w:r>
                      <w:r>
                        <w:rPr>
                          <w:rFonts w:hint="eastAsia"/>
                          <w:lang w:val="en-US" w:eastAsia="zh-CN"/>
                          <w14:textFill>
                            <w14:noFill/>
                          </w14:textFill>
                        </w:rPr>
                        <w:t>油</w:t>
                      </w:r>
                    </w:p>
                  </w:txbxContent>
                </v:textbox>
              </v:shape>
            </w:pict>
          </mc:Fallback>
        </mc:AlternateContent>
      </w:r>
      <w:r>
        <w:rPr>
          <w:color w:val="auto"/>
          <w:sz w:val="24"/>
        </w:rPr>
        <mc:AlternateContent>
          <mc:Choice Requires="wps">
            <w:drawing>
              <wp:anchor distT="0" distB="0" distL="114300" distR="114300" simplePos="0" relativeHeight="251711488" behindDoc="0" locked="0" layoutInCell="1" allowOverlap="1">
                <wp:simplePos x="0" y="0"/>
                <wp:positionH relativeFrom="column">
                  <wp:posOffset>3476625</wp:posOffset>
                </wp:positionH>
                <wp:positionV relativeFrom="paragraph">
                  <wp:posOffset>115570</wp:posOffset>
                </wp:positionV>
                <wp:extent cx="411480" cy="3175"/>
                <wp:effectExtent l="0" t="61595" r="7620" b="68580"/>
                <wp:wrapNone/>
                <wp:docPr id="83" name="直接箭头连接符 83"/>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3.75pt;margin-top:9.1pt;height:0.25pt;width:32.4pt;z-index:251711488;mso-width-relative:page;mso-height-relative:page;" filled="f" stroked="t" coordsize="21600,21600" o:gfxdata="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&#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qZ7rLXAAAACQEAAA8AAAAAAAAAAQAgAAAAIgAAAGRy&#10;cy9kb3ducmV2LnhtbFBLAQIUABQAAAAIAIdO4kDxSZg1BgIAAN4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09440" behindDoc="0" locked="0" layoutInCell="1" allowOverlap="1">
                <wp:simplePos x="0" y="0"/>
                <wp:positionH relativeFrom="column">
                  <wp:posOffset>1143000</wp:posOffset>
                </wp:positionH>
                <wp:positionV relativeFrom="paragraph">
                  <wp:posOffset>127000</wp:posOffset>
                </wp:positionV>
                <wp:extent cx="411480" cy="3175"/>
                <wp:effectExtent l="0" t="61595" r="7620" b="68580"/>
                <wp:wrapNone/>
                <wp:docPr id="82" name="直接箭头连接符 82"/>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0pt;margin-top:10pt;height:0.25pt;width:32.4pt;z-index:251709440;mso-width-relative:page;mso-height-relative:page;" filled="f" stroked="t" coordsize="21600,21600" o:gfxdata="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klOW91gAAAAkBAAAPAAAAAAAAAAEAIAAAACIAAABkcnMv&#10;ZG93bnJldi54bWxQSwECFAAUAAAACACHTuJAK5JL4AUCAADeAwAADgAAAAAAAAABACAAAAAlAQAA&#10;ZHJzL2Uyb0RvYy54bWxQSwUGAAAAAAYABgBZAQAAnAUAAAAA&#10;">
                <v:fill on="f" focussize="0,0"/>
                <v:stroke weight="0.5pt" color="#000000 [3213]" joinstyle="round" endarrow="block" endarrowwidth="wide" endarrowlength="long"/>
                <v:imagedata o:title=""/>
                <o:lock v:ext="edit" aspectratio="f"/>
              </v:shape>
            </w:pict>
          </mc:Fallback>
        </mc:AlternateContent>
      </w:r>
    </w:p>
    <w:p w14:paraId="47C12DAE">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79744" behindDoc="0" locked="0" layoutInCell="1" allowOverlap="1">
                <wp:simplePos x="0" y="0"/>
                <wp:positionH relativeFrom="column">
                  <wp:posOffset>2426335</wp:posOffset>
                </wp:positionH>
                <wp:positionV relativeFrom="paragraph">
                  <wp:posOffset>103505</wp:posOffset>
                </wp:positionV>
                <wp:extent cx="4445" cy="316230"/>
                <wp:effectExtent l="61595" t="0" r="67310" b="7620"/>
                <wp:wrapNone/>
                <wp:docPr id="37" name="直接箭头连接符 37"/>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05pt;margin-top:8.15pt;height:24.9pt;width:0.35pt;z-index:251679744;mso-width-relative:page;mso-height-relative:page;" filled="f" stroked="t" coordsize="21600,21600" o:gfxdata="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4luoLUAAAACQEAAA8AAAAAAAAAAQAgAAAA&#10;IgAAAGRycy9kb3ducmV2LnhtbFBLAQIUABQAAAAIAIdO4kBVEz6zDwIAAOkDAAAOAAAAAAAAAAEA&#10;IAAAACM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5F554395">
      <w:pPr>
        <w:pStyle w:val="37"/>
        <w:rPr>
          <w:rFonts w:hint="default" w:ascii="Times New Roman" w:hAnsi="Times New Roman" w:cs="Times New Roman"/>
          <w:color w:val="auto"/>
          <w:u w:val="none"/>
        </w:rPr>
      </w:pPr>
    </w:p>
    <w:p w14:paraId="21715DE1">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9680" behindDoc="0" locked="0" layoutInCell="1" allowOverlap="1">
                <wp:simplePos x="0" y="0"/>
                <wp:positionH relativeFrom="column">
                  <wp:posOffset>1121410</wp:posOffset>
                </wp:positionH>
                <wp:positionV relativeFrom="paragraph">
                  <wp:posOffset>63500</wp:posOffset>
                </wp:positionV>
                <wp:extent cx="744220" cy="28067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B889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3pt;margin-top:5pt;height:22.1pt;width:58.6pt;z-index:251719680;mso-width-relative:page;mso-height-relative:page;" filled="f" stroked="f" coordsize="21600,21600" o:gfxdata="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V9yPnZAAAACQEAAA8AAAAAAAAAAQAgAAAAIgAAAGRy&#10;cy9kb3ducmV2LnhtbFBLAQIUABQAAAAIAIdO4kCr/7+dPQIAAGcEAAAOAAAAAAAAAAEAIAAAACgB&#10;AABkcnMvZTJvRG9jLnhtbFBLBQYAAAAABgAGAFkBAADXBQAAAAA=&#10;">
                <v:fill on="f" focussize="0,0"/>
                <v:stroke on="f" weight="0.5pt"/>
                <v:imagedata o:title=""/>
                <o:lock v:ext="edit" aspectratio="f"/>
                <v:textbox>
                  <w:txbxContent>
                    <w:p w14:paraId="05DB889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722752" behindDoc="0" locked="0" layoutInCell="1" allowOverlap="1">
                <wp:simplePos x="0" y="0"/>
                <wp:positionH relativeFrom="column">
                  <wp:posOffset>3279140</wp:posOffset>
                </wp:positionH>
                <wp:positionV relativeFrom="paragraph">
                  <wp:posOffset>35560</wp:posOffset>
                </wp:positionV>
                <wp:extent cx="744220" cy="28067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0342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含铬废水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2pt;margin-top:2.8pt;height:22.1pt;width:58.6pt;z-index:251722752;mso-width-relative:page;mso-height-relative:page;" filled="f" stroked="f" coordsize="21600,21600" o:gfxdata="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&#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fE1bnZAAAACAEAAA8AAAAAAAAAAQAgAAAAIgAAAGRy&#10;cy9kb3ducmV2LnhtbFBLAQIUABQAAAAIAIdO4kAbcZNgPQIAAGcEAAAOAAAAAAAAAAEAIAAAACgB&#10;AABkcnMvZTJvRG9jLnhtbFBLBQYAAAAABgAGAFkBAADXBQAAAAA=&#10;">
                <v:fill on="f" focussize="0,0"/>
                <v:stroke on="f" weight="0.5pt"/>
                <v:imagedata o:title=""/>
                <o:lock v:ext="edit" aspectratio="f"/>
                <v:textbox>
                  <w:txbxContent>
                    <w:p w14:paraId="4640342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含铬废水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83840" behindDoc="0" locked="0" layoutInCell="1" allowOverlap="1">
                <wp:simplePos x="0" y="0"/>
                <wp:positionH relativeFrom="column">
                  <wp:posOffset>1953895</wp:posOffset>
                </wp:positionH>
                <wp:positionV relativeFrom="paragraph">
                  <wp:posOffset>52070</wp:posOffset>
                </wp:positionV>
                <wp:extent cx="988060" cy="280670"/>
                <wp:effectExtent l="4445" t="4445" r="17145" b="19685"/>
                <wp:wrapNone/>
                <wp:docPr id="41" name="文本框 41"/>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F95317">
                            <w:pPr>
                              <w:ind w:left="0" w:leftChars="0" w:firstLine="0" w:firstLineChars="0"/>
                              <w:jc w:val="center"/>
                              <w:rPr>
                                <w:rFonts w:hint="default" w:eastAsia="宋体"/>
                                <w:lang w:val="en-US" w:eastAsia="zh-CN"/>
                              </w:rPr>
                            </w:pPr>
                            <w:r>
                              <w:rPr>
                                <w:rFonts w:hint="eastAsia"/>
                                <w:lang w:val="en-US" w:eastAsia="zh-CN"/>
                              </w:rPr>
                              <w:t>一级水洗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5pt;margin-top:4.1pt;height:22.1pt;width:77.8pt;z-index:251683840;mso-width-relative:page;mso-height-relative:page;" fillcolor="#FFFFFF [3201]" filled="t" stroked="t" coordsize="21600,21600" o:gfxdata="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LT5P3WAAAA&#10;CAEAAA8AAAAAAAAAAQAgAAAAIgAAAGRycy9kb3ducmV2LnhtbFBLAQIUABQAAAAIAIdO4kBvQTq4&#10;WAIAALgEAAAOAAAAAAAAAAEAIAAAACUBAABkcnMvZTJvRG9jLnhtbFBLBQYAAAAABgAGAFkBAADv&#10;BQAAAAA=&#10;">
                <v:fill on="t" focussize="0,0"/>
                <v:stroke weight="0.5pt" color="#000000 [3204]" joinstyle="round"/>
                <v:imagedata o:title=""/>
                <o:lock v:ext="edit" aspectratio="f"/>
                <v:textbox>
                  <w:txbxContent>
                    <w:p w14:paraId="15F95317">
                      <w:pPr>
                        <w:ind w:left="0" w:leftChars="0" w:firstLine="0" w:firstLineChars="0"/>
                        <w:jc w:val="center"/>
                        <w:rPr>
                          <w:rFonts w:hint="default" w:eastAsia="宋体"/>
                          <w:lang w:val="en-US" w:eastAsia="zh-CN"/>
                        </w:rPr>
                      </w:pPr>
                      <w:r>
                        <w:rPr>
                          <w:rFonts w:hint="eastAsia"/>
                          <w:lang w:val="en-US" w:eastAsia="zh-CN"/>
                        </w:rPr>
                        <w:t>一级水洗</w:t>
                      </w:r>
                    </w:p>
                  </w:txbxContent>
                </v:textbox>
              </v:shape>
            </w:pict>
          </mc:Fallback>
        </mc:AlternateContent>
      </w:r>
    </w:p>
    <w:p w14:paraId="086965F2">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1567815</wp:posOffset>
                </wp:positionH>
                <wp:positionV relativeFrom="paragraph">
                  <wp:posOffset>40005</wp:posOffset>
                </wp:positionV>
                <wp:extent cx="411480" cy="3175"/>
                <wp:effectExtent l="0" t="61595" r="7620" b="68580"/>
                <wp:wrapNone/>
                <wp:docPr id="94" name="直接箭头连接符 94"/>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3.45pt;margin-top:3.15pt;height:0.25pt;width:32.4pt;z-index:251718656;mso-width-relative:page;mso-height-relative:page;" filled="f" stroked="t" coordsize="21600,21600" o:gfxdata="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YFEI1QAAAAcBAAAPAAAAAAAAAAEAIAAAACIAAABkcnMv&#10;ZG93bnJldi54bWxQSwECFAAUAAAACACHTuJAJajjFwYCAADeAwAADgAAAAAAAAABACAAAAAkAQAA&#10;ZHJzL2Uyb0RvYy54bWxQSwUGAAAAAAYABgBZAQAAnAU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2943860</wp:posOffset>
                </wp:positionH>
                <wp:positionV relativeFrom="paragraph">
                  <wp:posOffset>8255</wp:posOffset>
                </wp:positionV>
                <wp:extent cx="411480" cy="3175"/>
                <wp:effectExtent l="0" t="61595" r="7620" b="68580"/>
                <wp:wrapNone/>
                <wp:docPr id="93" name="直接箭头连接符 93"/>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1.8pt;margin-top:0.65pt;height:0.25pt;width:32.4pt;z-index:251718656;mso-width-relative:page;mso-height-relative:page;" filled="f" stroked="t" coordsize="21600,21600" o:gfxdata="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CEn0L1QAAAAcBAAAPAAAAAAAAAAEAIAAAACIAAABkcnMv&#10;ZG93bnJldi54bWxQSwECFAAUAAAACACHTuJA4KFLUwYCAADeAwAADgAAAAAAAAABACAAAAAkAQAA&#10;ZHJzL2Uyb0RvYy54bWxQSwUGAAAAAAYABgBZAQAAnAUAAAAA&#10;">
                <v:fill on="f" focussize="0,0"/>
                <v:stroke weight="0.5pt" color="#000000 [3213]" joinstyle="round" endarrow="block" endarrowwidth="wide" endarrowlength="long"/>
                <v:imagedata o:title=""/>
                <o:lock v:ext="edit" aspectratio="f"/>
              </v:shape>
            </w:pict>
          </mc:Fallback>
        </mc:AlternateContent>
      </w:r>
    </w:p>
    <w:p w14:paraId="730C5979">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82816" behindDoc="0" locked="0" layoutInCell="1" allowOverlap="1">
                <wp:simplePos x="0" y="0"/>
                <wp:positionH relativeFrom="column">
                  <wp:posOffset>2435860</wp:posOffset>
                </wp:positionH>
                <wp:positionV relativeFrom="paragraph">
                  <wp:posOffset>12065</wp:posOffset>
                </wp:positionV>
                <wp:extent cx="4445" cy="316230"/>
                <wp:effectExtent l="61595" t="0" r="67310" b="7620"/>
                <wp:wrapNone/>
                <wp:docPr id="40" name="直接箭头连接符 40"/>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8pt;margin-top:0.95pt;height:24.9pt;width:0.35pt;z-index:251682816;mso-width-relative:page;mso-height-relative:page;" filled="f" stroked="t" coordsize="21600,21600" o:gfxdata="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HS+jrVAAAACAEAAA8AAAAAAAAAAQAgAAAA&#10;IgAAAGRycy9kb3ducmV2LnhtbFBLAQIUABQAAAAIAIdO4kDl3cXnDgIAAOkDAAAOAAAAAAAAAAEA&#10;IAAAACQ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4599CDB5">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34016" behindDoc="0" locked="0" layoutInCell="1" allowOverlap="1">
                <wp:simplePos x="0" y="0"/>
                <wp:positionH relativeFrom="column">
                  <wp:posOffset>3379470</wp:posOffset>
                </wp:positionH>
                <wp:positionV relativeFrom="paragraph">
                  <wp:posOffset>172720</wp:posOffset>
                </wp:positionV>
                <wp:extent cx="744220" cy="28067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2C20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含镍废水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1pt;margin-top:13.6pt;height:22.1pt;width:58.6pt;z-index:251734016;mso-width-relative:page;mso-height-relative:page;" filled="f" stroked="f" coordsize="21600,21600" o:gfxdata="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&#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uNYj02wAAAAkBAAAPAAAAAAAAAAEAIAAAACIAAABk&#10;cnMvZG93bnJldi54bWxQSwECFAAUAAAACACHTuJADVUWoTwCAABpBAAADgAAAAAAAAABACAAAAAq&#10;AQAAZHJzL2Uyb0RvYy54bWxQSwUGAAAAAAYABgBZAQAA2AUAAAAA&#10;">
                <v:fill on="f" focussize="0,0"/>
                <v:stroke on="f" weight="0.5pt"/>
                <v:imagedata o:title=""/>
                <o:lock v:ext="edit" aspectratio="f"/>
                <v:textbox>
                  <w:txbxContent>
                    <w:p w14:paraId="7C82C20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含镍废水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723776" behindDoc="0" locked="0" layoutInCell="1" allowOverlap="1">
                <wp:simplePos x="0" y="0"/>
                <wp:positionH relativeFrom="column">
                  <wp:posOffset>1100455</wp:posOffset>
                </wp:positionH>
                <wp:positionV relativeFrom="paragraph">
                  <wp:posOffset>175260</wp:posOffset>
                </wp:positionV>
                <wp:extent cx="744220" cy="28067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3A196">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65pt;margin-top:13.8pt;height:22.1pt;width:58.6pt;z-index:251723776;mso-width-relative:page;mso-height-relative:page;" filled="f" stroked="f" coordsize="21600,21600" o:gfxdata="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r0s322gAAAAkBAAAPAAAAAAAAAAEAIAAAACIAAABk&#10;cnMvZG93bnJldi54bWxQSwECFAAUAAAACACHTuJAOmq7QT0CAABnBAAADgAAAAAAAAABACAAAAAp&#10;AQAAZHJzL2Uyb0RvYy54bWxQSwUGAAAAAAYABgBZAQAA2AUAAAAA&#10;">
                <v:fill on="f" focussize="0,0"/>
                <v:stroke on="f" weight="0.5pt"/>
                <v:imagedata o:title=""/>
                <o:lock v:ext="edit" aspectratio="f"/>
                <v:textbox>
                  <w:txbxContent>
                    <w:p w14:paraId="7BA3A196">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color w:val="auto"/>
          <w:sz w:val="24"/>
        </w:rPr>
        <mc:AlternateContent>
          <mc:Choice Requires="wps">
            <w:drawing>
              <wp:anchor distT="0" distB="0" distL="114300" distR="114300" simplePos="0" relativeHeight="251684864" behindDoc="0" locked="0" layoutInCell="1" allowOverlap="1">
                <wp:simplePos x="0" y="0"/>
                <wp:positionH relativeFrom="column">
                  <wp:posOffset>1953895</wp:posOffset>
                </wp:positionH>
                <wp:positionV relativeFrom="paragraph">
                  <wp:posOffset>164465</wp:posOffset>
                </wp:positionV>
                <wp:extent cx="988060" cy="280670"/>
                <wp:effectExtent l="4445" t="4445" r="17145" b="19685"/>
                <wp:wrapNone/>
                <wp:docPr id="42" name="文本框 42"/>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E8113E">
                            <w:pPr>
                              <w:ind w:left="0" w:leftChars="0" w:firstLine="0" w:firstLineChars="0"/>
                              <w:jc w:val="center"/>
                              <w:rPr>
                                <w:rFonts w:hint="default" w:eastAsia="宋体"/>
                                <w:lang w:val="en-US" w:eastAsia="zh-CN"/>
                              </w:rPr>
                            </w:pPr>
                            <w:r>
                              <w:rPr>
                                <w:rFonts w:hint="eastAsia"/>
                                <w:lang w:val="en-US" w:eastAsia="zh-CN"/>
                              </w:rPr>
                              <w:t>热水封闭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5pt;margin-top:12.95pt;height:22.1pt;width:77.8pt;z-index:251684864;mso-width-relative:page;mso-height-relative:page;" fillcolor="#FFFFFF [3201]" filled="t" stroked="t" coordsize="21600,21600" o:gfxdata="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JUOzM1gAA&#10;AAkBAAAPAAAAAAAAAAEAIAAAACIAAABkcnMvZG93bnJldi54bWxQSwECFAAUAAAACACHTuJA4vYM&#10;ulkCAAC4BAAADgAAAAAAAAABACAAAAAlAQAAZHJzL2Uyb0RvYy54bWxQSwUGAAAAAAYABgBZAQAA&#10;8AUAAAAA&#10;">
                <v:fill on="t" focussize="0,0"/>
                <v:stroke weight="0.5pt" color="#000000 [3204]" joinstyle="round"/>
                <v:imagedata o:title=""/>
                <o:lock v:ext="edit" aspectratio="f"/>
                <v:textbox>
                  <w:txbxContent>
                    <w:p w14:paraId="0DE8113E">
                      <w:pPr>
                        <w:ind w:left="0" w:leftChars="0" w:firstLine="0" w:firstLineChars="0"/>
                        <w:jc w:val="center"/>
                        <w:rPr>
                          <w:rFonts w:hint="default" w:eastAsia="宋体"/>
                          <w:lang w:val="en-US" w:eastAsia="zh-CN"/>
                        </w:rPr>
                      </w:pPr>
                      <w:r>
                        <w:rPr>
                          <w:rFonts w:hint="eastAsia"/>
                          <w:lang w:val="en-US" w:eastAsia="zh-CN"/>
                        </w:rPr>
                        <w:t>热水封闭</w:t>
                      </w:r>
                    </w:p>
                  </w:txbxContent>
                </v:textbox>
              </v:shape>
            </w:pict>
          </mc:Fallback>
        </mc:AlternateContent>
      </w:r>
    </w:p>
    <w:p w14:paraId="3BCE1B9B">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1546225</wp:posOffset>
                </wp:positionH>
                <wp:positionV relativeFrom="paragraph">
                  <wp:posOffset>149225</wp:posOffset>
                </wp:positionV>
                <wp:extent cx="411480" cy="3175"/>
                <wp:effectExtent l="0" t="61595" r="7620" b="68580"/>
                <wp:wrapNone/>
                <wp:docPr id="96" name="直接箭头连接符 9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75pt;margin-top:11.75pt;height:0.25pt;width:32.4pt;z-index:251718656;mso-width-relative:page;mso-height-relative:page;" filled="f" stroked="t" coordsize="21600,21600" o:gfxdata="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iWSQdYAAAAJAQAADwAAAAAAAAABACAAAAAiAAAAZHJz&#10;L2Rvd25yZXYueG1sUEsBAhQAFAAAAAgAh07iQNAZNWcGAgAA3gMAAA4AAAAAAAAAAQAgAAAAJQ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color w:val="auto"/>
          <w:sz w:val="24"/>
        </w:rPr>
        <mc:AlternateContent>
          <mc:Choice Requires="wps">
            <w:drawing>
              <wp:anchor distT="0" distB="0" distL="114300" distR="114300" simplePos="0" relativeHeight="251718656" behindDoc="0" locked="0" layoutInCell="1" allowOverlap="1">
                <wp:simplePos x="0" y="0"/>
                <wp:positionH relativeFrom="column">
                  <wp:posOffset>2954020</wp:posOffset>
                </wp:positionH>
                <wp:positionV relativeFrom="paragraph">
                  <wp:posOffset>139065</wp:posOffset>
                </wp:positionV>
                <wp:extent cx="411480" cy="3175"/>
                <wp:effectExtent l="0" t="61595" r="7620" b="68580"/>
                <wp:wrapNone/>
                <wp:docPr id="95" name="直接箭头连接符 95"/>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6pt;margin-top:10.95pt;height:0.25pt;width:32.4pt;z-index:251718656;mso-width-relative:page;mso-height-relative:page;" filled="f" stroked="t" coordsize="21600,21600" o:gfxdata="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XOc9bYAAAACQEAAA8AAAAAAAAAAQAgAAAAIgAAAGRy&#10;cy9kb3ducmV2LnhtbFBLAQIUABQAAAAIAIdO4kD/czDCBQIAAN4DAAAOAAAAAAAAAAEAIAAAACcB&#10;AABkcnMvZTJvRG9jLnhtbFBLBQYAAAAABgAGAFkBAACeBQAAAAA=&#10;">
                <v:fill on="f" focussize="0,0"/>
                <v:stroke weight="0.5pt" color="#000000 [3213]" joinstyle="round" endarrow="block" endarrowwidth="wide" endarrowlength="long"/>
                <v:imagedata o:title=""/>
                <o:lock v:ext="edit" aspectratio="f"/>
              </v:shape>
            </w:pict>
          </mc:Fallback>
        </mc:AlternateContent>
      </w:r>
    </w:p>
    <w:p w14:paraId="4473F80F">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85888" behindDoc="0" locked="0" layoutInCell="1" allowOverlap="1">
                <wp:simplePos x="0" y="0"/>
                <wp:positionH relativeFrom="column">
                  <wp:posOffset>2426335</wp:posOffset>
                </wp:positionH>
                <wp:positionV relativeFrom="paragraph">
                  <wp:posOffset>105410</wp:posOffset>
                </wp:positionV>
                <wp:extent cx="4445" cy="316230"/>
                <wp:effectExtent l="61595" t="0" r="67310" b="7620"/>
                <wp:wrapNone/>
                <wp:docPr id="43" name="直接箭头连接符 43"/>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05pt;margin-top:8.3pt;height:24.9pt;width:0.35pt;z-index:251685888;mso-width-relative:page;mso-height-relative:page;" filled="f" stroked="t" coordsize="21600,21600" o:gfxdata="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YkEBHUAAAACQEAAA8AAAAAAAAAAQAgAAAA&#10;IgAAAGRycy9kb3ducmV2LnhtbFBLAQIUABQAAAAIAIdO4kDqnl6cDwIAAOkDAAAOAAAAAAAAAAEA&#10;IAAAACM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330B0BCB">
      <w:pPr>
        <w:pStyle w:val="37"/>
        <w:rPr>
          <w:rFonts w:hint="default" w:ascii="Times New Roman" w:hAnsi="Times New Roman" w:cs="Times New Roman"/>
          <w:color w:val="auto"/>
          <w:u w:val="none"/>
        </w:rPr>
      </w:pPr>
    </w:p>
    <w:p w14:paraId="6C4F85AE">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1953895</wp:posOffset>
                </wp:positionH>
                <wp:positionV relativeFrom="paragraph">
                  <wp:posOffset>73025</wp:posOffset>
                </wp:positionV>
                <wp:extent cx="988060" cy="280670"/>
                <wp:effectExtent l="4445" t="4445" r="17145" b="19685"/>
                <wp:wrapNone/>
                <wp:docPr id="45" name="文本框 45"/>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18482B">
                            <w:pPr>
                              <w:ind w:left="0" w:leftChars="0" w:firstLine="0" w:firstLineChars="0"/>
                              <w:jc w:val="center"/>
                              <w:rPr>
                                <w:rFonts w:hint="default" w:eastAsia="宋体"/>
                                <w:lang w:val="en-US" w:eastAsia="zh-CN"/>
                              </w:rPr>
                            </w:pPr>
                            <w:r>
                              <w:rPr>
                                <w:rFonts w:hint="eastAsia"/>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5pt;margin-top:5.75pt;height:22.1pt;width:77.8pt;z-index:251687936;mso-width-relative:page;mso-height-relative:page;" fillcolor="#FFFFFF [3201]" filled="t" stroked="t" coordsize="21600,21600" o:gfxdata="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ZNTX11gAA&#10;AAkBAAAPAAAAAAAAAAEAIAAAACIAAABkcnMvZG93bnJldi54bWxQSwECFAAUAAAACACHTuJAvPZc&#10;CVkCAAC4BAAADgAAAAAAAAABACAAAAAlAQAAZHJzL2Uyb0RvYy54bWxQSwUGAAAAAAYABgBZAQAA&#10;8AUAAAAA&#10;">
                <v:fill on="t" focussize="0,0"/>
                <v:stroke weight="0.5pt" color="#000000 [3204]" joinstyle="round"/>
                <v:imagedata o:title=""/>
                <o:lock v:ext="edit" aspectratio="f"/>
                <v:textbox>
                  <w:txbxContent>
                    <w:p w14:paraId="6C18482B">
                      <w:pPr>
                        <w:ind w:left="0" w:leftChars="0" w:firstLine="0" w:firstLineChars="0"/>
                        <w:jc w:val="center"/>
                        <w:rPr>
                          <w:rFonts w:hint="default" w:eastAsia="宋体"/>
                          <w:lang w:val="en-US" w:eastAsia="zh-CN"/>
                        </w:rPr>
                      </w:pPr>
                      <w:r>
                        <w:rPr>
                          <w:rFonts w:hint="eastAsia"/>
                          <w:lang w:val="en-US" w:eastAsia="zh-CN"/>
                        </w:rPr>
                        <w:t>烘干</w:t>
                      </w:r>
                    </w:p>
                  </w:txbxContent>
                </v:textbox>
              </v:shape>
            </w:pict>
          </mc:Fallback>
        </mc:AlternateContent>
      </w:r>
    </w:p>
    <w:p w14:paraId="47D2147A">
      <w:pPr>
        <w:pStyle w:val="37"/>
        <w:rPr>
          <w:rFonts w:hint="default" w:ascii="Times New Roman" w:hAnsi="Times New Roman" w:cs="Times New Roman"/>
          <w:color w:val="auto"/>
          <w:u w:val="none"/>
        </w:rPr>
      </w:pPr>
    </w:p>
    <w:p w14:paraId="59E76FB7">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86912" behindDoc="0" locked="0" layoutInCell="1" allowOverlap="1">
                <wp:simplePos x="0" y="0"/>
                <wp:positionH relativeFrom="column">
                  <wp:posOffset>2416810</wp:posOffset>
                </wp:positionH>
                <wp:positionV relativeFrom="paragraph">
                  <wp:posOffset>43180</wp:posOffset>
                </wp:positionV>
                <wp:extent cx="4445" cy="316230"/>
                <wp:effectExtent l="61595" t="0" r="67310" b="7620"/>
                <wp:wrapNone/>
                <wp:docPr id="44" name="直接箭头连接符 44"/>
                <wp:cNvGraphicFramePr/>
                <a:graphic xmlns:a="http://schemas.openxmlformats.org/drawingml/2006/main">
                  <a:graphicData uri="http://schemas.microsoft.com/office/word/2010/wordprocessingShape">
                    <wps:wsp>
                      <wps:cNvCnPr/>
                      <wps:spPr>
                        <a:xfrm flipH="1">
                          <a:off x="0" y="0"/>
                          <a:ext cx="4445" cy="31623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0.3pt;margin-top:3.4pt;height:24.9pt;width:0.35pt;z-index:251686912;mso-width-relative:page;mso-height-relative:page;" filled="f" stroked="t" coordsize="21600,21600" o:gfxdata="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PCATU1AAAAAgBAAAPAAAAAAAAAAEAIAAA&#10;ACIAAABkcnMvZG93bnJldi54bWxQSwECFAAUAAAACACHTuJA8dkeQhACAADpAwAADgAAAAAAAAAB&#10;ACAAAAAj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5640664A">
      <w:pPr>
        <w:pStyle w:val="37"/>
        <w:rPr>
          <w:rFonts w:hint="default" w:ascii="Times New Roman" w:hAnsi="Times New Roman" w:cs="Times New Roman"/>
          <w:color w:val="auto"/>
          <w:u w:val="none"/>
        </w:rPr>
      </w:pPr>
    </w:p>
    <w:p w14:paraId="3AD5D44D">
      <w:pPr>
        <w:pStyle w:val="37"/>
        <w:rPr>
          <w:rFonts w:hint="default" w:ascii="Times New Roman" w:hAnsi="Times New Roman" w:cs="Times New Roman"/>
          <w:color w:val="auto"/>
          <w:u w:val="none"/>
        </w:rPr>
      </w:pP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1934845</wp:posOffset>
                </wp:positionH>
                <wp:positionV relativeFrom="paragraph">
                  <wp:posOffset>10795</wp:posOffset>
                </wp:positionV>
                <wp:extent cx="988060" cy="280670"/>
                <wp:effectExtent l="4445" t="4445" r="17145" b="19685"/>
                <wp:wrapNone/>
                <wp:docPr id="51" name="文本框 51"/>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F59385">
                            <w:pPr>
                              <w:ind w:left="0" w:leftChars="0" w:firstLine="0" w:firstLineChars="0"/>
                              <w:jc w:val="center"/>
                              <w:rPr>
                                <w:rFonts w:hint="default" w:eastAsia="宋体"/>
                                <w:lang w:val="en-US" w:eastAsia="zh-CN"/>
                              </w:rPr>
                            </w:pPr>
                            <w:r>
                              <w:rPr>
                                <w:rFonts w:hint="eastAsia"/>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35pt;margin-top:0.85pt;height:22.1pt;width:77.8pt;z-index:251688960;mso-width-relative:page;mso-height-relative:page;" fillcolor="#FFFFFF [3201]" filled="t" stroked="t" coordsize="21600,21600" o:gfxdata="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h+BOdUAAAAI&#10;AQAADwAAAAAAAAABACAAAAAiAAAAZHJzL2Rvd25yZXYueG1sUEsBAhQAFAAAAAgAh07iQIn5PMlY&#10;AgAAuAQAAA4AAAAAAAAAAQAgAAAAJAEAAGRycy9lMm9Eb2MueG1sUEsFBgAAAAAGAAYAWQEAAO4F&#10;AAAAAA==&#10;">
                <v:fill on="t" focussize="0,0"/>
                <v:stroke weight="0.5pt" color="#000000 [3204]" joinstyle="round"/>
                <v:imagedata o:title=""/>
                <o:lock v:ext="edit" aspectratio="f"/>
                <v:textbox>
                  <w:txbxContent>
                    <w:p w14:paraId="5BF59385">
                      <w:pPr>
                        <w:ind w:left="0" w:leftChars="0" w:firstLine="0" w:firstLineChars="0"/>
                        <w:jc w:val="center"/>
                        <w:rPr>
                          <w:rFonts w:hint="default" w:eastAsia="宋体"/>
                          <w:lang w:val="en-US" w:eastAsia="zh-CN"/>
                        </w:rPr>
                      </w:pPr>
                      <w:r>
                        <w:rPr>
                          <w:rFonts w:hint="eastAsia"/>
                          <w:lang w:val="en-US" w:eastAsia="zh-CN"/>
                        </w:rPr>
                        <w:t>入库</w:t>
                      </w:r>
                    </w:p>
                  </w:txbxContent>
                </v:textbox>
              </v:shape>
            </w:pict>
          </mc:Fallback>
        </mc:AlternateContent>
      </w:r>
    </w:p>
    <w:p w14:paraId="69CBA37B">
      <w:pPr>
        <w:pStyle w:val="37"/>
        <w:rPr>
          <w:rFonts w:hint="default" w:ascii="Times New Roman" w:hAnsi="Times New Roman" w:cs="Times New Roman"/>
          <w:color w:val="auto"/>
          <w:u w:val="none"/>
        </w:rPr>
      </w:pPr>
    </w:p>
    <w:p w14:paraId="4F1AA133">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图4.1-1  大自动线生产工艺及产污节点图</w:t>
      </w:r>
    </w:p>
    <w:p w14:paraId="3AF7B96B">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工艺流程简述</w:t>
      </w:r>
    </w:p>
    <w:p w14:paraId="39D0A856">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化学除油:采用脱脂剂去除金属表面油污，生产时若发现除油效果减弱，可适当添加药剂及自来水，温度控制在50-60°C</w:t>
      </w:r>
      <w:r>
        <w:rPr>
          <w:rFonts w:hint="eastAsia" w:ascii="Times New Roman" w:hAnsi="Times New Roman" w:cs="Times New Roman"/>
          <w:color w:val="auto"/>
          <w:u w:val="none"/>
          <w:lang w:eastAsia="zh-CN"/>
        </w:rPr>
        <w:t>。</w:t>
      </w:r>
    </w:p>
    <w:p w14:paraId="7F7F3E50">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热水洗:化学除油后采用自来水加温清洗，将工件送入水洗槽中进行清洗，温度控制在30-40°C</w:t>
      </w:r>
      <w:r>
        <w:rPr>
          <w:rFonts w:hint="eastAsia" w:ascii="Times New Roman" w:hAnsi="Times New Roman" w:cs="Times New Roman"/>
          <w:color w:val="auto"/>
          <w:u w:val="none"/>
          <w:lang w:eastAsia="zh-CN"/>
        </w:rPr>
        <w:t>。</w:t>
      </w:r>
    </w:p>
    <w:p w14:paraId="7CD3B205">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3</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冷水洗：初道水洗后，再次把工件送入水洗槽进行清洗，常温</w:t>
      </w:r>
      <w:r>
        <w:rPr>
          <w:rFonts w:hint="eastAsia" w:ascii="Times New Roman" w:hAnsi="Times New Roman" w:cs="Times New Roman"/>
          <w:color w:val="auto"/>
          <w:u w:val="none"/>
          <w:lang w:eastAsia="zh-CN"/>
        </w:rPr>
        <w:t>。</w:t>
      </w:r>
    </w:p>
    <w:p w14:paraId="1C39E1E2">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4</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碱腐蚀</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在2.5%的氢氧化钠溶液中进行表面清洗，其作用是进行补充处理，以便进一步清理表面附着的油污脏物，清除产品表面的自然氧化膜及轻微的划擦伤，从而使产品露出纯净的金属基体，利于阳极膜的生成并获得较高质量的膜层，温度控制</w:t>
      </w:r>
      <w:r>
        <w:rPr>
          <w:rFonts w:hint="eastAsia" w:ascii="Times New Roman" w:hAnsi="Times New Roman" w:cs="Times New Roman"/>
          <w:color w:val="auto"/>
          <w:u w:val="none"/>
          <w:lang w:val="en-US" w:eastAsia="zh-CN"/>
        </w:rPr>
        <w:t>45</w:t>
      </w:r>
      <w:r>
        <w:rPr>
          <w:rFonts w:hint="default" w:ascii="Times New Roman" w:hAnsi="Times New Roman" w:cs="Times New Roman"/>
          <w:color w:val="auto"/>
          <w:u w:val="none"/>
        </w:rPr>
        <w:t>-65°C</w:t>
      </w:r>
      <w:r>
        <w:rPr>
          <w:rFonts w:hint="eastAsia" w:ascii="Times New Roman" w:hAnsi="Times New Roman" w:cs="Times New Roman"/>
          <w:color w:val="auto"/>
          <w:u w:val="none"/>
          <w:lang w:eastAsia="zh-CN"/>
        </w:rPr>
        <w:t>。</w:t>
      </w:r>
    </w:p>
    <w:p w14:paraId="455BEB1D">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5</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热水洗:碱腐蚀后采用自来水加温清洗，将工件送入水洗槽中进行清洗，温度控制在30-40°C</w:t>
      </w:r>
      <w:r>
        <w:rPr>
          <w:rFonts w:hint="eastAsia" w:ascii="Times New Roman" w:hAnsi="Times New Roman" w:cs="Times New Roman"/>
          <w:color w:val="auto"/>
          <w:u w:val="none"/>
          <w:lang w:eastAsia="zh-CN"/>
        </w:rPr>
        <w:t>。</w:t>
      </w:r>
    </w:p>
    <w:p w14:paraId="3D840E6B">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6</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冷水洗：经初道水洗后，再次把工件送入水洗槽进行清洗，常温</w:t>
      </w:r>
      <w:r>
        <w:rPr>
          <w:rFonts w:hint="eastAsia" w:ascii="Times New Roman" w:hAnsi="Times New Roman" w:cs="Times New Roman"/>
          <w:color w:val="auto"/>
          <w:u w:val="none"/>
          <w:lang w:eastAsia="zh-CN"/>
        </w:rPr>
        <w:t>。</w:t>
      </w:r>
    </w:p>
    <w:p w14:paraId="24191DA3">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7</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出光</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清洗后使用无氮中和剂进行清洗，并对工件表面进行中和处理，常温</w:t>
      </w:r>
      <w:r>
        <w:rPr>
          <w:rFonts w:hint="eastAsia" w:ascii="Times New Roman" w:hAnsi="Times New Roman" w:cs="Times New Roman"/>
          <w:color w:val="auto"/>
          <w:u w:val="none"/>
          <w:lang w:eastAsia="zh-CN"/>
        </w:rPr>
        <w:t>。</w:t>
      </w:r>
    </w:p>
    <w:p w14:paraId="61709850">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8</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出光后采用纯水加温清洗，将工件送入水洗槽中进行清洗</w:t>
      </w:r>
      <w:r>
        <w:rPr>
          <w:rFonts w:hint="eastAsia" w:ascii="Times New Roman" w:hAnsi="Times New Roman" w:cs="Times New Roman"/>
          <w:color w:val="auto"/>
          <w:u w:val="none"/>
          <w:lang w:eastAsia="zh-CN"/>
        </w:rPr>
        <w:t>。</w:t>
      </w:r>
    </w:p>
    <w:p w14:paraId="1239B115">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9</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冷水洗：初道水洗后，再次把工件送入水洗槽进行清洗纯水，常温</w:t>
      </w:r>
      <w:r>
        <w:rPr>
          <w:rFonts w:hint="eastAsia" w:ascii="Times New Roman" w:hAnsi="Times New Roman" w:cs="Times New Roman"/>
          <w:color w:val="auto"/>
          <w:u w:val="none"/>
          <w:lang w:eastAsia="zh-CN"/>
        </w:rPr>
        <w:t>。</w:t>
      </w:r>
    </w:p>
    <w:p w14:paraId="74BEDE15">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10</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阳极氧化:氧化就是在铝及其合金所制成的物件上作成装饰及保护膜的一种过程，把铝件作为阳极施加低压直流电进行电解氧化，通电一定时间使铝件表面生成一层致密的、有孔隙的阳极氧化膜。铝件的阳极氧化处理，以硫酸氧化应用较多，本工艺选用环境污染相对适中、氧化效果较好、技术成熟的硫酸进行氧化处理。在硫酸电解液中，阳极氧化初始的短暂时间内，其表面受到均匀氧化，生成极薄而又非常致密的膜，由于硫酸的作用，膜的最弱点发生局部溶解，而出现大量孔隙，即原生氧化中心，使机体金属能与进入孔隙的电解液接触，电流也因此得以继续传导，新生成的氧离子则用来氧化新的金属，并以孔底为中心而展开，最后汇合，在旧膜和金属之间形成一层新膜，使局部溶解的旧膜如同得到“修补”。随着氧化时间的延长，膜的不断溶解或修补，氧化反应得以向纵深发展，从而使制品表面生成薄而致密的内层和厚而多的外层所组成的氧化膜。温度在18-22°C</w:t>
      </w:r>
      <w:r>
        <w:rPr>
          <w:rFonts w:hint="eastAsia" w:ascii="Times New Roman" w:hAnsi="Times New Roman" w:cs="Times New Roman"/>
          <w:color w:val="auto"/>
          <w:u w:val="none"/>
          <w:lang w:eastAsia="zh-CN"/>
        </w:rPr>
        <w:t>。</w:t>
      </w:r>
    </w:p>
    <w:p w14:paraId="6EDEF5A7">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11</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冷水洗：氧化后纯水清洗，把工件送入水洗槽进行清洗，常温</w:t>
      </w:r>
      <w:r>
        <w:rPr>
          <w:rFonts w:hint="eastAsia" w:ascii="Times New Roman" w:hAnsi="Times New Roman" w:cs="Times New Roman"/>
          <w:color w:val="auto"/>
          <w:u w:val="none"/>
          <w:lang w:eastAsia="zh-CN"/>
        </w:rPr>
        <w:t>。</w:t>
      </w:r>
    </w:p>
    <w:p w14:paraId="08062E12">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12</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冷水洗：经初道水洗后，再次把工件送入水洗槽进行清洗，纯水常温</w:t>
      </w:r>
      <w:r>
        <w:rPr>
          <w:rFonts w:hint="eastAsia" w:ascii="Times New Roman" w:hAnsi="Times New Roman" w:cs="Times New Roman"/>
          <w:color w:val="auto"/>
          <w:u w:val="none"/>
          <w:lang w:eastAsia="zh-CN"/>
        </w:rPr>
        <w:t>。</w:t>
      </w:r>
    </w:p>
    <w:p w14:paraId="179DE9DF">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13</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铬酸盐封闭/镍盐封闭</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氧化膜必须进行封孔处理，根据不同工艺要求采用不同的封孔工艺（二选一），其目的是提高耐蚀性、提高抗污染能力和固定色素体。铝合金硫酸阳极化后会在基体表面形成新鲜的氧化膜,该膜层经过封闭处理后可大副度提高耐蚀性能。温度控制再95-100°C</w:t>
      </w:r>
      <w:r>
        <w:rPr>
          <w:rFonts w:hint="eastAsia" w:ascii="Times New Roman" w:hAnsi="Times New Roman" w:cs="Times New Roman"/>
          <w:color w:val="auto"/>
          <w:u w:val="none"/>
          <w:lang w:eastAsia="zh-CN"/>
        </w:rPr>
        <w:t>。</w:t>
      </w:r>
    </w:p>
    <w:p w14:paraId="6BE90A33">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14</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冷水洗：经封闭处理后纯水清洗，把工件送入水洗槽进行清洗，常温</w:t>
      </w:r>
      <w:r>
        <w:rPr>
          <w:rFonts w:hint="eastAsia" w:ascii="Times New Roman" w:hAnsi="Times New Roman" w:cs="Times New Roman"/>
          <w:color w:val="auto"/>
          <w:u w:val="none"/>
          <w:lang w:eastAsia="zh-CN"/>
        </w:rPr>
        <w:t>。</w:t>
      </w:r>
    </w:p>
    <w:p w14:paraId="015E5825">
      <w:pPr>
        <w:keepNext w:val="0"/>
        <w:keepLines w:val="0"/>
        <w:pageBreakBefore w:val="0"/>
        <w:widowControl w:val="0"/>
        <w:kinsoku/>
        <w:wordWrap/>
        <w:overflowPunct/>
        <w:topLinePunct w:val="0"/>
        <w:autoSpaceDE/>
        <w:autoSpaceDN/>
        <w:bidi w:val="0"/>
        <w:adjustRightInd/>
        <w:snapToGrid/>
        <w:spacing w:line="288" w:lineRule="auto"/>
        <w:ind w:firstLine="480"/>
        <w:textAlignment w:val="auto"/>
        <w:rPr>
          <w:rFonts w:hint="eastAsia" w:ascii="Times New Roman" w:hAnsi="Times New Roman" w:eastAsia="宋体" w:cs="Times New Roman"/>
          <w:color w:val="auto"/>
          <w:u w:val="none"/>
          <w:lang w:val="en-US"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15</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热水封闭：再次高温沸水封闭作业，填充封闭氧化膜层，温度控制85-90°C</w:t>
      </w:r>
      <w:r>
        <w:rPr>
          <w:rFonts w:hint="eastAsia" w:ascii="Times New Roman" w:hAnsi="Times New Roman" w:cs="Times New Roman"/>
          <w:color w:val="auto"/>
          <w:u w:val="none"/>
          <w:lang w:val="en-US" w:eastAsia="zh-CN"/>
        </w:rPr>
        <w:t>.</w:t>
      </w:r>
    </w:p>
    <w:p w14:paraId="0CA6CD9A">
      <w:pPr>
        <w:keepNext w:val="0"/>
        <w:keepLines w:val="0"/>
        <w:pageBreakBefore w:val="0"/>
        <w:widowControl w:val="0"/>
        <w:numPr>
          <w:ilvl w:val="0"/>
          <w:numId w:val="7"/>
        </w:numPr>
        <w:kinsoku/>
        <w:wordWrap/>
        <w:overflowPunct/>
        <w:topLinePunct w:val="0"/>
        <w:autoSpaceDE/>
        <w:autoSpaceDN/>
        <w:bidi w:val="0"/>
        <w:adjustRightInd/>
        <w:snapToGrid/>
        <w:spacing w:line="288" w:lineRule="auto"/>
        <w:ind w:firstLine="480"/>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 小线自动化生产线工艺</w:t>
      </w:r>
    </w:p>
    <w:p w14:paraId="69864E6A">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生产工艺流程图如下所示</w:t>
      </w:r>
      <w:r>
        <w:rPr>
          <w:rFonts w:hint="default" w:ascii="Times New Roman" w:hAnsi="Times New Roman" w:cs="Times New Roman"/>
          <w:color w:val="auto"/>
          <w:u w:val="none"/>
        </w:rPr>
        <w:t>。</w:t>
      </w:r>
    </w:p>
    <w:p w14:paraId="03C4B0E9">
      <w:pPr>
        <w:keepNext w:val="0"/>
        <w:keepLines w:val="0"/>
        <w:pageBreakBefore w:val="0"/>
        <w:widowControl w:val="0"/>
        <w:kinsoku/>
        <w:wordWrap/>
        <w:overflowPunct/>
        <w:topLinePunct w:val="0"/>
        <w:autoSpaceDE/>
        <w:autoSpaceDN/>
        <w:bidi w:val="0"/>
        <w:adjustRightInd/>
        <w:snapToGrid/>
        <w:spacing w:line="288" w:lineRule="auto"/>
        <w:ind w:left="0" w:leftChars="0" w:firstLine="480" w:firstLineChars="200"/>
        <w:textAlignment w:val="auto"/>
        <w:rPr>
          <w:rFonts w:hint="default" w:ascii="Times New Roman" w:hAnsi="Times New Roman" w:cs="Times New Roman"/>
          <w:color w:val="FF0000"/>
          <w:u w:val="none"/>
        </w:rPr>
      </w:pPr>
      <w:r>
        <w:rPr>
          <w:sz w:val="24"/>
        </w:rPr>
        <mc:AlternateContent>
          <mc:Choice Requires="wps">
            <w:drawing>
              <wp:anchor distT="0" distB="0" distL="114300" distR="114300" simplePos="0" relativeHeight="251760640" behindDoc="0" locked="0" layoutInCell="1" allowOverlap="1">
                <wp:simplePos x="0" y="0"/>
                <wp:positionH relativeFrom="column">
                  <wp:posOffset>3027680</wp:posOffset>
                </wp:positionH>
                <wp:positionV relativeFrom="paragraph">
                  <wp:posOffset>-86360</wp:posOffset>
                </wp:positionV>
                <wp:extent cx="1442720" cy="33464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442720" cy="3346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4383C">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含油废水</w:t>
                            </w:r>
                            <w:r>
                              <w:rPr>
                                <w:rFonts w:hint="eastAsia"/>
                                <w:lang w:val="en-US" w:eastAsia="zh-CN"/>
                                <w14:textFill>
                                  <w14:noFill/>
                                </w14:textFill>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4pt;margin-top:-6.8pt;height:26.35pt;width:113.6pt;z-index:251760640;mso-width-relative:page;mso-height-relative:page;" filled="f" stroked="f" coordsize="21600,21600" o:gfxdata="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5bma3AAAAAoBAAAPAAAAAAAAAAEAIAAAACIAAABk&#10;cnMvZG93bnJldi54bWxQSwECFAAUAAAACACHTuJAb3+JzTsCAABqBAAADgAAAAAAAAABACAAAAAr&#10;AQAAZHJzL2Uyb0RvYy54bWxQSwUGAAAAAAYABgBZAQAA2AUAAAAA&#10;">
                <v:fill on="f" focussize="0,0"/>
                <v:stroke on="f" weight="0.5pt"/>
                <v:imagedata o:title=""/>
                <o:lock v:ext="edit" aspectratio="f"/>
                <v:textbox>
                  <w:txbxContent>
                    <w:p w14:paraId="5BC4383C">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含油废水</w:t>
                      </w:r>
                      <w:r>
                        <w:rPr>
                          <w:rFonts w:hint="eastAsia"/>
                          <w:lang w:val="en-US" w:eastAsia="zh-CN"/>
                          <w14:textFill>
                            <w14:noFill/>
                          </w14:textFill>
                        </w:rPr>
                        <w:t>油</w:t>
                      </w:r>
                    </w:p>
                  </w:txbxContent>
                </v:textbox>
              </v:shap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833120</wp:posOffset>
                </wp:positionH>
                <wp:positionV relativeFrom="paragraph">
                  <wp:posOffset>-55245</wp:posOffset>
                </wp:positionV>
                <wp:extent cx="988060" cy="28067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98806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2012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铝除油剂</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6pt;margin-top:-4.35pt;height:22.1pt;width:77.8pt;z-index:251755520;mso-width-relative:page;mso-height-relative:page;" filled="f" stroked="f" coordsize="21600,21600" o:gfxdata="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HPkvN2gAAAAkBAAAPAAAAAAAAAAEAIAAAACIAAABkcnMv&#10;ZG93bnJldi54bWxQSwECFAAUAAAACACHTuJA4HTk3zoCAABpBAAADgAAAAAAAAABACAAAAApAQAA&#10;ZHJzL2Uyb0RvYy54bWxQSwUGAAAAAAYABgBZAQAA1QUAAAAA&#10;">
                <v:fill on="f" focussize="0,0"/>
                <v:stroke on="f" weight="0.5pt"/>
                <v:imagedata o:title=""/>
                <o:lock v:ext="edit" aspectratio="f"/>
                <v:textbox>
                  <w:txbxContent>
                    <w:p w14:paraId="73A2012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铝除油剂</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1940560</wp:posOffset>
                </wp:positionH>
                <wp:positionV relativeFrom="paragraph">
                  <wp:posOffset>-62865</wp:posOffset>
                </wp:positionV>
                <wp:extent cx="988060" cy="280670"/>
                <wp:effectExtent l="4445" t="4445" r="17145" b="19685"/>
                <wp:wrapNone/>
                <wp:docPr id="171" name="文本框 171"/>
                <wp:cNvGraphicFramePr/>
                <a:graphic xmlns:a="http://schemas.openxmlformats.org/drawingml/2006/main">
                  <a:graphicData uri="http://schemas.microsoft.com/office/word/2010/wordprocessingShape">
                    <wps:wsp>
                      <wps:cNvSpPr txBox="1"/>
                      <wps:spPr>
                        <a:xfrm>
                          <a:off x="2489200" y="2205355"/>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B0ABC9">
                            <w:pPr>
                              <w:ind w:left="0" w:leftChars="0" w:firstLine="0" w:firstLineChars="0"/>
                              <w:jc w:val="center"/>
                              <w:rPr>
                                <w:rFonts w:hint="default" w:eastAsia="宋体"/>
                                <w:lang w:val="en-US" w:eastAsia="zh-CN"/>
                              </w:rPr>
                            </w:pPr>
                            <w:r>
                              <w:rPr>
                                <w:rFonts w:hint="eastAsia"/>
                                <w:lang w:val="en-US" w:eastAsia="zh-CN"/>
                              </w:rPr>
                              <w:t>化学除油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8pt;margin-top:-4.95pt;height:22.1pt;width:77.8pt;z-index:251735040;mso-width-relative:page;mso-height-relative:page;" fillcolor="#FFFFFF [3201]" filled="t" stroked="t" coordsize="21600,21600" o:gfxdata="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w5oJnWAAAACQEAAA8AAAAAAAAAAQAgAAAAIgAAAGRycy9kb3ducmV2LnhtbFBLAQIUABQA&#10;AAAIAIdO4kCOAOYZZAIAAMYEAAAOAAAAAAAAAAEAIAAAACUBAABkcnMvZTJvRG9jLnhtbFBLBQYA&#10;AAAABgAGAFkBAAD7BQAAAAA=&#10;">
                <v:fill on="t" focussize="0,0"/>
                <v:stroke weight="0.5pt" color="#000000 [3204]" joinstyle="round"/>
                <v:imagedata o:title=""/>
                <o:lock v:ext="edit" aspectratio="f"/>
                <v:textbox>
                  <w:txbxContent>
                    <w:p w14:paraId="55B0ABC9">
                      <w:pPr>
                        <w:ind w:left="0" w:leftChars="0" w:firstLine="0" w:firstLineChars="0"/>
                        <w:jc w:val="center"/>
                        <w:rPr>
                          <w:rFonts w:hint="default" w:eastAsia="宋体"/>
                          <w:lang w:val="en-US" w:eastAsia="zh-CN"/>
                        </w:rPr>
                      </w:pPr>
                      <w:r>
                        <w:rPr>
                          <w:rFonts w:hint="eastAsia"/>
                          <w:lang w:val="en-US" w:eastAsia="zh-CN"/>
                        </w:rPr>
                        <w:t>化学除油</w:t>
                      </w:r>
                    </w:p>
                  </w:txbxContent>
                </v:textbox>
              </v:shape>
            </w:pict>
          </mc:Fallback>
        </mc:AlternateContent>
      </w:r>
      <w:r>
        <w:rPr>
          <w:sz w:val="24"/>
        </w:rPr>
        <mc:AlternateContent>
          <mc:Choice Requires="wps">
            <w:drawing>
              <wp:anchor distT="0" distB="0" distL="114300" distR="114300" simplePos="0" relativeHeight="251761664" behindDoc="0" locked="0" layoutInCell="1" allowOverlap="1">
                <wp:simplePos x="0" y="0"/>
                <wp:positionH relativeFrom="column">
                  <wp:posOffset>2927350</wp:posOffset>
                </wp:positionH>
                <wp:positionV relativeFrom="paragraph">
                  <wp:posOffset>68580</wp:posOffset>
                </wp:positionV>
                <wp:extent cx="411480" cy="3175"/>
                <wp:effectExtent l="0" t="61595" r="7620" b="68580"/>
                <wp:wrapNone/>
                <wp:docPr id="172" name="直接箭头连接符 172"/>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5pt;margin-top:5.4pt;height:0.25pt;width:32.4pt;z-index:251761664;mso-width-relative:page;mso-height-relative:page;" filled="f" stroked="t" coordsize="21600,21600" o:gfxdata="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qlO4B1gAAAAkBAAAPAAAAAAAAAAEAIAAAACIAAABkcnMv&#10;ZG93bnJldi54bWxQSwECFAAUAAAACACHTuJAlW9PTwUCAADgAwAADgAAAAAAAAABACAAAAAlAQAA&#10;ZHJzL2Uyb0RvYy54bWxQSwUGAAAAAAYABgBZAQAAnAU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1536700</wp:posOffset>
                </wp:positionH>
                <wp:positionV relativeFrom="paragraph">
                  <wp:posOffset>96520</wp:posOffset>
                </wp:positionV>
                <wp:extent cx="411480" cy="3175"/>
                <wp:effectExtent l="0" t="61595" r="7620" b="68580"/>
                <wp:wrapNone/>
                <wp:docPr id="173" name="直接箭头连接符 173"/>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pt;margin-top:7.6pt;height:0.25pt;width:32.4pt;z-index:251739136;mso-width-relative:page;mso-height-relative:page;" filled="f" stroked="t" coordsize="21600,21600" o:gfxdata="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emVOjXAAAACQEAAA8AAAAAAAAAAQAgAAAAIgAAAGRy&#10;cy9kb3ducmV2LnhtbFBLAQIUABQAAAAIAIdO4kD7GHMKBgIAAOA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2471420</wp:posOffset>
                </wp:positionH>
                <wp:positionV relativeFrom="paragraph">
                  <wp:posOffset>236855</wp:posOffset>
                </wp:positionV>
                <wp:extent cx="3810" cy="154940"/>
                <wp:effectExtent l="62865" t="0" r="66675" b="16510"/>
                <wp:wrapNone/>
                <wp:docPr id="174" name="直接箭头连接符 174"/>
                <wp:cNvGraphicFramePr/>
                <a:graphic xmlns:a="http://schemas.openxmlformats.org/drawingml/2006/main">
                  <a:graphicData uri="http://schemas.microsoft.com/office/word/2010/wordprocessingShape">
                    <wps:wsp>
                      <wps:cNvCnPr/>
                      <wps:spPr>
                        <a:xfrm>
                          <a:off x="4227195" y="2288540"/>
                          <a:ext cx="3810" cy="154940"/>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94.6pt;margin-top:18.65pt;height:12.2pt;width:0.3pt;z-index:251737088;mso-width-relative:page;mso-height-relative:page;" filled="f" stroked="t" coordsize="21600,21600" o:gfxdata="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5tPEj1gAAAAkBAAAPAAAAAAAA&#10;AAEAIAAAACIAAABkcnMvZG93bnJldi54bWxQSwECFAAUAAAACACHTuJA93BnJBQCAADtAwAADgAA&#10;AAAAAAABACAAAAAlAQAAZHJzL2Uyb0RvYy54bWxQSwUGAAAAAAYABgBZAQAAqwUAAAAA&#10;">
                <v:fill on="f" focussize="0,0"/>
                <v:stroke weight="2pt" color="#000000 [3213]" joinstyle="round" endarrow="block" endarrowwidth="wide" endarrowlength="long"/>
                <v:imagedata o:title=""/>
                <o:lock v:ext="edit" aspectratio="f"/>
              </v:shape>
            </w:pict>
          </mc:Fallback>
        </mc:AlternateContent>
      </w:r>
    </w:p>
    <w:p w14:paraId="37C5544D">
      <w:pPr>
        <w:pStyle w:val="38"/>
        <w:rPr>
          <w:rFonts w:hint="default" w:ascii="Times New Roman" w:hAnsi="Times New Roman" w:cs="Times New Roman"/>
          <w:color w:val="FF0000"/>
          <w:u w:val="none"/>
        </w:rPr>
      </w:pPr>
      <w:r>
        <w:rPr>
          <w:sz w:val="24"/>
        </w:rPr>
        <mc:AlternateContent>
          <mc:Choice Requires="wps">
            <w:drawing>
              <wp:anchor distT="0" distB="0" distL="114300" distR="114300" simplePos="0" relativeHeight="251824128" behindDoc="0" locked="0" layoutInCell="1" allowOverlap="1">
                <wp:simplePos x="0" y="0"/>
                <wp:positionH relativeFrom="column">
                  <wp:posOffset>1010920</wp:posOffset>
                </wp:positionH>
                <wp:positionV relativeFrom="paragraph">
                  <wp:posOffset>120650</wp:posOffset>
                </wp:positionV>
                <wp:extent cx="824230" cy="28067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82423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7623C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6pt;margin-top:9.5pt;height:22.1pt;width:64.9pt;z-index:251824128;mso-width-relative:page;mso-height-relative:page;" filled="f" stroked="f" coordsize="21600,21600" o:gfxdata="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6xQB9kAAAAJAQAADwAAAAAAAAABACAAAAAiAAAA&#10;ZHJzL2Rvd25yZXYueG1sUEsBAhQAFAAAAAgAh07iQDVwQAk/AgAAaQQAAA4AAAAAAAAAAQAgAAAA&#10;KAEAAGRycy9lMm9Eb2MueG1sUEsFBgAAAAAGAAYAWQEAANkFAAAAAA==&#10;">
                <v:fill on="f" focussize="0,0"/>
                <v:stroke on="f" weight="0.5pt"/>
                <v:imagedata o:title=""/>
                <o:lock v:ext="edit" aspectratio="f"/>
                <v:textbox>
                  <w:txbxContent>
                    <w:p w14:paraId="527623C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3322955</wp:posOffset>
                </wp:positionH>
                <wp:positionV relativeFrom="paragraph">
                  <wp:posOffset>159385</wp:posOffset>
                </wp:positionV>
                <wp:extent cx="744220" cy="28067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605A8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65pt;margin-top:12.55pt;height:22.1pt;width:58.6pt;z-index:251721728;mso-width-relative:page;mso-height-relative:page;" filled="f" stroked="f" coordsize="21600,21600" o:gfxdata="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&#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QT0nltsAAAAJAQAADwAAAAAAAAABACAAAAAiAAAA&#10;ZHJzL2Rvd25yZXYueG1sUEsBAhQAFAAAAAgAh07iQMjeMwA9AgAAaQQAAA4AAAAAAAAAAQAgAAAA&#10;KgEAAGRycy9lMm9Eb2MueG1sUEsFBgAAAAAGAAYAWQEAANkFAAAAAA==&#10;">
                <v:fill on="f" focussize="0,0"/>
                <v:stroke on="f" weight="0.5pt"/>
                <v:imagedata o:title=""/>
                <o:lock v:ext="edit" aspectratio="f"/>
                <v:textbox>
                  <w:txbxContent>
                    <w:p w14:paraId="70605A8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1949450</wp:posOffset>
                </wp:positionH>
                <wp:positionV relativeFrom="paragraph">
                  <wp:posOffset>147320</wp:posOffset>
                </wp:positionV>
                <wp:extent cx="988060" cy="280670"/>
                <wp:effectExtent l="4445" t="4445" r="17145" b="19685"/>
                <wp:wrapNone/>
                <wp:docPr id="179" name="文本框 179"/>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7AF3362">
                            <w:pPr>
                              <w:ind w:left="0" w:leftChars="0" w:firstLine="0" w:firstLineChars="0"/>
                              <w:jc w:val="center"/>
                              <w:rPr>
                                <w:rFonts w:hint="default" w:eastAsia="宋体"/>
                                <w:lang w:val="en-US" w:eastAsia="zh-CN"/>
                              </w:rPr>
                            </w:pPr>
                            <w:r>
                              <w:rPr>
                                <w:rFonts w:hint="eastAsia"/>
                                <w:lang w:val="en-US" w:eastAsia="zh-CN"/>
                              </w:rPr>
                              <w:t>二级水洗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pt;margin-top:11.6pt;height:22.1pt;width:77.8pt;z-index:251736064;mso-width-relative:page;mso-height-relative:page;" fillcolor="#FFFFFF [3201]" filled="t" stroked="t" coordsize="21600,21600" o:gfxdata="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2Wja9NYA&#10;AAAJAQAADwAAAAAAAAABACAAAAAiAAAAZHJzL2Rvd25yZXYueG1sUEsBAhQAFAAAAAgAh07iQHaT&#10;BFlaAgAAugQAAA4AAAAAAAAAAQAgAAAAJQEAAGRycy9lMm9Eb2MueG1sUEsFBgAAAAAGAAYAWQEA&#10;APEFAAAAAA==&#10;">
                <v:fill on="t" focussize="0,0"/>
                <v:stroke weight="0.5pt" color="#000000 [3204]" joinstyle="round"/>
                <v:imagedata o:title=""/>
                <o:lock v:ext="edit" aspectratio="f"/>
                <v:textbox>
                  <w:txbxContent>
                    <w:p w14:paraId="77AF3362">
                      <w:pPr>
                        <w:ind w:left="0" w:leftChars="0" w:firstLine="0" w:firstLineChars="0"/>
                        <w:jc w:val="center"/>
                        <w:rPr>
                          <w:rFonts w:hint="default" w:eastAsia="宋体"/>
                          <w:lang w:val="en-US" w:eastAsia="zh-CN"/>
                        </w:rPr>
                      </w:pPr>
                      <w:r>
                        <w:rPr>
                          <w:rFonts w:hint="eastAsia"/>
                          <w:lang w:val="en-US" w:eastAsia="zh-CN"/>
                        </w:rPr>
                        <w:t>二级水洗</w:t>
                      </w:r>
                    </w:p>
                  </w:txbxContent>
                </v:textbox>
              </v:shape>
            </w:pict>
          </mc:Fallback>
        </mc:AlternateContent>
      </w:r>
    </w:p>
    <w:p w14:paraId="118DD29B">
      <w:pPr>
        <w:pStyle w:val="38"/>
        <w:rPr>
          <w:rFonts w:hint="default" w:ascii="Times New Roman" w:hAnsi="Times New Roman" w:cs="Times New Roman"/>
          <w:color w:val="FF0000"/>
          <w:u w:val="none"/>
        </w:rPr>
      </w:pPr>
      <w:r>
        <w:rPr>
          <w:sz w:val="24"/>
        </w:rPr>
        <mc:AlternateContent>
          <mc:Choice Requires="wps">
            <w:drawing>
              <wp:anchor distT="0" distB="0" distL="114300" distR="114300" simplePos="0" relativeHeight="251777024" behindDoc="0" locked="0" layoutInCell="1" allowOverlap="1">
                <wp:simplePos x="0" y="0"/>
                <wp:positionH relativeFrom="column">
                  <wp:posOffset>2463800</wp:posOffset>
                </wp:positionH>
                <wp:positionV relativeFrom="paragraph">
                  <wp:posOffset>165735</wp:posOffset>
                </wp:positionV>
                <wp:extent cx="3175" cy="215265"/>
                <wp:effectExtent l="61595" t="0" r="68580" b="13335"/>
                <wp:wrapNone/>
                <wp:docPr id="243" name="直接箭头连接符 243"/>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pt;margin-top:13.05pt;height:16.95pt;width:0.25pt;z-index:251777024;mso-width-relative:page;mso-height-relative:page;" filled="f" stroked="t" coordsize="21600,21600" o:gfxdata="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xwbBNUAAAAJAQAADwAAAAAAAAABACAA&#10;AAAiAAAAZHJzL2Rvd25yZXYueG1sUEsBAhQAFAAAAAgAh07iQEj0SlcQAgAA6wMAAA4AAAAAAAAA&#10;AQAgAAAAJAEAAGRycy9lMm9Eb2MueG1sUEsFBgAAAAAGAAYAWQEAAKYFA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72928" behindDoc="0" locked="0" layoutInCell="1" allowOverlap="1">
                <wp:simplePos x="0" y="0"/>
                <wp:positionH relativeFrom="column">
                  <wp:posOffset>2929890</wp:posOffset>
                </wp:positionH>
                <wp:positionV relativeFrom="paragraph">
                  <wp:posOffset>20320</wp:posOffset>
                </wp:positionV>
                <wp:extent cx="411480" cy="3175"/>
                <wp:effectExtent l="0" t="61595" r="7620" b="68580"/>
                <wp:wrapNone/>
                <wp:docPr id="177" name="直接箭头连接符 177"/>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0.7pt;margin-top:1.6pt;height:0.25pt;width:32.4pt;z-index:251772928;mso-width-relative:page;mso-height-relative:page;" filled="f" stroked="t" coordsize="21600,21600" o:gfxdata="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0/gLq1gAAAAcBAAAPAAAAAAAAAAEAIAAAACIAAABkcnMv&#10;ZG93bnJldi54bWxQSwECFAAUAAAACACHTuJAAsPzxQUCAADgAwAADgAAAAAAAAABACAAAAAlAQAA&#10;ZHJzL2Uyb0RvYy54bWxQSwUGAAAAAAYABgBZAQAAnAU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62688" behindDoc="0" locked="0" layoutInCell="1" allowOverlap="1">
                <wp:simplePos x="0" y="0"/>
                <wp:positionH relativeFrom="column">
                  <wp:posOffset>1543050</wp:posOffset>
                </wp:positionH>
                <wp:positionV relativeFrom="paragraph">
                  <wp:posOffset>11430</wp:posOffset>
                </wp:positionV>
                <wp:extent cx="411480" cy="3175"/>
                <wp:effectExtent l="0" t="61595" r="7620" b="68580"/>
                <wp:wrapNone/>
                <wp:docPr id="178" name="直接箭头连接符 17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5pt;margin-top:0.9pt;height:0.25pt;width:32.4pt;z-index:251762688;mso-width-relative:page;mso-height-relative:page;" filled="f" stroked="t" coordsize="21600,21600" o:gfxdata="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cHk6dQAAAAHAQAADwAAAAAAAAABACAAAAAiAAAAZHJzL2Rv&#10;d25yZXYueG1sUEsBAhQAFAAAAAgAh07iQPowR4EFAgAA4AMAAA4AAAAAAAAAAQAgAAAAIwEAAGRy&#10;cy9lMm9Eb2MueG1sUEsFBgAAAAAGAAYAWQEAAJoFAAAAAA==&#10;">
                <v:fill on="f" focussize="0,0"/>
                <v:stroke weight="0.5pt" color="#000000 [3213]" joinstyle="round" endarrow="block" endarrowwidth="wide" endarrowlength="long"/>
                <v:imagedata o:title=""/>
                <o:lock v:ext="edit" aspectratio="f"/>
              </v:shape>
            </w:pict>
          </mc:Fallback>
        </mc:AlternateContent>
      </w:r>
    </w:p>
    <w:p w14:paraId="673DA02A">
      <w:pPr>
        <w:pStyle w:val="39"/>
        <w:rPr>
          <w:rFonts w:hint="default" w:ascii="Times New Roman" w:hAnsi="Times New Roman" w:cs="Times New Roman"/>
          <w:color w:val="FF0000"/>
          <w:u w:val="none"/>
        </w:rPr>
      </w:pPr>
      <w:r>
        <w:rPr>
          <w:sz w:val="24"/>
        </w:rPr>
        <mc:AlternateContent>
          <mc:Choice Requires="wps">
            <w:drawing>
              <wp:anchor distT="0" distB="0" distL="114300" distR="114300" simplePos="0" relativeHeight="251768832" behindDoc="0" locked="0" layoutInCell="1" allowOverlap="1">
                <wp:simplePos x="0" y="0"/>
                <wp:positionH relativeFrom="column">
                  <wp:posOffset>3295650</wp:posOffset>
                </wp:positionH>
                <wp:positionV relativeFrom="paragraph">
                  <wp:posOffset>102235</wp:posOffset>
                </wp:positionV>
                <wp:extent cx="1076960" cy="28067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07696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02CAD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碱废液、碱废水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5pt;margin-top:8.05pt;height:22.1pt;width:84.8pt;z-index:251768832;mso-width-relative:page;mso-height-relative:page;" filled="f" stroked="f" coordsize="21600,21600" o:gfxdata="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&#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HbgJA2gAAAAkBAAAPAAAAAAAAAAEAIAAAACIAAABk&#10;cnMvZG93bnJldi54bWxQSwECFAAUAAAACACHTuJAn/kIlD0CAABqBAAADgAAAAAAAAABACAAAAAp&#10;AQAAZHJzL2Uyb0RvYy54bWxQSwUGAAAAAAYABgBZAQAA2AUAAAAA&#10;">
                <v:fill on="f" focussize="0,0"/>
                <v:stroke on="f" weight="0.5pt"/>
                <v:imagedata o:title=""/>
                <o:lock v:ext="edit" aspectratio="f"/>
                <v:textbox>
                  <w:txbxContent>
                    <w:p w14:paraId="0002CAD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碱废液、碱废水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21728" behindDoc="0" locked="0" layoutInCell="1" allowOverlap="1">
                <wp:simplePos x="0" y="0"/>
                <wp:positionH relativeFrom="column">
                  <wp:posOffset>1049020</wp:posOffset>
                </wp:positionH>
                <wp:positionV relativeFrom="paragraph">
                  <wp:posOffset>82550</wp:posOffset>
                </wp:positionV>
                <wp:extent cx="744220" cy="28067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0F80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片碱</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6pt;margin-top:6.5pt;height:22.1pt;width:58.6pt;z-index:251721728;mso-width-relative:page;mso-height-relative:page;" filled="f" stroked="f" coordsize="21600,21600" o:gfxdata="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eS0yXZAAAACQEAAA8AAAAAAAAAAQAgAAAAIgAAAGRy&#10;cy9kb3ducmV2LnhtbFBLAQIUABQAAAAIAIdO4kCWc9fVPQIAAGkEAAAOAAAAAAAAAAEAIAAAACgB&#10;AABkcnMvZTJvRG9jLnhtbFBLBQYAAAAABgAGAFkBAADXBQAAAAA=&#10;">
                <v:fill on="f" focussize="0,0"/>
                <v:stroke on="f" weight="0.5pt"/>
                <v:imagedata o:title=""/>
                <o:lock v:ext="edit" aspectratio="f"/>
                <v:textbox>
                  <w:txbxContent>
                    <w:p w14:paraId="52E0F80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片碱</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1957705</wp:posOffset>
                </wp:positionH>
                <wp:positionV relativeFrom="paragraph">
                  <wp:posOffset>97790</wp:posOffset>
                </wp:positionV>
                <wp:extent cx="988060" cy="280670"/>
                <wp:effectExtent l="4445" t="4445" r="17145" b="19685"/>
                <wp:wrapNone/>
                <wp:docPr id="183" name="文本框 183"/>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C50580">
                            <w:pPr>
                              <w:ind w:left="0" w:leftChars="0" w:firstLine="0" w:firstLineChars="0"/>
                              <w:jc w:val="center"/>
                              <w:rPr>
                                <w:rFonts w:hint="eastAsia" w:eastAsia="宋体"/>
                                <w:lang w:val="en-US" w:eastAsia="zh-CN"/>
                              </w:rPr>
                            </w:pPr>
                            <w:r>
                              <w:rPr>
                                <w:rFonts w:hint="eastAsia"/>
                                <w:lang w:val="en-US" w:eastAsia="zh-CN"/>
                              </w:rPr>
                              <w:t>碱腐蚀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15pt;margin-top:7.7pt;height:22.1pt;width:77.8pt;z-index:251738112;mso-width-relative:page;mso-height-relative:page;" fillcolor="#FFFFFF [3201]" filled="t" stroked="t" coordsize="21600,21600" o:gfxdata="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jx591gAA&#10;AAkBAAAPAAAAAAAAAAEAIAAAACIAAABkcnMvZG93bnJldi54bWxQSwECFAAUAAAACACHTuJADRt9&#10;J1kCAAC6BAAADgAAAAAAAAABACAAAAAlAQAAZHJzL2Uyb0RvYy54bWxQSwUGAAAAAAYABgBZAQAA&#10;8AUAAAAA&#10;">
                <v:fill on="t" focussize="0,0"/>
                <v:stroke weight="0.5pt" color="#000000 [3204]" joinstyle="round"/>
                <v:imagedata o:title=""/>
                <o:lock v:ext="edit" aspectratio="f"/>
                <v:textbox>
                  <w:txbxContent>
                    <w:p w14:paraId="02C50580">
                      <w:pPr>
                        <w:ind w:left="0" w:leftChars="0" w:firstLine="0" w:firstLineChars="0"/>
                        <w:jc w:val="center"/>
                        <w:rPr>
                          <w:rFonts w:hint="eastAsia" w:eastAsia="宋体"/>
                          <w:lang w:val="en-US" w:eastAsia="zh-CN"/>
                        </w:rPr>
                      </w:pPr>
                      <w:r>
                        <w:rPr>
                          <w:rFonts w:hint="eastAsia"/>
                          <w:lang w:val="en-US" w:eastAsia="zh-CN"/>
                        </w:rPr>
                        <w:t>碱腐蚀</w:t>
                      </w:r>
                    </w:p>
                  </w:txbxContent>
                </v:textbox>
              </v:shape>
            </w:pict>
          </mc:Fallback>
        </mc:AlternateContent>
      </w:r>
    </w:p>
    <w:p w14:paraId="2CD6BE46">
      <w:pPr>
        <w:rPr>
          <w:rFonts w:hint="default" w:ascii="Times New Roman" w:hAnsi="Times New Roman" w:cs="Times New Roman"/>
          <w:color w:val="FF0000"/>
          <w:u w:val="none"/>
        </w:rPr>
      </w:pPr>
      <w:r>
        <w:rPr>
          <w:sz w:val="24"/>
        </w:rPr>
        <mc:AlternateContent>
          <mc:Choice Requires="wps">
            <w:drawing>
              <wp:anchor distT="0" distB="0" distL="114300" distR="114300" simplePos="0" relativeHeight="251779072" behindDoc="0" locked="0" layoutInCell="1" allowOverlap="1">
                <wp:simplePos x="0" y="0"/>
                <wp:positionH relativeFrom="column">
                  <wp:posOffset>2447925</wp:posOffset>
                </wp:positionH>
                <wp:positionV relativeFrom="paragraph">
                  <wp:posOffset>187960</wp:posOffset>
                </wp:positionV>
                <wp:extent cx="3175" cy="215265"/>
                <wp:effectExtent l="61595" t="0" r="68580" b="13335"/>
                <wp:wrapNone/>
                <wp:docPr id="244" name="直接箭头连接符 244"/>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75pt;margin-top:14.8pt;height:16.95pt;width:0.25pt;z-index:251779072;mso-width-relative:page;mso-height-relative:page;" filled="f" stroked="t" coordsize="21600,21600" o:gfxdata="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6bx+NYAAAAJAQAADwAAAAAAAAABACAA&#10;AAAiAAAAZHJzL2Rvd25yZXYueG1sUEsBAhQAFAAAAAgAh07iQDrvR90PAgAA6wMAAA4AAAAAAAAA&#10;AQAgAAAAJQEAAGRycy9lMm9Eb2MueG1sUEsFBgAAAAAGAAYAWQEAAKYFA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2946400</wp:posOffset>
                </wp:positionH>
                <wp:positionV relativeFrom="paragraph">
                  <wp:posOffset>40640</wp:posOffset>
                </wp:positionV>
                <wp:extent cx="411480" cy="3175"/>
                <wp:effectExtent l="0" t="61595" r="7620" b="68580"/>
                <wp:wrapNone/>
                <wp:docPr id="184" name="直接箭头连接符 184"/>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pt;margin-top:3.2pt;height:0.25pt;width:32.4pt;z-index:251728896;mso-width-relative:page;mso-height-relative:page;" filled="f" stroked="t" coordsize="21600,21600" o:gfxdata="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xHiY9YAAAAHAQAADwAAAAAAAAABACAAAAAiAAAAZHJz&#10;L2Rvd25yZXYueG1sUEsBAhQAFAAAAAgAh07iQG2UlbkGAgAA4AMAAA4AAAAAAAAAAQAgAAAAJQ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63712" behindDoc="0" locked="0" layoutInCell="1" allowOverlap="1">
                <wp:simplePos x="0" y="0"/>
                <wp:positionH relativeFrom="column">
                  <wp:posOffset>1541780</wp:posOffset>
                </wp:positionH>
                <wp:positionV relativeFrom="paragraph">
                  <wp:posOffset>19685</wp:posOffset>
                </wp:positionV>
                <wp:extent cx="411480" cy="3175"/>
                <wp:effectExtent l="0" t="61595" r="7620" b="68580"/>
                <wp:wrapNone/>
                <wp:docPr id="185" name="直接箭头连接符 185"/>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4pt;margin-top:1.55pt;height:0.25pt;width:32.4pt;z-index:251763712;mso-width-relative:page;mso-height-relative:page;" filled="f" stroked="t" coordsize="21600,21600" o:gfxdata="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XD1i1QAAAAcBAAAPAAAAAAAAAAEAIAAAACIAAABkcnMv&#10;ZG93bnJldi54bWxQSwECFAAUAAAACACHTuJAA+Op/AYCAADgAwAADgAAAAAAAAABACAAAAAkAQAA&#10;ZHJzL2Uyb0RvYy54bWxQSwUGAAAAAAYABgBZAQAAnAUAAAAA&#10;">
                <v:fill on="f" focussize="0,0"/>
                <v:stroke weight="0.5pt" color="#000000 [3213]" joinstyle="round" endarrow="block" endarrowwidth="wide" endarrowlength="long"/>
                <v:imagedata o:title=""/>
                <o:lock v:ext="edit" aspectratio="f"/>
              </v:shape>
            </w:pict>
          </mc:Fallback>
        </mc:AlternateContent>
      </w:r>
    </w:p>
    <w:p w14:paraId="7D599C4C">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68832" behindDoc="0" locked="0" layoutInCell="1" allowOverlap="1">
                <wp:simplePos x="0" y="0"/>
                <wp:positionH relativeFrom="column">
                  <wp:posOffset>1037590</wp:posOffset>
                </wp:positionH>
                <wp:positionV relativeFrom="paragraph">
                  <wp:posOffset>142240</wp:posOffset>
                </wp:positionV>
                <wp:extent cx="744220" cy="28067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285E2F">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7pt;margin-top:11.2pt;height:22.1pt;width:58.6pt;z-index:251768832;mso-width-relative:page;mso-height-relative:page;" filled="f" stroked="f" coordsize="21600,21600" o:gfxdata="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YcmfetgAAAAJAQAADwAAAAAAAAABACAAAAAiAAAAZHJz&#10;L2Rvd25yZXYueG1sUEsBAhQAFAAAAAgAh07iQDIGfog9AgAAaQQAAA4AAAAAAAAAAQAgAAAAJwEA&#10;AGRycy9lMm9Eb2MueG1sUEsFBgAAAAAGAAYAWQEAANYFAAAAAA==&#10;">
                <v:fill on="f" focussize="0,0"/>
                <v:stroke on="f" weight="0.5pt"/>
                <v:imagedata o:title=""/>
                <o:lock v:ext="edit" aspectratio="f"/>
                <v:textbox>
                  <w:txbxContent>
                    <w:p w14:paraId="10285E2F">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自来水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68832" behindDoc="0" locked="0" layoutInCell="1" allowOverlap="1">
                <wp:simplePos x="0" y="0"/>
                <wp:positionH relativeFrom="column">
                  <wp:posOffset>3281680</wp:posOffset>
                </wp:positionH>
                <wp:positionV relativeFrom="paragraph">
                  <wp:posOffset>146050</wp:posOffset>
                </wp:positionV>
                <wp:extent cx="744220" cy="28067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1AC9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4pt;margin-top:11.5pt;height:22.1pt;width:58.6pt;z-index:251768832;mso-width-relative:page;mso-height-relative:page;" filled="f" stroked="f" coordsize="21600,21600" o:gfxdata="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&#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bc7y22gAAAAkBAAAPAAAAAAAAAAEAIAAAACIAAABk&#10;cnMvZG93bnJldi54bWxQSwECFAAUAAAACACHTuJAuFKHYT0CAABpBAAADgAAAAAAAAABACAAAAAp&#10;AQAAZHJzL2Uyb0RvYy54bWxQSwUGAAAAAAYABgBZAQAA2AUAAAAA&#10;">
                <v:fill on="f" focussize="0,0"/>
                <v:stroke on="f" weight="0.5pt"/>
                <v:imagedata o:title=""/>
                <o:lock v:ext="edit" aspectratio="f"/>
                <v:textbox>
                  <w:txbxContent>
                    <w:p w14:paraId="7481AC9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1964055</wp:posOffset>
                </wp:positionH>
                <wp:positionV relativeFrom="paragraph">
                  <wp:posOffset>142875</wp:posOffset>
                </wp:positionV>
                <wp:extent cx="988060" cy="280670"/>
                <wp:effectExtent l="4445" t="4445" r="17145" b="19685"/>
                <wp:wrapNone/>
                <wp:docPr id="189" name="文本框 189"/>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D3CFD2">
                            <w:pPr>
                              <w:ind w:left="0" w:leftChars="0" w:firstLine="0" w:firstLineChars="0"/>
                              <w:jc w:val="center"/>
                              <w:rPr>
                                <w:rFonts w:hint="default" w:eastAsia="宋体"/>
                                <w:lang w:val="en-US" w:eastAsia="zh-CN"/>
                              </w:rPr>
                            </w:pPr>
                            <w:r>
                              <w:rPr>
                                <w:rFonts w:hint="eastAsia"/>
                                <w:lang w:val="en-US" w:eastAsia="zh-CN"/>
                              </w:rPr>
                              <w:t>二级水洗</w:t>
                            </w:r>
                          </w:p>
                          <w:p w14:paraId="25C82058">
                            <w:pPr>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65pt;margin-top:11.25pt;height:22.1pt;width:77.8pt;z-index:251740160;mso-width-relative:page;mso-height-relative:page;" fillcolor="#FFFFFF [3201]" filled="t" stroked="t" coordsize="21600,21600" o:gfxdata="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ZtI5tcA&#10;AAAJAQAADwAAAAAAAAABACAAAAAiAAAAZHJzL2Rvd25yZXYueG1sUEsBAhQAFAAAAAgAh07iQHvb&#10;JFFZAgAAugQAAA4AAAAAAAAAAQAgAAAAJgEAAGRycy9lMm9Eb2MueG1sUEsFBgAAAAAGAAYAWQEA&#10;APEFAAAAAA==&#10;">
                <v:fill on="t" focussize="0,0"/>
                <v:stroke weight="0.5pt" color="#000000 [3204]" joinstyle="round"/>
                <v:imagedata o:title=""/>
                <o:lock v:ext="edit" aspectratio="f"/>
                <v:textbox>
                  <w:txbxContent>
                    <w:p w14:paraId="09D3CFD2">
                      <w:pPr>
                        <w:ind w:left="0" w:leftChars="0" w:firstLine="0" w:firstLineChars="0"/>
                        <w:jc w:val="center"/>
                        <w:rPr>
                          <w:rFonts w:hint="default" w:eastAsia="宋体"/>
                          <w:lang w:val="en-US" w:eastAsia="zh-CN"/>
                        </w:rPr>
                      </w:pPr>
                      <w:r>
                        <w:rPr>
                          <w:rFonts w:hint="eastAsia"/>
                          <w:lang w:val="en-US" w:eastAsia="zh-CN"/>
                        </w:rPr>
                        <w:t>二级水洗</w:t>
                      </w:r>
                    </w:p>
                    <w:p w14:paraId="25C82058">
                      <w:pPr>
                        <w:rPr>
                          <w:rFonts w:hint="default"/>
                          <w:lang w:val="en-US" w:eastAsia="zh-CN"/>
                        </w:rPr>
                      </w:pPr>
                    </w:p>
                  </w:txbxContent>
                </v:textbox>
              </v:shape>
            </w:pict>
          </mc:Fallback>
        </mc:AlternateContent>
      </w:r>
    </w:p>
    <w:p w14:paraId="665007F7">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32992" behindDoc="0" locked="0" layoutInCell="1" allowOverlap="1">
                <wp:simplePos x="0" y="0"/>
                <wp:positionH relativeFrom="column">
                  <wp:posOffset>2952750</wp:posOffset>
                </wp:positionH>
                <wp:positionV relativeFrom="paragraph">
                  <wp:posOffset>111760</wp:posOffset>
                </wp:positionV>
                <wp:extent cx="411480" cy="3175"/>
                <wp:effectExtent l="0" t="61595" r="7620" b="68580"/>
                <wp:wrapNone/>
                <wp:docPr id="190" name="直接箭头连接符 190"/>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5pt;margin-top:8.8pt;height:0.25pt;width:32.4pt;z-index:251732992;mso-width-relative:page;mso-height-relative:page;" filled="f" stroked="t" coordsize="21600,21600" o:gfxdata="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3nB+jYAAAACQEAAA8AAAAAAAAAAQAgAAAAIgAAAGRy&#10;cy9kb3ducmV2LnhtbFBLAQIUABQAAAAIAIdO4kC8P1rcBQIAAOADAAAOAAAAAAAAAAEAIAAAACc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64736" behindDoc="0" locked="0" layoutInCell="1" allowOverlap="1">
                <wp:simplePos x="0" y="0"/>
                <wp:positionH relativeFrom="column">
                  <wp:posOffset>1556385</wp:posOffset>
                </wp:positionH>
                <wp:positionV relativeFrom="paragraph">
                  <wp:posOffset>122555</wp:posOffset>
                </wp:positionV>
                <wp:extent cx="411480" cy="3175"/>
                <wp:effectExtent l="0" t="61595" r="7620" b="68580"/>
                <wp:wrapNone/>
                <wp:docPr id="191" name="直接箭头连接符 19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2.55pt;margin-top:9.65pt;height:0.25pt;width:32.4pt;z-index:251764736;mso-width-relative:page;mso-height-relative:page;" filled="f" stroked="t" coordsize="21600,21600" o:gfxdata="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jPes7XAAAACQEAAA8AAAAAAAAAAQAgAAAAIgAAAGRy&#10;cy9kb3ducmV2LnhtbFBLAQIUABQAAAAIAIdO4kDSSGaZBgIAAOA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p>
    <w:p w14:paraId="15CC5ACD">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0096" behindDoc="0" locked="0" layoutInCell="1" allowOverlap="1">
                <wp:simplePos x="0" y="0"/>
                <wp:positionH relativeFrom="column">
                  <wp:posOffset>2443480</wp:posOffset>
                </wp:positionH>
                <wp:positionV relativeFrom="paragraph">
                  <wp:posOffset>68580</wp:posOffset>
                </wp:positionV>
                <wp:extent cx="3175" cy="215265"/>
                <wp:effectExtent l="61595" t="0" r="68580" b="13335"/>
                <wp:wrapNone/>
                <wp:docPr id="245" name="直接箭头连接符 245"/>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4pt;margin-top:5.4pt;height:16.95pt;width:0.25pt;z-index:251780096;mso-width-relative:page;mso-height-relative:page;" filled="f" stroked="t" coordsize="21600,21600" o:gfxdata="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V/O9YAAAAJAQAADwAAAAAAAAABACAA&#10;AAAiAAAAZHJzL2Rvd25yZXYueG1sUEsBAhQAFAAAAAgAh07iQKozCGIPAgAA6wMAAA4AAAAAAAAA&#10;AQAgAAAAJQEAAGRycy9lMm9Eb2MueG1sUEsFBgAAAAAGAAYAWQEAAKYFAAAAAA==&#10;">
                <v:fill on="f" focussize="0,0"/>
                <v:stroke weight="2pt" color="#000000 [3213]" joinstyle="round" endarrow="block" endarrowwidth="wide" endarrowlength="long"/>
                <v:imagedata o:title=""/>
                <o:lock v:ext="edit" aspectratio="f"/>
              </v:shape>
            </w:pict>
          </mc:Fallback>
        </mc:AlternateContent>
      </w:r>
    </w:p>
    <w:p w14:paraId="609C0E39">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91360" behindDoc="0" locked="0" layoutInCell="1" allowOverlap="1">
                <wp:simplePos x="0" y="0"/>
                <wp:positionH relativeFrom="column">
                  <wp:posOffset>3350895</wp:posOffset>
                </wp:positionH>
                <wp:positionV relativeFrom="paragraph">
                  <wp:posOffset>87630</wp:posOffset>
                </wp:positionV>
                <wp:extent cx="744220" cy="28067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D9889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85pt;margin-top:6.9pt;height:22.1pt;width:58.6pt;z-index:251791360;mso-width-relative:page;mso-height-relative:page;" filled="f" stroked="f" coordsize="21600,21600" o:gfxdata="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&#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qN2doAAAAJAQAADwAAAAAAAAABACAAAAAiAAAA&#10;ZHJzL2Rvd25yZXYueG1sUEsBAhQAFAAAAAgAh07iQCZeurI+AgAAaQQAAA4AAAAAAAAAAQAgAAAA&#10;KQEAAGRycy9lMm9Eb2MueG1sUEsFBgAAAAAGAAYAWQEAANkFAAAAAA==&#10;">
                <v:fill on="f" focussize="0,0"/>
                <v:stroke on="f" weight="0.5pt"/>
                <v:imagedata o:title=""/>
                <o:lock v:ext="edit" aspectratio="f"/>
                <v:textbox>
                  <w:txbxContent>
                    <w:p w14:paraId="08D9889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59616" behindDoc="0" locked="0" layoutInCell="1" allowOverlap="1">
                <wp:simplePos x="0" y="0"/>
                <wp:positionH relativeFrom="column">
                  <wp:posOffset>735330</wp:posOffset>
                </wp:positionH>
                <wp:positionV relativeFrom="paragraph">
                  <wp:posOffset>134620</wp:posOffset>
                </wp:positionV>
                <wp:extent cx="981710" cy="28067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98171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3077A">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无氮中和剂</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pt;margin-top:10.6pt;height:22.1pt;width:77.3pt;z-index:251759616;mso-width-relative:page;mso-height-relative:page;" filled="f" stroked="f" coordsize="21600,21600" o:gfxdata="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rYpK2gAAAAkBAAAPAAAAAAAAAAEAIAAAACIAAABk&#10;cnMvZG93bnJldi54bWxQSwECFAAUAAAACACHTuJAtLCcUT0CAABpBAAADgAAAAAAAAABACAAAAAp&#10;AQAAZHJzL2Uyb0RvYy54bWxQSwUGAAAAAAYABgBZAQAA2AUAAAAA&#10;">
                <v:fill on="f" focussize="0,0"/>
                <v:stroke on="f" weight="0.5pt"/>
                <v:imagedata o:title=""/>
                <o:lock v:ext="edit" aspectratio="f"/>
                <v:textbox>
                  <w:txbxContent>
                    <w:p w14:paraId="5DF3077A">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无氮中和剂</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1953895</wp:posOffset>
                </wp:positionH>
                <wp:positionV relativeFrom="paragraph">
                  <wp:posOffset>106045</wp:posOffset>
                </wp:positionV>
                <wp:extent cx="988060" cy="280670"/>
                <wp:effectExtent l="4445" t="4445" r="17145" b="19685"/>
                <wp:wrapNone/>
                <wp:docPr id="195" name="文本框 195"/>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458427">
                            <w:pPr>
                              <w:ind w:left="0" w:leftChars="0" w:firstLine="0" w:firstLineChars="0"/>
                              <w:jc w:val="center"/>
                              <w:rPr>
                                <w:rFonts w:hint="default" w:eastAsia="宋体"/>
                                <w:lang w:val="en-US" w:eastAsia="zh-CN"/>
                              </w:rPr>
                            </w:pPr>
                            <w:r>
                              <w:rPr>
                                <w:rFonts w:hint="eastAsia"/>
                                <w:lang w:val="en-US" w:eastAsia="zh-CN"/>
                              </w:rPr>
                              <w:t>出光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5pt;margin-top:8.35pt;height:22.1pt;width:77.8pt;z-index:251741184;mso-width-relative:page;mso-height-relative:page;" fillcolor="#FFFFFF [3201]" filled="t" stroked="t" coordsize="21600,21600" o:gfxdata="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7d+9NYA&#10;AAAJAQAADwAAAAAAAAABACAAAAAiAAAAZHJzL2Rvd25yZXYueG1sUEsBAhQAFAAAAAgAh07iQF4x&#10;CkJaAgAAugQAAA4AAAAAAAAAAQAgAAAAJQEAAGRycy9lMm9Eb2MueG1sUEsFBgAAAAAGAAYAWQEA&#10;APEFAAAAAA==&#10;">
                <v:fill on="t" focussize="0,0"/>
                <v:stroke weight="0.5pt" color="#000000 [3204]" joinstyle="round"/>
                <v:imagedata o:title=""/>
                <o:lock v:ext="edit" aspectratio="f"/>
                <v:textbox>
                  <w:txbxContent>
                    <w:p w14:paraId="6A458427">
                      <w:pPr>
                        <w:ind w:left="0" w:leftChars="0" w:firstLine="0" w:firstLineChars="0"/>
                        <w:jc w:val="center"/>
                        <w:rPr>
                          <w:rFonts w:hint="default" w:eastAsia="宋体"/>
                          <w:lang w:val="en-US" w:eastAsia="zh-CN"/>
                        </w:rPr>
                      </w:pPr>
                      <w:r>
                        <w:rPr>
                          <w:rFonts w:hint="eastAsia"/>
                          <w:lang w:val="en-US" w:eastAsia="zh-CN"/>
                        </w:rPr>
                        <w:t>出光</w:t>
                      </w:r>
                    </w:p>
                  </w:txbxContent>
                </v:textbox>
              </v:shape>
            </w:pict>
          </mc:Fallback>
        </mc:AlternateContent>
      </w:r>
    </w:p>
    <w:p w14:paraId="5C3E27F1">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90336" behindDoc="0" locked="0" layoutInCell="1" allowOverlap="1">
                <wp:simplePos x="0" y="0"/>
                <wp:positionH relativeFrom="column">
                  <wp:posOffset>2944495</wp:posOffset>
                </wp:positionH>
                <wp:positionV relativeFrom="paragraph">
                  <wp:posOffset>66040</wp:posOffset>
                </wp:positionV>
                <wp:extent cx="411480" cy="3175"/>
                <wp:effectExtent l="0" t="61595" r="7620" b="68580"/>
                <wp:wrapNone/>
                <wp:docPr id="256" name="直接箭头连接符 25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1.85pt;margin-top:5.2pt;height:0.25pt;width:32.4pt;z-index:251790336;mso-width-relative:page;mso-height-relative:page;" filled="f" stroked="t" coordsize="21600,21600" o:gfxdata="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eVr3NgAAAAJAQAADwAAAAAAAAABACAAAAAiAAAA&#10;ZHJzL2Rvd25yZXYueG1sUEsBAhQAFAAAAAgAh07iQON6AFAHAgAA4AMAAA4AAAAAAAAAAQAgAAAA&#10;JwEAAGRycy9lMm9Eb2MueG1sUEsFBgAAAAAGAAYAWQEAAKA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1563370</wp:posOffset>
                </wp:positionH>
                <wp:positionV relativeFrom="paragraph">
                  <wp:posOffset>97790</wp:posOffset>
                </wp:positionV>
                <wp:extent cx="411480" cy="3175"/>
                <wp:effectExtent l="0" t="61595" r="7620" b="68580"/>
                <wp:wrapNone/>
                <wp:docPr id="196" name="直接箭头连接符 19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3.1pt;margin-top:7.7pt;height:0.25pt;width:32.4pt;z-index:251726848;mso-width-relative:page;mso-height-relative:page;" filled="f" stroked="t" coordsize="21600,21600" o:gfxdata="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&#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YP6n2AAAAAkBAAAPAAAAAAAAAAEAIAAAACIAAABk&#10;cnMvZG93bnJldi54bWxQSwECFAAUAAAACACHTuJAmQqimQYCAADgAwAADgAAAAAAAAABACAAAAAn&#10;AQAAZHJzL2Uyb0RvYy54bWxQSwUGAAAAAAYABgBZAQAAnwUAAAAA&#10;">
                <v:fill on="f" focussize="0,0"/>
                <v:stroke weight="0.5pt" color="#000000 [3213]" joinstyle="round" endarrow="block" endarrowwidth="wide" endarrowlength="long"/>
                <v:imagedata o:title=""/>
                <o:lock v:ext="edit" aspectratio="f"/>
              </v:shape>
            </w:pict>
          </mc:Fallback>
        </mc:AlternateContent>
      </w:r>
    </w:p>
    <w:p w14:paraId="62DE78E8">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1120" behindDoc="0" locked="0" layoutInCell="1" allowOverlap="1">
                <wp:simplePos x="0" y="0"/>
                <wp:positionH relativeFrom="column">
                  <wp:posOffset>2433320</wp:posOffset>
                </wp:positionH>
                <wp:positionV relativeFrom="paragraph">
                  <wp:posOffset>42545</wp:posOffset>
                </wp:positionV>
                <wp:extent cx="3175" cy="215265"/>
                <wp:effectExtent l="61595" t="0" r="68580" b="13335"/>
                <wp:wrapNone/>
                <wp:docPr id="246" name="直接箭头连接符 246"/>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6pt;margin-top:3.35pt;height:16.95pt;width:0.25pt;z-index:251781120;mso-width-relative:page;mso-height-relative:page;" filled="f" stroked="t" coordsize="21600,21600" o:gfxdata="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eAgTjUAAAACAEAAA8AAAAAAAAAAQAgAAAA&#10;IgAAAGRycy9kb3ducmV2LnhtbFBLAQIUABQAAAAIAIdO4kBbUKl4DwIAAOsDAAAOAAAAAAAAAAEA&#10;IAAAACM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6D043974">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29920" behindDoc="0" locked="0" layoutInCell="1" allowOverlap="1">
                <wp:simplePos x="0" y="0"/>
                <wp:positionH relativeFrom="column">
                  <wp:posOffset>3297555</wp:posOffset>
                </wp:positionH>
                <wp:positionV relativeFrom="paragraph">
                  <wp:posOffset>102870</wp:posOffset>
                </wp:positionV>
                <wp:extent cx="744220" cy="28067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349E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65pt;margin-top:8.1pt;height:22.1pt;width:58.6pt;z-index:251729920;mso-width-relative:page;mso-height-relative:page;" filled="f" stroked="f" coordsize="21600,21600" o:gfxdata="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s/eg2gAAAAkBAAAPAAAAAAAAAAEAIAAAACIAAABk&#10;cnMvZG93bnJldi54bWxQSwECFAAUAAAACACHTuJAoOFBGz0CAABpBAAADgAAAAAAAAABACAAAAAp&#10;AQAAZHJzL2Uyb0RvYy54bWxQSwUGAAAAAAYABgBZAQAA2AUAAAAA&#10;">
                <v:fill on="f" focussize="0,0"/>
                <v:stroke on="f" weight="0.5pt"/>
                <v:imagedata o:title=""/>
                <o:lock v:ext="edit" aspectratio="f"/>
                <v:textbox>
                  <w:txbxContent>
                    <w:p w14:paraId="0DE349E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1146175</wp:posOffset>
                </wp:positionH>
                <wp:positionV relativeFrom="paragraph">
                  <wp:posOffset>92710</wp:posOffset>
                </wp:positionV>
                <wp:extent cx="744220" cy="28067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A6650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25pt;margin-top:7.3pt;height:22.1pt;width:58.6pt;z-index:251724800;mso-width-relative:page;mso-height-relative:page;" filled="f" stroked="f" coordsize="21600,21600" o:gfxdata="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z+1C9oAAAAJAQAADwAAAAAAAAABACAAAAAiAAAA&#10;ZHJzL2Rvd25yZXYueG1sUEsBAhQAFAAAAAgAh07iQC3uWS0+AgAAaQQAAA4AAAAAAAAAAQAgAAAA&#10;KQEAAGRycy9lMm9Eb2MueG1sUEsFBgAAAAAGAAYAWQEAANkFAAAAAA==&#10;">
                <v:fill on="f" focussize="0,0"/>
                <v:stroke on="f" weight="0.5pt"/>
                <v:imagedata o:title=""/>
                <o:lock v:ext="edit" aspectratio="f"/>
                <v:textbox>
                  <w:txbxContent>
                    <w:p w14:paraId="21A6650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1964055</wp:posOffset>
                </wp:positionH>
                <wp:positionV relativeFrom="paragraph">
                  <wp:posOffset>76835</wp:posOffset>
                </wp:positionV>
                <wp:extent cx="988060" cy="280670"/>
                <wp:effectExtent l="4445" t="4445" r="17145" b="19685"/>
                <wp:wrapNone/>
                <wp:docPr id="200" name="文本框 200"/>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93259EC">
                            <w:pPr>
                              <w:ind w:left="0" w:leftChars="0" w:firstLine="0" w:firstLineChars="0"/>
                              <w:jc w:val="center"/>
                              <w:rPr>
                                <w:rFonts w:hint="default" w:eastAsia="宋体"/>
                                <w:lang w:val="en-US" w:eastAsia="zh-CN"/>
                              </w:rPr>
                            </w:pPr>
                            <w:r>
                              <w:rPr>
                                <w:rFonts w:hint="eastAsia"/>
                                <w:lang w:val="en-US" w:eastAsia="zh-CN"/>
                              </w:rPr>
                              <w:t>二级水洗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65pt;margin-top:6.05pt;height:22.1pt;width:77.8pt;z-index:251742208;mso-width-relative:page;mso-height-relative:page;" fillcolor="#FFFFFF [3201]" filled="t" stroked="t" coordsize="21600,21600" o:gfxdata="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YTIYB1gAA&#10;AAkBAAAPAAAAAAAAAAEAIAAAACIAAABkcnMvZG93bnJldi54bWxQSwECFAAUAAAACACHTuJAC/Ce&#10;bVkCAAC6BAAADgAAAAAAAAABACAAAAAlAQAAZHJzL2Uyb0RvYy54bWxQSwUGAAAAAAYABgBZAQAA&#10;8AUAAAAA&#10;">
                <v:fill on="t" focussize="0,0"/>
                <v:stroke weight="0.5pt" color="#000000 [3204]" joinstyle="round"/>
                <v:imagedata o:title=""/>
                <o:lock v:ext="edit" aspectratio="f"/>
                <v:textbox>
                  <w:txbxContent>
                    <w:p w14:paraId="493259EC">
                      <w:pPr>
                        <w:ind w:left="0" w:leftChars="0" w:firstLine="0" w:firstLineChars="0"/>
                        <w:jc w:val="center"/>
                        <w:rPr>
                          <w:rFonts w:hint="default" w:eastAsia="宋体"/>
                          <w:lang w:val="en-US" w:eastAsia="zh-CN"/>
                        </w:rPr>
                      </w:pPr>
                      <w:r>
                        <w:rPr>
                          <w:rFonts w:hint="eastAsia"/>
                          <w:lang w:val="en-US" w:eastAsia="zh-CN"/>
                        </w:rPr>
                        <w:t>二级水洗</w:t>
                      </w:r>
                    </w:p>
                  </w:txbxContent>
                </v:textbox>
              </v:shape>
            </w:pict>
          </mc:Fallback>
        </mc:AlternateContent>
      </w:r>
    </w:p>
    <w:p w14:paraId="657D347A">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70880" behindDoc="0" locked="0" layoutInCell="1" allowOverlap="1">
                <wp:simplePos x="0" y="0"/>
                <wp:positionH relativeFrom="column">
                  <wp:posOffset>2964815</wp:posOffset>
                </wp:positionH>
                <wp:positionV relativeFrom="paragraph">
                  <wp:posOffset>48260</wp:posOffset>
                </wp:positionV>
                <wp:extent cx="411480" cy="3175"/>
                <wp:effectExtent l="0" t="61595" r="7620" b="68580"/>
                <wp:wrapNone/>
                <wp:docPr id="202" name="直接箭头连接符 202"/>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3.45pt;margin-top:3.8pt;height:0.25pt;width:32.4pt;z-index:251770880;mso-width-relative:page;mso-height-relative:page;" filled="f" stroked="t" coordsize="21600,21600" o:gfxdata="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6gVKk1wAAAAcBAAAPAAAAAAAAAAEAIAAAACIAAABk&#10;cnMvZG93bnJldi54bWxQSwECFAAUAAAACACHTuJAURth8QcCAADgAwAADgAAAAAAAAABACAAAAAm&#10;AQAAZHJzL2Uyb0RvYy54bWxQSwUGAAAAAAYABgBZAQAAnwU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1556385</wp:posOffset>
                </wp:positionH>
                <wp:positionV relativeFrom="paragraph">
                  <wp:posOffset>72390</wp:posOffset>
                </wp:positionV>
                <wp:extent cx="411480" cy="3175"/>
                <wp:effectExtent l="0" t="61595" r="7620" b="68580"/>
                <wp:wrapNone/>
                <wp:docPr id="201" name="直接箭头连接符 20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2.55pt;margin-top:5.7pt;height:0.25pt;width:32.4pt;z-index:251766784;mso-width-relative:page;mso-height-relative:page;" filled="f" stroked="t" coordsize="21600,21600" o:gfxdata="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RdVBNcAAAAJAQAADwAAAAAAAAABACAAAAAiAAAAZHJz&#10;L2Rvd25yZXYueG1sUEsBAhQAFAAAAAgAh07iQOOCJT4FAgAA4AMAAA4AAAAAAAAAAQAgAAAAJgEA&#10;AGRycy9lMm9Eb2MueG1sUEsFBgAAAAAGAAYAWQEAAJ0FAAAAAA==&#10;">
                <v:fill on="f" focussize="0,0"/>
                <v:stroke weight="0.5pt" color="#000000 [3213]" joinstyle="round" endarrow="block" endarrowwidth="wide" endarrowlength="long"/>
                <v:imagedata o:title=""/>
                <o:lock v:ext="edit" aspectratio="f"/>
              </v:shape>
            </w:pict>
          </mc:Fallback>
        </mc:AlternateContent>
      </w:r>
    </w:p>
    <w:p w14:paraId="3A7E4734">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2144" behindDoc="0" locked="0" layoutInCell="1" allowOverlap="1">
                <wp:simplePos x="0" y="0"/>
                <wp:positionH relativeFrom="column">
                  <wp:posOffset>2436495</wp:posOffset>
                </wp:positionH>
                <wp:positionV relativeFrom="paragraph">
                  <wp:posOffset>2540</wp:posOffset>
                </wp:positionV>
                <wp:extent cx="3175" cy="215265"/>
                <wp:effectExtent l="61595" t="0" r="68580" b="13335"/>
                <wp:wrapNone/>
                <wp:docPr id="247" name="直接箭头连接符 247"/>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85pt;margin-top:0.2pt;height:16.95pt;width:0.25pt;z-index:251782144;mso-width-relative:page;mso-height-relative:page;" filled="f" stroked="t" coordsize="21600,21600" o:gfxdata="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yhTn1AAAAAcBAAAPAAAAAAAAAAEAIAAA&#10;ACIAAABkcnMvZG93bnJldi54bWxQSwECFAAUAAAACACHTuJAy4zmxxACAADrAwAADgAAAAAAAAAB&#10;ACAAAAAj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3F8566E2">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3168" behindDoc="0" locked="0" layoutInCell="1" allowOverlap="1">
                <wp:simplePos x="0" y="0"/>
                <wp:positionH relativeFrom="column">
                  <wp:posOffset>3331210</wp:posOffset>
                </wp:positionH>
                <wp:positionV relativeFrom="paragraph">
                  <wp:posOffset>45085</wp:posOffset>
                </wp:positionV>
                <wp:extent cx="744220" cy="28067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11C1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含磷废水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3pt;margin-top:3.55pt;height:22.1pt;width:58.6pt;z-index:251783168;mso-width-relative:page;mso-height-relative:page;" filled="f" stroked="f" coordsize="21600,21600" o:gfxdata="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Mmmj92QAAAAgBAAAPAAAAAAAAAAEAIAAAACIAAABk&#10;cnMvZG93bnJldi54bWxQSwECFAAUAAAACACHTuJAsU6S6D4CAABpBAAADgAAAAAAAAABACAAAAAo&#10;AQAAZHJzL2Uyb0RvYy54bWxQSwUGAAAAAAYABgBZAQAA2AUAAAAA&#10;">
                <v:fill on="f" focussize="0,0"/>
                <v:stroke on="f" weight="0.5pt"/>
                <v:imagedata o:title=""/>
                <o:lock v:ext="edit" aspectratio="f"/>
                <v:textbox>
                  <w:txbxContent>
                    <w:p w14:paraId="42B11C1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含磷废水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76000" behindDoc="0" locked="0" layoutInCell="1" allowOverlap="1">
                <wp:simplePos x="0" y="0"/>
                <wp:positionH relativeFrom="column">
                  <wp:posOffset>1007110</wp:posOffset>
                </wp:positionH>
                <wp:positionV relativeFrom="paragraph">
                  <wp:posOffset>45720</wp:posOffset>
                </wp:positionV>
                <wp:extent cx="744220" cy="28067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37B35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化抛剂</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3pt;margin-top:3.6pt;height:22.1pt;width:58.6pt;z-index:251776000;mso-width-relative:page;mso-height-relative:page;" filled="f" stroked="f" coordsize="21600,21600" o:gfxdata="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PgLVvYAAAACAEAAA8AAAAAAAAAAQAgAAAAIgAAAGRy&#10;cy9kb3ducmV2LnhtbFBLAQIUABQAAAAIAIdO4kDPWDmxPgIAAGkEAAAOAAAAAAAAAAEAIAAAACcB&#10;AABkcnMvZTJvRG9jLnhtbFBLBQYAAAAABgAGAFkBAADXBQAAAAA=&#10;">
                <v:fill on="f" focussize="0,0"/>
                <v:stroke on="f" weight="0.5pt"/>
                <v:imagedata o:title=""/>
                <o:lock v:ext="edit" aspectratio="f"/>
                <v:textbox>
                  <w:txbxContent>
                    <w:p w14:paraId="4037B35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化抛剂</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58592" behindDoc="0" locked="0" layoutInCell="1" allowOverlap="1">
                <wp:simplePos x="0" y="0"/>
                <wp:positionH relativeFrom="column">
                  <wp:posOffset>1959610</wp:posOffset>
                </wp:positionH>
                <wp:positionV relativeFrom="paragraph">
                  <wp:posOffset>42545</wp:posOffset>
                </wp:positionV>
                <wp:extent cx="988060" cy="280670"/>
                <wp:effectExtent l="4445" t="4445" r="17145" b="19685"/>
                <wp:wrapNone/>
                <wp:docPr id="237" name="文本框 237"/>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E5F8408">
                            <w:pPr>
                              <w:ind w:left="0" w:leftChars="0" w:firstLine="0" w:firstLineChars="0"/>
                              <w:jc w:val="center"/>
                              <w:rPr>
                                <w:rFonts w:hint="default" w:eastAsia="宋体"/>
                                <w:lang w:val="en-US" w:eastAsia="zh-CN"/>
                              </w:rPr>
                            </w:pPr>
                            <w:r>
                              <w:rPr>
                                <w:rFonts w:hint="eastAsia"/>
                                <w:lang w:val="en-US" w:eastAsia="zh-CN"/>
                              </w:rPr>
                              <w:t>化学研磨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3pt;margin-top:3.35pt;height:22.1pt;width:77.8pt;z-index:251758592;mso-width-relative:page;mso-height-relative:page;" fillcolor="#FFFFFF [3201]" filled="t" stroked="t" coordsize="21600,21600" o:gfxdata="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xg7tNYA&#10;AAAIAQAADwAAAAAAAAABACAAAAAiAAAAZHJzL2Rvd25yZXYueG1sUEsBAhQAFAAAAAgAh07iQP07&#10;NZRaAgAAugQAAA4AAAAAAAAAAQAgAAAAJQEAAGRycy9lMm9Eb2MueG1sUEsFBgAAAAAGAAYAWQEA&#10;APEFAAAAAA==&#10;">
                <v:fill on="t" focussize="0,0"/>
                <v:stroke weight="0.5pt" color="#000000 [3204]" joinstyle="round"/>
                <v:imagedata o:title=""/>
                <o:lock v:ext="edit" aspectratio="f"/>
                <v:textbox>
                  <w:txbxContent>
                    <w:p w14:paraId="3E5F8408">
                      <w:pPr>
                        <w:ind w:left="0" w:leftChars="0" w:firstLine="0" w:firstLineChars="0"/>
                        <w:jc w:val="center"/>
                        <w:rPr>
                          <w:rFonts w:hint="default" w:eastAsia="宋体"/>
                          <w:lang w:val="en-US" w:eastAsia="zh-CN"/>
                        </w:rPr>
                      </w:pPr>
                      <w:r>
                        <w:rPr>
                          <w:rFonts w:hint="eastAsia"/>
                          <w:lang w:val="en-US" w:eastAsia="zh-CN"/>
                        </w:rPr>
                        <w:t>化学研磨</w:t>
                      </w:r>
                    </w:p>
                  </w:txbxContent>
                </v:textbox>
              </v:shape>
            </w:pict>
          </mc:Fallback>
        </mc:AlternateContent>
      </w:r>
    </w:p>
    <w:p w14:paraId="3DDED135">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78048" behindDoc="0" locked="0" layoutInCell="1" allowOverlap="1">
                <wp:simplePos x="0" y="0"/>
                <wp:positionH relativeFrom="column">
                  <wp:posOffset>2433955</wp:posOffset>
                </wp:positionH>
                <wp:positionV relativeFrom="paragraph">
                  <wp:posOffset>149225</wp:posOffset>
                </wp:positionV>
                <wp:extent cx="3175" cy="215265"/>
                <wp:effectExtent l="61595" t="0" r="68580" b="13335"/>
                <wp:wrapNone/>
                <wp:docPr id="249" name="直接箭头连接符 249"/>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65pt;margin-top:11.75pt;height:16.95pt;width:0.25pt;z-index:251778048;mso-width-relative:page;mso-height-relative:page;" filled="f" stroked="t" coordsize="21600,21600" o:gfxdata="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wKxPtUAAAAJAQAADwAAAAAAAAABACAA&#10;AAAiAAAAZHJzL2Rvd25yZXYueG1sUEsBAhQAFAAAAAgAh07iQG68jQgQAgAA6wMAAA4AAAAAAAAA&#10;AQAgAAAAJAEAAGRycy9lMm9Eb2MueG1sUEsFBgAAAAAGAAYAWQEAAKYFA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86240" behindDoc="0" locked="0" layoutInCell="1" allowOverlap="1">
                <wp:simplePos x="0" y="0"/>
                <wp:positionH relativeFrom="column">
                  <wp:posOffset>2950210</wp:posOffset>
                </wp:positionH>
                <wp:positionV relativeFrom="paragraph">
                  <wp:posOffset>8255</wp:posOffset>
                </wp:positionV>
                <wp:extent cx="411480" cy="3175"/>
                <wp:effectExtent l="0" t="61595" r="7620" b="68580"/>
                <wp:wrapNone/>
                <wp:docPr id="253" name="直接箭头连接符 253"/>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3pt;margin-top:0.65pt;height:0.25pt;width:32.4pt;z-index:251786240;mso-width-relative:page;mso-height-relative:page;" filled="f" stroked="t" coordsize="21600,21600" o:gfxdata="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8/7a9UAAAAHAQAADwAAAAAAAAABACAAAAAiAAAAZHJz&#10;L2Rvd25yZXYueG1sUEsBAhQAFAAAAAgAh07iQHTWvNoHAgAA4AMAAA4AAAAAAAAAAQAgAAAAJA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1546860</wp:posOffset>
                </wp:positionH>
                <wp:positionV relativeFrom="paragraph">
                  <wp:posOffset>4445</wp:posOffset>
                </wp:positionV>
                <wp:extent cx="411480" cy="3175"/>
                <wp:effectExtent l="0" t="61595" r="7620" b="68580"/>
                <wp:wrapNone/>
                <wp:docPr id="238" name="直接箭头连接符 23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8pt;margin-top:0.35pt;height:0.25pt;width:32.4pt;z-index:251773952;mso-width-relative:page;mso-height-relative:page;" filled="f" stroked="t" coordsize="21600,21600" o:gfxdata="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Z+Oi1AAAAAYBAAAPAAAAAAAAAAEAIAAAACIAAABkcnMv&#10;ZG93bnJldi54bWxQSwECFAAUAAAACACHTuJAB9LJGgcCAADgAwAADgAAAAAAAAABACAAAAAjAQAA&#10;ZHJzL2Uyb0RvYy54bWxQSwUGAAAAAAYABgBZAQAAnAUAAAAA&#10;">
                <v:fill on="f" focussize="0,0"/>
                <v:stroke weight="0.5pt" color="#000000 [3213]" joinstyle="round" endarrow="block" endarrowwidth="wide" endarrowlength="long"/>
                <v:imagedata o:title=""/>
                <o:lock v:ext="edit" aspectratio="f"/>
              </v:shape>
            </w:pict>
          </mc:Fallback>
        </mc:AlternateContent>
      </w:r>
    </w:p>
    <w:p w14:paraId="44E49516">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7264" behindDoc="0" locked="0" layoutInCell="1" allowOverlap="1">
                <wp:simplePos x="0" y="0"/>
                <wp:positionH relativeFrom="column">
                  <wp:posOffset>3316605</wp:posOffset>
                </wp:positionH>
                <wp:positionV relativeFrom="paragraph">
                  <wp:posOffset>168275</wp:posOffset>
                </wp:positionV>
                <wp:extent cx="744220" cy="28067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8BF1C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含磷废水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15pt;margin-top:13.25pt;height:22.1pt;width:58.6pt;z-index:251787264;mso-width-relative:page;mso-height-relative:page;" filled="f" stroked="f" coordsize="21600,21600" o:gfxdata="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oN8ifbAAAACQEAAA8AAAAAAAAAAQAgAAAAIgAA&#10;AGRycy9kb3ducmV2LnhtbFBLAQIUABQAAAAIAIdO4kA8QYrePgIAAGkEAAAOAAAAAAAAAAEAIAAA&#10;ACoBAABkcnMvZTJvRG9jLnhtbFBLBQYAAAAABgAGAFkBAADaBQAAAAA=&#10;">
                <v:fill on="f" focussize="0,0"/>
                <v:stroke on="f" weight="0.5pt"/>
                <v:imagedata o:title=""/>
                <o:lock v:ext="edit" aspectratio="f"/>
                <v:textbox>
                  <w:txbxContent>
                    <w:p w14:paraId="748BF1C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含磷废水</w:t>
                      </w:r>
                      <w:r>
                        <w:rPr>
                          <w:rFonts w:hint="eastAsia"/>
                          <w:lang w:val="en-US" w:eastAsia="zh-CN"/>
                          <w14:textFill>
                            <w14:noFill/>
                          </w14:textFill>
                        </w:rPr>
                        <w:t>除油</w:t>
                      </w:r>
                    </w:p>
                  </w:txbxContent>
                </v:textbox>
              </v:shape>
            </w:pict>
          </mc:Fallback>
        </mc:AlternateContent>
      </w:r>
    </w:p>
    <w:p w14:paraId="69C5926E">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5216" behindDoc="0" locked="0" layoutInCell="1" allowOverlap="1">
                <wp:simplePos x="0" y="0"/>
                <wp:positionH relativeFrom="column">
                  <wp:posOffset>2956560</wp:posOffset>
                </wp:positionH>
                <wp:positionV relativeFrom="paragraph">
                  <wp:posOffset>158115</wp:posOffset>
                </wp:positionV>
                <wp:extent cx="411480" cy="3175"/>
                <wp:effectExtent l="0" t="61595" r="7620" b="68580"/>
                <wp:wrapNone/>
                <wp:docPr id="251" name="直接箭头连接符 25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8pt;margin-top:12.45pt;height:0.25pt;width:32.4pt;z-index:251785216;mso-width-relative:page;mso-height-relative:page;" filled="f" stroked="t" coordsize="21600,21600" o:gfxdata="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ujdRDZAAAACQEAAA8AAAAAAAAAAQAgAAAAIgAA&#10;AGRycy9kb3ducmV2LnhtbFBLAQIUABQAAAAIAIdO4kCoOMRQBwIAAOADAAAOAAAAAAAAAAEAIAAA&#10;ACgBAABkcnMvZTJvRG9jLnhtbFBLBQYAAAAABgAGAFkBAACh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1090295</wp:posOffset>
                </wp:positionH>
                <wp:positionV relativeFrom="paragraph">
                  <wp:posOffset>8890</wp:posOffset>
                </wp:positionV>
                <wp:extent cx="744220" cy="28067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E1C5F">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85pt;margin-top:0.7pt;height:22.1pt;width:58.6pt;z-index:251784192;mso-width-relative:page;mso-height-relative:page;" filled="f" stroked="f" coordsize="21600,21600" o:gfxdata="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2wBwNkAAAAIAQAADwAAAAAAAAABACAAAAAiAAAAZHJz&#10;L2Rvd25yZXYueG1sUEsBAhQAFAAAAAgAh07iQIVw8jA8AgAAaQQAAA4AAAAAAAAAAQAgAAAAKAEA&#10;AGRycy9lMm9Eb2MueG1sUEsFBgAAAAAGAAYAWQEAANYFAAAAAA==&#10;">
                <v:fill on="f" focussize="0,0"/>
                <v:stroke on="f" weight="0.5pt"/>
                <v:imagedata o:title=""/>
                <o:lock v:ext="edit" aspectratio="f"/>
                <v:textbox>
                  <w:txbxContent>
                    <w:p w14:paraId="5DBE1C5F">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1534160</wp:posOffset>
                </wp:positionH>
                <wp:positionV relativeFrom="paragraph">
                  <wp:posOffset>160020</wp:posOffset>
                </wp:positionV>
                <wp:extent cx="411480" cy="3175"/>
                <wp:effectExtent l="0" t="61595" r="7620" b="68580"/>
                <wp:wrapNone/>
                <wp:docPr id="208" name="直接箭头连接符 20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0.8pt;margin-top:12.6pt;height:0.25pt;width:32.4pt;z-index:251766784;mso-width-relative:page;mso-height-relative:page;" filled="f" stroked="t" coordsize="21600,21600" o:gfxdata="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XZavtgAAAAJAQAADwAAAAAAAAABACAAAAAiAAAA&#10;ZHJzL2Rvd25yZXYueG1sUEsBAhQAFAAAAAgAh07iQD5EaT8HAgAA4AMAAA4AAAAAAAAAAQAgAAAA&#10;JwEAAGRycy9lMm9Eb2MueG1sUEsFBgAAAAAGAAYAWQEAAKA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74976" behindDoc="0" locked="0" layoutInCell="1" allowOverlap="1">
                <wp:simplePos x="0" y="0"/>
                <wp:positionH relativeFrom="column">
                  <wp:posOffset>1952625</wp:posOffset>
                </wp:positionH>
                <wp:positionV relativeFrom="paragraph">
                  <wp:posOffset>10160</wp:posOffset>
                </wp:positionV>
                <wp:extent cx="988060" cy="280670"/>
                <wp:effectExtent l="4445" t="4445" r="17145" b="19685"/>
                <wp:wrapNone/>
                <wp:docPr id="241" name="文本框 241"/>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8CC3866">
                            <w:pPr>
                              <w:ind w:left="0" w:leftChars="0" w:firstLine="0" w:firstLineChars="0"/>
                              <w:jc w:val="center"/>
                              <w:rPr>
                                <w:rFonts w:hint="default" w:eastAsia="宋体"/>
                                <w:lang w:val="en-US" w:eastAsia="zh-CN"/>
                              </w:rPr>
                            </w:pPr>
                            <w:r>
                              <w:rPr>
                                <w:rFonts w:hint="eastAsia"/>
                                <w:lang w:val="en-US" w:eastAsia="zh-CN"/>
                              </w:rPr>
                              <w:t>二级水洗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5pt;margin-top:0.8pt;height:22.1pt;width:77.8pt;z-index:251774976;mso-width-relative:page;mso-height-relative:page;" fillcolor="#FFFFFF [3201]" filled="t" stroked="t" coordsize="21600,21600" o:gfxdata="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rfilTVAAAA&#10;CAEAAA8AAAAAAAAAAQAgAAAAIgAAAGRycy9kb3ducmV2LnhtbFBLAQIUABQAAAAIAIdO4kDparKZ&#10;WQIAALoEAAAOAAAAAAAAAAEAIAAAACQBAABkcnMvZTJvRG9jLnhtbFBLBQYAAAAABgAGAFkBAADv&#10;BQAAAAA=&#10;">
                <v:fill on="t" focussize="0,0"/>
                <v:stroke weight="0.5pt" color="#000000 [3204]" joinstyle="round"/>
                <v:imagedata o:title=""/>
                <o:lock v:ext="edit" aspectratio="f"/>
                <v:textbox>
                  <w:txbxContent>
                    <w:p w14:paraId="38CC3866">
                      <w:pPr>
                        <w:ind w:left="0" w:leftChars="0" w:firstLine="0" w:firstLineChars="0"/>
                        <w:jc w:val="center"/>
                        <w:rPr>
                          <w:rFonts w:hint="default" w:eastAsia="宋体"/>
                          <w:lang w:val="en-US" w:eastAsia="zh-CN"/>
                        </w:rPr>
                      </w:pPr>
                      <w:r>
                        <w:rPr>
                          <w:rFonts w:hint="eastAsia"/>
                          <w:lang w:val="en-US" w:eastAsia="zh-CN"/>
                        </w:rPr>
                        <w:t>二级水洗</w:t>
                      </w:r>
                    </w:p>
                  </w:txbxContent>
                </v:textbox>
              </v:shape>
            </w:pict>
          </mc:Fallback>
        </mc:AlternateContent>
      </w:r>
    </w:p>
    <w:p w14:paraId="39E4D84B">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9312" behindDoc="0" locked="0" layoutInCell="1" allowOverlap="1">
                <wp:simplePos x="0" y="0"/>
                <wp:positionH relativeFrom="column">
                  <wp:posOffset>2413635</wp:posOffset>
                </wp:positionH>
                <wp:positionV relativeFrom="paragraph">
                  <wp:posOffset>133350</wp:posOffset>
                </wp:positionV>
                <wp:extent cx="3175" cy="215265"/>
                <wp:effectExtent l="61595" t="0" r="68580" b="13335"/>
                <wp:wrapNone/>
                <wp:docPr id="258" name="直接箭头连接符 258"/>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0.05pt;margin-top:10.5pt;height:16.95pt;width:0.25pt;z-index:251789312;mso-width-relative:page;mso-height-relative:page;" filled="f" stroked="t" coordsize="21600,21600" o:gfxdata="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z5HMbVAAAACQEAAA8AAAAAAAAAAQAgAAAA&#10;IgAAAGRycy9kb3ducmV2LnhtbFBLAQIUABQAAAAIAIdO4kBmvHJHDgIAAOsDAAAOAAAAAAAAAAEA&#10;IAAAACQ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058EA7FB">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88288" behindDoc="0" locked="0" layoutInCell="1" allowOverlap="1">
                <wp:simplePos x="0" y="0"/>
                <wp:positionH relativeFrom="column">
                  <wp:posOffset>1951355</wp:posOffset>
                </wp:positionH>
                <wp:positionV relativeFrom="paragraph">
                  <wp:posOffset>170180</wp:posOffset>
                </wp:positionV>
                <wp:extent cx="988060" cy="280670"/>
                <wp:effectExtent l="4445" t="4445" r="17145" b="19685"/>
                <wp:wrapNone/>
                <wp:docPr id="259" name="文本框 259"/>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5AC00C">
                            <w:pPr>
                              <w:ind w:left="0" w:leftChars="0" w:firstLine="0" w:firstLineChars="0"/>
                              <w:jc w:val="center"/>
                              <w:rPr>
                                <w:rFonts w:hint="default" w:eastAsia="宋体"/>
                                <w:lang w:val="en-US" w:eastAsia="zh-CN"/>
                              </w:rPr>
                            </w:pPr>
                            <w:r>
                              <w:rPr>
                                <w:rFonts w:hint="eastAsia"/>
                                <w:lang w:val="en-US" w:eastAsia="zh-CN"/>
                              </w:rPr>
                              <w:t>出光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65pt;margin-top:13.4pt;height:22.1pt;width:77.8pt;z-index:251788288;mso-width-relative:page;mso-height-relative:page;" fillcolor="#FFFFFF [3201]" filled="t" stroked="t" coordsize="21600,21600" o:gfxdata="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z3B9YA&#10;AAAJAQAADwAAAAAAAAABACAAAAAiAAAAZHJzL2Rvd25yZXYueG1sUEsBAhQAFAAAAAgAh07iQFCq&#10;E7xaAgAAugQAAA4AAAAAAAAAAQAgAAAAJQEAAGRycy9lMm9Eb2MueG1sUEsFBgAAAAAGAAYAWQEA&#10;APEFAAAAAA==&#10;">
                <v:fill on="t" focussize="0,0"/>
                <v:stroke weight="0.5pt" color="#000000 [3204]" joinstyle="round"/>
                <v:imagedata o:title=""/>
                <o:lock v:ext="edit" aspectratio="f"/>
                <v:textbox>
                  <w:txbxContent>
                    <w:p w14:paraId="1B5AC00C">
                      <w:pPr>
                        <w:ind w:left="0" w:leftChars="0" w:firstLine="0" w:firstLineChars="0"/>
                        <w:jc w:val="center"/>
                        <w:rPr>
                          <w:rFonts w:hint="default" w:eastAsia="宋体"/>
                          <w:lang w:val="en-US" w:eastAsia="zh-CN"/>
                        </w:rPr>
                      </w:pPr>
                      <w:r>
                        <w:rPr>
                          <w:rFonts w:hint="eastAsia"/>
                          <w:lang w:val="en-US" w:eastAsia="zh-CN"/>
                        </w:rPr>
                        <w:t>出光</w:t>
                      </w:r>
                    </w:p>
                  </w:txbxContent>
                </v:textbox>
              </v:shape>
            </w:pict>
          </mc:Fallback>
        </mc:AlternateContent>
      </w:r>
    </w:p>
    <w:p w14:paraId="2F579B50">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96480" behindDoc="0" locked="0" layoutInCell="1" allowOverlap="1">
                <wp:simplePos x="0" y="0"/>
                <wp:positionH relativeFrom="column">
                  <wp:posOffset>709295</wp:posOffset>
                </wp:positionH>
                <wp:positionV relativeFrom="paragraph">
                  <wp:posOffset>29210</wp:posOffset>
                </wp:positionV>
                <wp:extent cx="981710" cy="28067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98171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5C07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无氮中和剂</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85pt;margin-top:2.3pt;height:22.1pt;width:77.3pt;z-index:251796480;mso-width-relative:page;mso-height-relative:page;" filled="f" stroked="f" coordsize="21600,21600" o:gfxdata="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4fLyq2AAAAAgBAAAPAAAAAAAAAAEAIAAAACIAAABk&#10;cnMvZG93bnJldi54bWxQSwECFAAUAAAACACHTuJAT3Wvfz8CAABpBAAADgAAAAAAAAABACAAAAAn&#10;AQAAZHJzL2Uyb0RvYy54bWxQSwUGAAAAAAYABgBZAQAA2AUAAAAA&#10;">
                <v:fill on="f" focussize="0,0"/>
                <v:stroke on="f" weight="0.5pt"/>
                <v:imagedata o:title=""/>
                <o:lock v:ext="edit" aspectratio="f"/>
                <v:textbox>
                  <w:txbxContent>
                    <w:p w14:paraId="2B05C07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无氮中和剂</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3360420</wp:posOffset>
                </wp:positionH>
                <wp:positionV relativeFrom="paragraph">
                  <wp:posOffset>18415</wp:posOffset>
                </wp:positionV>
                <wp:extent cx="744220" cy="28067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D5153">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6pt;margin-top:1.45pt;height:22.1pt;width:58.6pt;z-index:251797504;mso-width-relative:page;mso-height-relative:page;" filled="f" stroked="f" coordsize="21600,21600" o:gfxdata="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&#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v1qZNoAAAAIAQAADwAAAAAAAAABACAAAAAiAAAA&#10;ZHJzL2Rvd25yZXYueG1sUEsBAhQAFAAAAAgAh07iQGhB8zI+AgAAaQQAAA4AAAAAAAAAAQAgAAAA&#10;KQEAAGRycy9lMm9Eb2MueG1sUEsFBgAAAAAGAAYAWQEAANkFAAAAAA==&#10;">
                <v:fill on="f" focussize="0,0"/>
                <v:stroke on="f" weight="0.5pt"/>
                <v:imagedata o:title=""/>
                <o:lock v:ext="edit" aspectratio="f"/>
                <v:textbox>
                  <w:txbxContent>
                    <w:p w14:paraId="4D7D5153">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2949575</wp:posOffset>
                </wp:positionH>
                <wp:positionV relativeFrom="paragraph">
                  <wp:posOffset>155575</wp:posOffset>
                </wp:positionV>
                <wp:extent cx="411480" cy="3175"/>
                <wp:effectExtent l="0" t="61595" r="7620" b="68580"/>
                <wp:wrapNone/>
                <wp:docPr id="261" name="直接箭头连接符 26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25pt;margin-top:12.25pt;height:0.25pt;width:32.4pt;z-index:251795456;mso-width-relative:page;mso-height-relative:page;" filled="f" stroked="t" coordsize="21600,21600" o:gfxdata="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2ty9HZAAAACQEAAA8AAAAAAAAAAQAgAAAAIgAA&#10;AGRycy9kb3ducmV2LnhtbFBLAQIUABQAAAAIAIdO4kCRrmR1BwIAAOADAAAOAAAAAAAAAAEAIAAA&#10;ACgBAABkcnMvZTJvRG9jLnhtbFBLBQYAAAAABgAGAFkBAACh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92384" behindDoc="0" locked="0" layoutInCell="1" allowOverlap="1">
                <wp:simplePos x="0" y="0"/>
                <wp:positionH relativeFrom="column">
                  <wp:posOffset>1556385</wp:posOffset>
                </wp:positionH>
                <wp:positionV relativeFrom="paragraph">
                  <wp:posOffset>161290</wp:posOffset>
                </wp:positionV>
                <wp:extent cx="411480" cy="3175"/>
                <wp:effectExtent l="0" t="61595" r="7620" b="68580"/>
                <wp:wrapNone/>
                <wp:docPr id="260" name="直接箭头连接符 260"/>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2.55pt;margin-top:12.7pt;height:0.25pt;width:32.4pt;z-index:251792384;mso-width-relative:page;mso-height-relative:page;" filled="f" stroked="t" coordsize="21600,21600" o:gfxdata="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&#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KB0S2AAAAAkBAAAPAAAAAAAAAAEAIAAAACIAAABk&#10;cnMvZG93bnJldi54bWxQSwECFAAUAAAACACHTuJA/9lYMAYCAADgAwAADgAAAAAAAAABACAAAAAn&#10;AQAAZHJzL2Uyb0RvYy54bWxQSwUGAAAAAAYABgBZAQAAnwUAAAAA&#10;">
                <v:fill on="f" focussize="0,0"/>
                <v:stroke weight="0.5pt" color="#000000 [3213]" joinstyle="round" endarrow="block" endarrowwidth="wide" endarrowlength="long"/>
                <v:imagedata o:title=""/>
                <o:lock v:ext="edit" aspectratio="f"/>
              </v:shape>
            </w:pict>
          </mc:Fallback>
        </mc:AlternateContent>
      </w:r>
    </w:p>
    <w:p w14:paraId="2C6840C8">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94432" behindDoc="0" locked="0" layoutInCell="1" allowOverlap="1">
                <wp:simplePos x="0" y="0"/>
                <wp:positionH relativeFrom="column">
                  <wp:posOffset>2405380</wp:posOffset>
                </wp:positionH>
                <wp:positionV relativeFrom="paragraph">
                  <wp:posOffset>117475</wp:posOffset>
                </wp:positionV>
                <wp:extent cx="3175" cy="215265"/>
                <wp:effectExtent l="61595" t="0" r="68580" b="13335"/>
                <wp:wrapNone/>
                <wp:docPr id="264" name="直接箭头连接符 264"/>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9.4pt;margin-top:9.25pt;height:16.95pt;width:0.25pt;z-index:251794432;mso-width-relative:page;mso-height-relative:page;" filled="f" stroked="t" coordsize="21600,21600" o:gfxdata="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tO6xtYAAAAJAQAADwAAAAAAAAABACAA&#10;AAAiAAAAZHJzL2Rvd25yZXYueG1sUEsBAhQAFAAAAAgAh07iQEtQV+cPAgAA6wMAAA4AAAAAAAAA&#10;AQAgAAAAJQEAAGRycy9lMm9Eb2MueG1sUEsFBgAAAAAGAAYAWQEAAKYFAAAAAA==&#10;">
                <v:fill on="f" focussize="0,0"/>
                <v:stroke weight="2pt" color="#000000 [3213]" joinstyle="round" endarrow="block" endarrowwidth="wide" endarrowlength="long"/>
                <v:imagedata o:title=""/>
                <o:lock v:ext="edit" aspectratio="f"/>
              </v:shape>
            </w:pict>
          </mc:Fallback>
        </mc:AlternateContent>
      </w:r>
    </w:p>
    <w:p w14:paraId="09DEA832">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93408" behindDoc="0" locked="0" layoutInCell="1" allowOverlap="1">
                <wp:simplePos x="0" y="0"/>
                <wp:positionH relativeFrom="column">
                  <wp:posOffset>1956435</wp:posOffset>
                </wp:positionH>
                <wp:positionV relativeFrom="paragraph">
                  <wp:posOffset>124460</wp:posOffset>
                </wp:positionV>
                <wp:extent cx="988060" cy="280670"/>
                <wp:effectExtent l="4445" t="4445" r="17145" b="19685"/>
                <wp:wrapNone/>
                <wp:docPr id="266" name="文本框 266"/>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A419D2">
                            <w:pPr>
                              <w:ind w:left="0" w:leftChars="0" w:firstLine="0" w:firstLineChars="0"/>
                              <w:jc w:val="center"/>
                              <w:rPr>
                                <w:rFonts w:hint="default" w:eastAsia="宋体"/>
                                <w:lang w:val="en-US" w:eastAsia="zh-CN"/>
                              </w:rPr>
                            </w:pPr>
                            <w:r>
                              <w:rPr>
                                <w:rFonts w:hint="eastAsia"/>
                                <w:lang w:val="en-US" w:eastAsia="zh-CN"/>
                              </w:rPr>
                              <w:t>一级水洗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05pt;margin-top:9.8pt;height:22.1pt;width:77.8pt;z-index:251793408;mso-width-relative:page;mso-height-relative:page;" fillcolor="#FFFFFF [3201]" filled="t" stroked="t" coordsize="21600,21600" o:gfxdata="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RSGrNYA&#10;AAAJAQAADwAAAAAAAAABACAAAAAiAAAAZHJzL2Rvd25yZXYueG1sUEsBAhQAFAAAAAgAh07iQJ40&#10;pihaAgAAugQAAA4AAAAAAAAAAQAgAAAAJQEAAGRycy9lMm9Eb2MueG1sUEsFBgAAAAAGAAYAWQEA&#10;APEFAAAAAA==&#10;">
                <v:fill on="t" focussize="0,0"/>
                <v:stroke weight="0.5pt" color="#000000 [3204]" joinstyle="round"/>
                <v:imagedata o:title=""/>
                <o:lock v:ext="edit" aspectratio="f"/>
                <v:textbox>
                  <w:txbxContent>
                    <w:p w14:paraId="25A419D2">
                      <w:pPr>
                        <w:ind w:left="0" w:leftChars="0" w:firstLine="0" w:firstLineChars="0"/>
                        <w:jc w:val="center"/>
                        <w:rPr>
                          <w:rFonts w:hint="default" w:eastAsia="宋体"/>
                          <w:lang w:val="en-US" w:eastAsia="zh-CN"/>
                        </w:rPr>
                      </w:pPr>
                      <w:r>
                        <w:rPr>
                          <w:rFonts w:hint="eastAsia"/>
                          <w:lang w:val="en-US" w:eastAsia="zh-CN"/>
                        </w:rPr>
                        <w:t>一级水洗</w:t>
                      </w:r>
                    </w:p>
                  </w:txbxContent>
                </v:textbox>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1101725</wp:posOffset>
                </wp:positionH>
                <wp:positionV relativeFrom="paragraph">
                  <wp:posOffset>107315</wp:posOffset>
                </wp:positionV>
                <wp:extent cx="663575" cy="28067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66357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75A1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6.75pt;margin-top:8.45pt;height:22.1pt;width:52.25pt;z-index:251802624;mso-width-relative:page;mso-height-relative:page;" filled="f" stroked="f" coordsize="21600,21600" o:gfxdata="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&#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MVXOX2QAAAAkBAAAPAAAAAAAAAAEAIAAAACIAAABk&#10;cnMvZG93bnJldi54bWxQSwECFAAUAAAACACHTuJADPx7dT4CAABpBAAADgAAAAAAAAABACAAAAAo&#10;AQAAZHJzL2Uyb0RvYy54bWxQSwUGAAAAAAYABgBZAQAA2AUAAAAA&#10;">
                <v:fill on="f" focussize="0,0"/>
                <v:stroke on="f" weight="0.5pt"/>
                <v:imagedata o:title=""/>
                <o:lock v:ext="edit" aspectratio="f"/>
                <v:textbox>
                  <w:txbxContent>
                    <w:p w14:paraId="58975A1B">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99552" behindDoc="0" locked="0" layoutInCell="1" allowOverlap="1">
                <wp:simplePos x="0" y="0"/>
                <wp:positionH relativeFrom="column">
                  <wp:posOffset>3381375</wp:posOffset>
                </wp:positionH>
                <wp:positionV relativeFrom="paragraph">
                  <wp:posOffset>112395</wp:posOffset>
                </wp:positionV>
                <wp:extent cx="744220" cy="28067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2EF5E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25pt;margin-top:8.85pt;height:22.1pt;width:58.6pt;z-index:251799552;mso-width-relative:page;mso-height-relative:page;" filled="f" stroked="f" coordsize="21600,21600" o:gfxdata="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y792doAAAAJAQAADwAAAAAAAAABACAAAAAiAAAA&#10;ZHJzL2Rvd25yZXYueG1sUEsBAhQAFAAAAAgAh07iQNYragM+AgAAaQQAAA4AAAAAAAAAAQAgAAAA&#10;KQEAAGRycy9lMm9Eb2MueG1sUEsFBgAAAAAGAAYAWQEAANkFAAAAAA==&#10;">
                <v:fill on="f" focussize="0,0"/>
                <v:stroke on="f" weight="0.5pt"/>
                <v:imagedata o:title=""/>
                <o:lock v:ext="edit" aspectratio="f"/>
                <v:textbox>
                  <w:txbxContent>
                    <w:p w14:paraId="422EF5E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p>
    <w:p w14:paraId="5FD17517">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98528" behindDoc="0" locked="0" layoutInCell="1" allowOverlap="1">
                <wp:simplePos x="0" y="0"/>
                <wp:positionH relativeFrom="column">
                  <wp:posOffset>1558925</wp:posOffset>
                </wp:positionH>
                <wp:positionV relativeFrom="paragraph">
                  <wp:posOffset>79375</wp:posOffset>
                </wp:positionV>
                <wp:extent cx="411480" cy="3175"/>
                <wp:effectExtent l="0" t="61595" r="7620" b="68580"/>
                <wp:wrapNone/>
                <wp:docPr id="267" name="直接箭头连接符 267"/>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2.75pt;margin-top:6.25pt;height:0.25pt;width:32.4pt;z-index:251798528;mso-width-relative:page;mso-height-relative:page;" filled="f" stroked="t" coordsize="21600,21600" o:gfxdata="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&#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2u4H1wAAAAkBAAAPAAAAAAAAAAEAIAAAACIAAABk&#10;cnMvZG93bnJldi54bWxQSwECFAAUAAAACACHTuJAtJucMAcCAADgAwAADgAAAAAAAAABACAAAAAm&#10;AQAAZHJzL2Uyb0RvYy54bWxQSwUGAAAAAAYABgBZAQAAnwU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801600" behindDoc="0" locked="0" layoutInCell="1" allowOverlap="1">
                <wp:simplePos x="0" y="0"/>
                <wp:positionH relativeFrom="column">
                  <wp:posOffset>2964815</wp:posOffset>
                </wp:positionH>
                <wp:positionV relativeFrom="paragraph">
                  <wp:posOffset>73660</wp:posOffset>
                </wp:positionV>
                <wp:extent cx="411480" cy="3175"/>
                <wp:effectExtent l="0" t="61595" r="7620" b="68580"/>
                <wp:wrapNone/>
                <wp:docPr id="268" name="直接箭头连接符 268"/>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3.45pt;margin-top:5.8pt;height:0.25pt;width:32.4pt;z-index:251801600;mso-width-relative:page;mso-height-relative:page;" filled="f" stroked="t" coordsize="21600,21600" o:gfxdata="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Rv86tgAAAAJAQAADwAAAAAAAAABACAAAAAiAAAA&#10;ZHJzL2Rvd25yZXYueG1sUEsBAhQAFAAAAAgAh07iQExoKHQHAgAA4AMAAA4AAAAAAAAAAQAgAAAA&#10;JwEAAGRycy9lMm9Eb2MueG1sUEsFBgAAAAAGAAYAWQEAAKAFAAAAAA==&#10;">
                <v:fill on="f" focussize="0,0"/>
                <v:stroke weight="0.5pt" color="#000000 [3213]" joinstyle="round" endarrow="block" endarrowwidth="wide" endarrowlength="long"/>
                <v:imagedata o:title=""/>
                <o:lock v:ext="edit" aspectratio="f"/>
              </v:shape>
            </w:pict>
          </mc:Fallback>
        </mc:AlternateContent>
      </w:r>
    </w:p>
    <w:p w14:paraId="2500F73D">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00576" behindDoc="0" locked="0" layoutInCell="1" allowOverlap="1">
                <wp:simplePos x="0" y="0"/>
                <wp:positionH relativeFrom="column">
                  <wp:posOffset>2426335</wp:posOffset>
                </wp:positionH>
                <wp:positionV relativeFrom="paragraph">
                  <wp:posOffset>59690</wp:posOffset>
                </wp:positionV>
                <wp:extent cx="3175" cy="215265"/>
                <wp:effectExtent l="61595" t="0" r="68580" b="13335"/>
                <wp:wrapNone/>
                <wp:docPr id="272" name="直接箭头连接符 272"/>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05pt;margin-top:4.7pt;height:16.95pt;width:0.25pt;z-index:251800576;mso-width-relative:page;mso-height-relative:page;" filled="f" stroked="t" coordsize="21600,21600" o:gfxdata="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s686nUAAAACAEAAA8AAAAAAAAAAQAgAAAA&#10;IgAAAGRycy9kb3ducmV2LnhtbFBLAQIUABQAAAAIAIdO4kAxS6UiDwIAAOsDAAAOAAAAAAAAAAEA&#10;IAAAACM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5F45C473">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56544" behindDoc="0" locked="0" layoutInCell="1" allowOverlap="1">
                <wp:simplePos x="0" y="0"/>
                <wp:positionH relativeFrom="column">
                  <wp:posOffset>716915</wp:posOffset>
                </wp:positionH>
                <wp:positionV relativeFrom="paragraph">
                  <wp:posOffset>102235</wp:posOffset>
                </wp:positionV>
                <wp:extent cx="1082675" cy="28067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08267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1CAE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硫酸、硝酸</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5pt;margin-top:8.05pt;height:22.1pt;width:85.25pt;z-index:251756544;mso-width-relative:page;mso-height-relative:page;" filled="f" stroked="f" coordsize="21600,21600" o:gfxdata="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7CSJ7ZAAAACQEAAA8AAAAAAAAAAQAgAAAAIgAAAGRy&#10;cy9kb3ducmV2LnhtbFBLAQIUABQAAAAIAIdO4kBDFxZUPQIAAGoEAAAOAAAAAAAAAAEAIAAAACgB&#10;AABkcnMvZTJvRG9jLnhtbFBLBQYAAAAABgAGAFkBAADXBQAAAAA=&#10;">
                <v:fill on="f" focussize="0,0"/>
                <v:stroke on="f" weight="0.5pt"/>
                <v:imagedata o:title=""/>
                <o:lock v:ext="edit" aspectratio="f"/>
                <v:textbox>
                  <w:txbxContent>
                    <w:p w14:paraId="42D1CAE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硫酸、硝酸</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3323590</wp:posOffset>
                </wp:positionH>
                <wp:positionV relativeFrom="paragraph">
                  <wp:posOffset>113665</wp:posOffset>
                </wp:positionV>
                <wp:extent cx="1167765" cy="28067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16776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E4FE7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酸雾、氮氧化物</w:t>
                            </w:r>
                            <w:r>
                              <w:rPr>
                                <w:rFonts w:hint="eastAsia"/>
                                <w:lang w:val="en-US" w:eastAsia="zh-CN"/>
                                <w14:textFill>
                                  <w14:noFill/>
                                </w14:textFill>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7pt;margin-top:8.95pt;height:22.1pt;width:91.95pt;z-index:251748352;mso-width-relative:page;mso-height-relative:page;" filled="f" stroked="f" coordsize="21600,21600" o:gfxdata="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b++MtsAAAAJAQAADwAAAAAAAAABACAAAAAiAAAA&#10;ZHJzL2Rvd25yZXYueG1sUEsBAhQAFAAAAAgAh07iQDRpd+Y9AgAAagQAAA4AAAAAAAAAAQAgAAAA&#10;KgEAAGRycy9lMm9Eb2MueG1sUEsFBgAAAAAGAAYAWQEAANkFAAAAAA==&#10;">
                <v:fill on="f" focussize="0,0"/>
                <v:stroke on="f" weight="0.5pt"/>
                <v:imagedata o:title=""/>
                <o:lock v:ext="edit" aspectratio="f"/>
                <v:textbox>
                  <w:txbxContent>
                    <w:p w14:paraId="66E4FE7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酸雾、氮氧化物</w:t>
                      </w:r>
                      <w:r>
                        <w:rPr>
                          <w:rFonts w:hint="eastAsia"/>
                          <w:lang w:val="en-US" w:eastAsia="zh-CN"/>
                          <w14:textFill>
                            <w14:noFill/>
                          </w14:textFill>
                        </w:rPr>
                        <w:t>油</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1934845</wp:posOffset>
                </wp:positionH>
                <wp:positionV relativeFrom="paragraph">
                  <wp:posOffset>124460</wp:posOffset>
                </wp:positionV>
                <wp:extent cx="988060" cy="280670"/>
                <wp:effectExtent l="4445" t="4445" r="17145" b="19685"/>
                <wp:wrapNone/>
                <wp:docPr id="206" name="文本框 206"/>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FCF804">
                            <w:pPr>
                              <w:ind w:left="0" w:leftChars="0" w:firstLine="0" w:firstLineChars="0"/>
                              <w:jc w:val="center"/>
                              <w:rPr>
                                <w:rFonts w:hint="default" w:eastAsia="宋体"/>
                                <w:lang w:val="en-US" w:eastAsia="zh-CN"/>
                              </w:rPr>
                            </w:pPr>
                            <w:r>
                              <w:rPr>
                                <w:rFonts w:hint="eastAsia"/>
                                <w:lang w:val="en-US" w:eastAsia="zh-CN"/>
                              </w:rPr>
                              <w:t>阳极氧化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35pt;margin-top:9.8pt;height:22.1pt;width:77.8pt;z-index:251744256;mso-width-relative:page;mso-height-relative:page;" fillcolor="#FFFFFF [3201]" filled="t" stroked="t" coordsize="21600,21600" o:gfxdata="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MTxMzW&#10;AAAACQEAAA8AAAAAAAAAAQAgAAAAIgAAAGRycy9kb3ducmV2LnhtbFBLAQIUABQAAAAIAIdO4kDZ&#10;T1ZAWwIAALoEAAAOAAAAAAAAAAEAIAAAACUBAABkcnMvZTJvRG9jLnhtbFBLBQYAAAAABgAGAFkB&#10;AADyBQAAAAA=&#10;">
                <v:fill on="t" focussize="0,0"/>
                <v:stroke weight="0.5pt" color="#000000 [3204]" joinstyle="round"/>
                <v:imagedata o:title=""/>
                <o:lock v:ext="edit" aspectratio="f"/>
                <v:textbox>
                  <w:txbxContent>
                    <w:p w14:paraId="53FCF804">
                      <w:pPr>
                        <w:ind w:left="0" w:leftChars="0" w:firstLine="0" w:firstLineChars="0"/>
                        <w:jc w:val="center"/>
                        <w:rPr>
                          <w:rFonts w:hint="default" w:eastAsia="宋体"/>
                          <w:lang w:val="en-US" w:eastAsia="zh-CN"/>
                        </w:rPr>
                      </w:pPr>
                      <w:r>
                        <w:rPr>
                          <w:rFonts w:hint="eastAsia"/>
                          <w:lang w:val="en-US" w:eastAsia="zh-CN"/>
                        </w:rPr>
                        <w:t>阳极氧化</w:t>
                      </w:r>
                    </w:p>
                  </w:txbxContent>
                </v:textbox>
              </v:shape>
            </w:pict>
          </mc:Fallback>
        </mc:AlternateContent>
      </w:r>
    </w:p>
    <w:p w14:paraId="11306A4F">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03648" behindDoc="0" locked="0" layoutInCell="1" allowOverlap="1">
                <wp:simplePos x="0" y="0"/>
                <wp:positionH relativeFrom="column">
                  <wp:posOffset>1527175</wp:posOffset>
                </wp:positionH>
                <wp:positionV relativeFrom="paragraph">
                  <wp:posOffset>86995</wp:posOffset>
                </wp:positionV>
                <wp:extent cx="411480" cy="3175"/>
                <wp:effectExtent l="0" t="61595" r="7620" b="68580"/>
                <wp:wrapNone/>
                <wp:docPr id="274" name="直接箭头连接符 274"/>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0.25pt;margin-top:6.85pt;height:0.25pt;width:32.4pt;z-index:251803648;mso-width-relative:page;mso-height-relative:page;" filled="f" stroked="t" coordsize="21600,21600" o:gfxdata="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&#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SRRsfXAAAACQEAAA8AAAAAAAAAAQAgAAAAIgAAAGRy&#10;cy9kb3ducmV2LnhtbFBLAQIUABQAAAAIAIdO4kAucpdVBgIAAOA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53472" behindDoc="0" locked="0" layoutInCell="1" allowOverlap="1">
                <wp:simplePos x="0" y="0"/>
                <wp:positionH relativeFrom="column">
                  <wp:posOffset>2917190</wp:posOffset>
                </wp:positionH>
                <wp:positionV relativeFrom="paragraph">
                  <wp:posOffset>91440</wp:posOffset>
                </wp:positionV>
                <wp:extent cx="411480" cy="3175"/>
                <wp:effectExtent l="0" t="61595" r="7620" b="68580"/>
                <wp:wrapNone/>
                <wp:docPr id="207" name="直接箭头连接符 207"/>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9.7pt;margin-top:7.2pt;height:0.25pt;width:32.4pt;z-index:251753472;mso-width-relative:page;mso-height-relative:page;" filled="f" stroked="t" coordsize="21600,21600" o:gfxdata="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&#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h4VvYAAAACQEAAA8AAAAAAAAAAQAgAAAAIgAAAGRy&#10;cy9kb3ducmV2LnhtbFBLAQIUABQAAAAIAIdO4kDGt917BQIAAOADAAAOAAAAAAAAAAEAIAAAACcB&#10;AABkcnMvZTJvRG9jLnhtbFBLBQYAAAAABgAGAFkBAACeBQAAAAA=&#10;">
                <v:fill on="f" focussize="0,0"/>
                <v:stroke weight="0.5pt" color="#000000 [3213]" joinstyle="round" endarrow="block" endarrowwidth="wide" endarrowlength="long"/>
                <v:imagedata o:title=""/>
                <o:lock v:ext="edit" aspectratio="f"/>
              </v:shape>
            </w:pict>
          </mc:Fallback>
        </mc:AlternateContent>
      </w:r>
    </w:p>
    <w:p w14:paraId="77F90BA2">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04672" behindDoc="0" locked="0" layoutInCell="1" allowOverlap="1">
                <wp:simplePos x="0" y="0"/>
                <wp:positionH relativeFrom="column">
                  <wp:posOffset>2442210</wp:posOffset>
                </wp:positionH>
                <wp:positionV relativeFrom="paragraph">
                  <wp:posOffset>67310</wp:posOffset>
                </wp:positionV>
                <wp:extent cx="3175" cy="215265"/>
                <wp:effectExtent l="61595" t="0" r="68580" b="13335"/>
                <wp:wrapNone/>
                <wp:docPr id="275" name="直接箭头连接符 275"/>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3pt;margin-top:5.3pt;height:16.95pt;width:0.25pt;z-index:251804672;mso-width-relative:page;mso-height-relative:page;" filled="f" stroked="t" coordsize="21600,21600" o:gfxdata="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PHc13WAAAACQEAAA8AAAAAAAAAAQAgAAAA&#10;IgAAAGRycy9kb3ducmV2LnhtbFBLAQIUABQAAAAIAIdO4kBDUKioDQIAAOsDAAAOAAAAAAAAAAEA&#10;IAAAACU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2F5AF567">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69856" behindDoc="0" locked="0" layoutInCell="1" allowOverlap="1">
                <wp:simplePos x="0" y="0"/>
                <wp:positionH relativeFrom="column">
                  <wp:posOffset>3369945</wp:posOffset>
                </wp:positionH>
                <wp:positionV relativeFrom="paragraph">
                  <wp:posOffset>76200</wp:posOffset>
                </wp:positionV>
                <wp:extent cx="744220" cy="28067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043EB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35pt;margin-top:6pt;height:22.1pt;width:58.6pt;z-index:251769856;mso-width-relative:page;mso-height-relative:page;" filled="f" stroked="f" coordsize="21600,21600" o:gfxdata="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kuIbl2gAAAAkBAAAPAAAAAAAAAAEAIAAAACIAAABk&#10;cnMvZG93bnJldi54bWxQSwECFAAUAAAACACHTuJADuSeET0CAABpBAAADgAAAAAAAAABACAAAAAp&#10;AQAAZHJzL2Uyb0RvYy54bWxQSwUGAAAAAAYABgBZAQAA2AUAAAAA&#10;">
                <v:fill on="f" focussize="0,0"/>
                <v:stroke on="f" weight="0.5pt"/>
                <v:imagedata o:title=""/>
                <o:lock v:ext="edit" aspectratio="f"/>
                <v:textbox>
                  <w:txbxContent>
                    <w:p w14:paraId="09043EB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1054100</wp:posOffset>
                </wp:positionH>
                <wp:positionV relativeFrom="paragraph">
                  <wp:posOffset>48895</wp:posOffset>
                </wp:positionV>
                <wp:extent cx="744220" cy="28067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5BD2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pt;margin-top:3.85pt;height:22.1pt;width:58.6pt;z-index:251725824;mso-width-relative:page;mso-height-relative:page;" filled="f" stroked="f" coordsize="21600,21600" o:gfxdata="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xKiH2gAAAAgBAAAPAAAAAAAAAAEAIAAAACIAAABk&#10;cnMvZG93bnJldi54bWxQSwECFAAUAAAACACHTuJAg+uGJz0CAABpBAAADgAAAAAAAAABACAAAAAp&#10;AQAAZHJzL2Uyb0RvYy54bWxQSwUGAAAAAAYABgBZAQAA2AUAAAAA&#10;">
                <v:fill on="f" focussize="0,0"/>
                <v:stroke on="f" weight="0.5pt"/>
                <v:imagedata o:title=""/>
                <o:lock v:ext="edit" aspectratio="f"/>
                <v:textbox>
                  <w:txbxContent>
                    <w:p w14:paraId="1625BD2E">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1951990</wp:posOffset>
                </wp:positionH>
                <wp:positionV relativeFrom="paragraph">
                  <wp:posOffset>97790</wp:posOffset>
                </wp:positionV>
                <wp:extent cx="988060" cy="280670"/>
                <wp:effectExtent l="4445" t="4445" r="17145" b="19685"/>
                <wp:wrapNone/>
                <wp:docPr id="212" name="文本框 212"/>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A7CFFF">
                            <w:pPr>
                              <w:ind w:left="0" w:leftChars="0" w:firstLine="0" w:firstLineChars="0"/>
                              <w:jc w:val="center"/>
                              <w:rPr>
                                <w:rFonts w:hint="default" w:eastAsia="宋体"/>
                                <w:lang w:val="en-US" w:eastAsia="zh-CN"/>
                              </w:rPr>
                            </w:pPr>
                            <w:r>
                              <w:rPr>
                                <w:rFonts w:hint="eastAsia"/>
                                <w:lang w:val="en-US" w:eastAsia="zh-CN"/>
                              </w:rPr>
                              <w:t>一级水洗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7.7pt;height:22.1pt;width:77.8pt;z-index:251743232;mso-width-relative:page;mso-height-relative:page;" fillcolor="#FFFFFF [3201]" filled="t" stroked="t" coordsize="21600,21600" o:gfxdata="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pW8ux9YA&#10;AAAJAQAADwAAAAAAAAABACAAAAAiAAAAZHJzL2Rvd25yZXYueG1sUEsBAhQAFAAAAAgAh07iQMTw&#10;Zj5aAgAAugQAAA4AAAAAAAAAAQAgAAAAJQEAAGRycy9lMm9Eb2MueG1sUEsFBgAAAAAGAAYAWQEA&#10;APEFAAAAAA==&#10;">
                <v:fill on="t" focussize="0,0"/>
                <v:stroke weight="0.5pt" color="#000000 [3204]" joinstyle="round"/>
                <v:imagedata o:title=""/>
                <o:lock v:ext="edit" aspectratio="f"/>
                <v:textbox>
                  <w:txbxContent>
                    <w:p w14:paraId="44A7CFFF">
                      <w:pPr>
                        <w:ind w:left="0" w:leftChars="0" w:firstLine="0" w:firstLineChars="0"/>
                        <w:jc w:val="center"/>
                        <w:rPr>
                          <w:rFonts w:hint="default" w:eastAsia="宋体"/>
                          <w:lang w:val="en-US" w:eastAsia="zh-CN"/>
                        </w:rPr>
                      </w:pPr>
                      <w:r>
                        <w:rPr>
                          <w:rFonts w:hint="eastAsia"/>
                          <w:lang w:val="en-US" w:eastAsia="zh-CN"/>
                        </w:rPr>
                        <w:t>一级水洗</w:t>
                      </w:r>
                    </w:p>
                  </w:txbxContent>
                </v:textbox>
              </v:shape>
            </w:pict>
          </mc:Fallback>
        </mc:AlternateContent>
      </w:r>
    </w:p>
    <w:p w14:paraId="04C91C8C">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20704" behindDoc="0" locked="0" layoutInCell="1" allowOverlap="1">
                <wp:simplePos x="0" y="0"/>
                <wp:positionH relativeFrom="column">
                  <wp:posOffset>2950210</wp:posOffset>
                </wp:positionH>
                <wp:positionV relativeFrom="paragraph">
                  <wp:posOffset>52705</wp:posOffset>
                </wp:positionV>
                <wp:extent cx="411480" cy="3175"/>
                <wp:effectExtent l="0" t="61595" r="7620" b="68580"/>
                <wp:wrapNone/>
                <wp:docPr id="213" name="直接箭头连接符 213"/>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3pt;margin-top:4.15pt;height:0.25pt;width:32.4pt;z-index:251720704;mso-width-relative:page;mso-height-relative:page;" filled="f" stroked="t" coordsize="21600,21600" o:gfxdata="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EeXdtUAAAAHAQAADwAAAAAAAAABACAAAAAiAAAAZHJz&#10;L2Rvd25yZXYueG1sUEsBAhQAFAAAAAgAh07iQBccEh4HAgAA4AMAAA4AAAAAAAAAAQAgAAAAJAEA&#10;AGRycy9lMm9Eb2MueG1sUEsFBgAAAAAGAAYAWQEAAJ0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66784" behindDoc="0" locked="0" layoutInCell="1" allowOverlap="1">
                <wp:simplePos x="0" y="0"/>
                <wp:positionH relativeFrom="column">
                  <wp:posOffset>1525270</wp:posOffset>
                </wp:positionH>
                <wp:positionV relativeFrom="paragraph">
                  <wp:posOffset>37465</wp:posOffset>
                </wp:positionV>
                <wp:extent cx="411480" cy="3175"/>
                <wp:effectExtent l="0" t="61595" r="7620" b="68580"/>
                <wp:wrapNone/>
                <wp:docPr id="214" name="直接箭头连接符 214"/>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0.1pt;margin-top:2.95pt;height:0.25pt;width:32.4pt;z-index:251766784;mso-width-relative:page;mso-height-relative:page;" filled="f" stroked="t" coordsize="21600,21600" o:gfxdata="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&#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4f7C1wAAAAcBAAAPAAAAAAAAAAEAIAAAACIAAABk&#10;cnMvZG93bnJldi54bWxQSwECFAAUAAAACACHTuJAXF7WHgcCAADgAwAADgAAAAAAAAABACAAAAAm&#10;AQAAZHJzL2Uyb0RvYy54bWxQSwUGAAAAAAYABgBZAQAAnwUAAAAA&#10;">
                <v:fill on="f" focussize="0,0"/>
                <v:stroke weight="0.5pt" color="#000000 [3213]" joinstyle="round" endarrow="block" endarrowwidth="wide" endarrowlength="long"/>
                <v:imagedata o:title=""/>
                <o:lock v:ext="edit" aspectratio="f"/>
              </v:shape>
            </w:pict>
          </mc:Fallback>
        </mc:AlternateContent>
      </w:r>
    </w:p>
    <w:p w14:paraId="7305AEFB">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07744" behindDoc="0" locked="0" layoutInCell="1" allowOverlap="1">
                <wp:simplePos x="0" y="0"/>
                <wp:positionH relativeFrom="column">
                  <wp:posOffset>2453005</wp:posOffset>
                </wp:positionH>
                <wp:positionV relativeFrom="paragraph">
                  <wp:posOffset>48895</wp:posOffset>
                </wp:positionV>
                <wp:extent cx="3175" cy="215265"/>
                <wp:effectExtent l="61595" t="0" r="68580" b="13335"/>
                <wp:wrapNone/>
                <wp:docPr id="277" name="直接箭头连接符 277"/>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3.15pt;margin-top:3.85pt;height:16.95pt;width:0.25pt;z-index:251807744;mso-width-relative:page;mso-height-relative:page;" filled="f" stroked="t" coordsize="21600,21600" o:gfxdata="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oauA/UAAAACAEAAA8AAAAAAAAAAQAgAAAA&#10;IgAAAGRycy9kb3ducmV2LnhtbFBLAQIUABQAAAAIAIdO4kAi70YNDwIAAOsDAAAOAAAAAAAAAAEA&#10;IAAAACM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3F0E2F6C">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13888" behindDoc="0" locked="0" layoutInCell="1" allowOverlap="1">
                <wp:simplePos x="0" y="0"/>
                <wp:positionH relativeFrom="column">
                  <wp:posOffset>1068070</wp:posOffset>
                </wp:positionH>
                <wp:positionV relativeFrom="paragraph">
                  <wp:posOffset>49530</wp:posOffset>
                </wp:positionV>
                <wp:extent cx="744220" cy="28067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3E08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1pt;margin-top:3.9pt;height:22.1pt;width:58.6pt;z-index:251813888;mso-width-relative:page;mso-height-relative:page;" filled="f" stroked="f" coordsize="21600,21600" o:gfxdata="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ZsUJvYAAAACAEAAA8AAAAAAAAAAQAgAAAAIgAAAGRy&#10;cy9kb3ducmV2LnhtbFBLAQIUABQAAAAIAIdO4kAHJWD2PgIAAGkEAAAOAAAAAAAAAAEAIAAAACcB&#10;AABkcnMvZTJvRG9jLnhtbFBLBQYAAAAABgAGAFkBAADXBQAAAAA=&#10;">
                <v:fill on="f" focussize="0,0"/>
                <v:stroke on="f" weight="0.5pt"/>
                <v:imagedata o:title=""/>
                <o:lock v:ext="edit" aspectratio="f"/>
                <v:textbox>
                  <w:txbxContent>
                    <w:p w14:paraId="5F63E08D">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3375025</wp:posOffset>
                </wp:positionH>
                <wp:positionV relativeFrom="paragraph">
                  <wp:posOffset>57785</wp:posOffset>
                </wp:positionV>
                <wp:extent cx="744220" cy="28067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0304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5.75pt;margin-top:4.55pt;height:22.1pt;width:58.6pt;z-index:251809792;mso-width-relative:page;mso-height-relative:page;" filled="f" stroked="f" coordsize="21600,21600" o:gfxdata="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xQpavaAAAACAEAAA8AAAAAAAAAAQAgAAAAIgAAAGRy&#10;cy9kb3ducmV2LnhtbFBLAQIUABQAAAAIAIdO4kCKKnjAPAIAAGkEAAAOAAAAAAAAAAEAIAAAACkB&#10;AABkcnMvZTJvRG9jLnhtbFBLBQYAAAAABgAGAFkBAADXBQAAAAA=&#10;">
                <v:fill on="f" focussize="0,0"/>
                <v:stroke on="f" weight="0.5pt"/>
                <v:imagedata o:title=""/>
                <o:lock v:ext="edit" aspectratio="f"/>
                <v:textbox>
                  <w:txbxContent>
                    <w:p w14:paraId="26F0304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清洗废水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1941830</wp:posOffset>
                </wp:positionH>
                <wp:positionV relativeFrom="paragraph">
                  <wp:posOffset>77470</wp:posOffset>
                </wp:positionV>
                <wp:extent cx="988060" cy="280670"/>
                <wp:effectExtent l="4445" t="4445" r="17145" b="19685"/>
                <wp:wrapNone/>
                <wp:docPr id="278" name="文本框 278"/>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AFADFA6">
                            <w:pPr>
                              <w:ind w:left="0" w:leftChars="0" w:firstLine="0" w:firstLineChars="0"/>
                              <w:jc w:val="center"/>
                              <w:rPr>
                                <w:rFonts w:hint="default" w:eastAsia="宋体"/>
                                <w:lang w:val="en-US" w:eastAsia="zh-CN"/>
                              </w:rPr>
                            </w:pPr>
                            <w:r>
                              <w:rPr>
                                <w:rFonts w:hint="eastAsia"/>
                                <w:lang w:val="en-US" w:eastAsia="zh-CN"/>
                              </w:rPr>
                              <w:t>超声波清洗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9pt;margin-top:6.1pt;height:22.1pt;width:77.8pt;z-index:251806720;mso-width-relative:page;mso-height-relative:page;" fillcolor="#FFFFFF [3201]" filled="t" stroked="t" coordsize="21600,21600" o:gfxdata="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WQQ7tYA&#10;AAAJAQAADwAAAAAAAAABACAAAAAiAAAAZHJzL2Rvd25yZXYueG1sUEsBAhQAFAAAAAgAh07iQPVL&#10;zyBaAgAAugQAAA4AAAAAAAAAAQAgAAAAJQEAAGRycy9lMm9Eb2MueG1sUEsFBgAAAAAGAAYAWQEA&#10;APEFAAAAAA==&#10;">
                <v:fill on="t" focussize="0,0"/>
                <v:stroke weight="0.5pt" color="#000000 [3204]" joinstyle="round"/>
                <v:imagedata o:title=""/>
                <o:lock v:ext="edit" aspectratio="f"/>
                <v:textbox>
                  <w:txbxContent>
                    <w:p w14:paraId="0AFADFA6">
                      <w:pPr>
                        <w:ind w:left="0" w:leftChars="0" w:firstLine="0" w:firstLineChars="0"/>
                        <w:jc w:val="center"/>
                        <w:rPr>
                          <w:rFonts w:hint="default" w:eastAsia="宋体"/>
                          <w:lang w:val="en-US" w:eastAsia="zh-CN"/>
                        </w:rPr>
                      </w:pPr>
                      <w:r>
                        <w:rPr>
                          <w:rFonts w:hint="eastAsia"/>
                          <w:lang w:val="en-US" w:eastAsia="zh-CN"/>
                        </w:rPr>
                        <w:t>超声波清洗</w:t>
                      </w:r>
                    </w:p>
                  </w:txbxContent>
                </v:textbox>
              </v:shape>
            </w:pict>
          </mc:Fallback>
        </mc:AlternateContent>
      </w:r>
    </w:p>
    <w:p w14:paraId="24AC1058">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08768" behindDoc="0" locked="0" layoutInCell="1" allowOverlap="1">
                <wp:simplePos x="0" y="0"/>
                <wp:positionH relativeFrom="column">
                  <wp:posOffset>2947035</wp:posOffset>
                </wp:positionH>
                <wp:positionV relativeFrom="paragraph">
                  <wp:posOffset>43180</wp:posOffset>
                </wp:positionV>
                <wp:extent cx="411480" cy="3175"/>
                <wp:effectExtent l="0" t="61595" r="7620" b="68580"/>
                <wp:wrapNone/>
                <wp:docPr id="279" name="直接箭头连接符 279"/>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05pt;margin-top:3.4pt;height:0.25pt;width:32.4pt;z-index:251808768;mso-width-relative:page;mso-height-relative:page;" filled="f" stroked="t" coordsize="21600,21600" o:gfxdata="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&#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Pha3/XAAAABwEAAA8AAAAAAAAAAQAgAAAAIgAAAGRy&#10;cy9kb3ducmV2LnhtbFBLAQIUABQAAAAIAIdO4kAKb1ubBgIAAOA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1512570</wp:posOffset>
                </wp:positionH>
                <wp:positionV relativeFrom="paragraph">
                  <wp:posOffset>38100</wp:posOffset>
                </wp:positionV>
                <wp:extent cx="411480" cy="3175"/>
                <wp:effectExtent l="0" t="61595" r="7620" b="68580"/>
                <wp:wrapNone/>
                <wp:docPr id="276" name="直接箭头连接符 27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9.1pt;margin-top:3pt;height:0.25pt;width:32.4pt;z-index:251805696;mso-width-relative:page;mso-height-relative:page;" filled="f" stroked="t" coordsize="21600,21600" o:gfxdata="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WqS9UAAAAHAQAADwAAAAAAAAABACAAAAAiAAAAZHJz&#10;L2Rvd25yZXYueG1sUEsBAhQAFAAAAAgAh07iQPKc798HAgAA4AMAAA4AAAAAAAAAAQAgAAAAJAEA&#10;AGRycy9lMm9Eb2MueG1sUEsFBgAAAAAGAAYAWQEAAJ0FAAAAAA==&#10;">
                <v:fill on="f" focussize="0,0"/>
                <v:stroke weight="0.5pt" color="#000000 [3213]" joinstyle="round" endarrow="block" endarrowwidth="wide" endarrowlength="long"/>
                <v:imagedata o:title=""/>
                <o:lock v:ext="edit" aspectratio="f"/>
              </v:shape>
            </w:pict>
          </mc:Fallback>
        </mc:AlternateContent>
      </w:r>
    </w:p>
    <w:p w14:paraId="381F0CD0">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10816" behindDoc="0" locked="0" layoutInCell="1" allowOverlap="1">
                <wp:simplePos x="0" y="0"/>
                <wp:positionH relativeFrom="column">
                  <wp:posOffset>2432050</wp:posOffset>
                </wp:positionH>
                <wp:positionV relativeFrom="paragraph">
                  <wp:posOffset>6350</wp:posOffset>
                </wp:positionV>
                <wp:extent cx="3175" cy="215265"/>
                <wp:effectExtent l="61595" t="0" r="68580" b="13335"/>
                <wp:wrapNone/>
                <wp:docPr id="282" name="直接箭头连接符 282"/>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1.5pt;margin-top:0.5pt;height:16.95pt;width:0.25pt;z-index:251810816;mso-width-relative:page;mso-height-relative:page;" filled="f" stroked="t" coordsize="21600,21600" o:gfxdata="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rqqWfUAAAACAEAAA8AAAAAAAAAAQAgAAAA&#10;IgAAAGRycy9kb3ducmV2LnhtbFBLAQIUABQAAAAIAIdO4kD+q2Z0DwIAAOsDAAAOAAAAAAAAAAEA&#10;IAAAACMBAABkcnMvZTJvRG9jLnhtbFBLBQYAAAAABgAGAFkBAACkBQAAAAA=&#10;">
                <v:fill on="f" focussize="0,0"/>
                <v:stroke weight="2pt" color="#000000 [3213]" joinstyle="round" endarrow="block" endarrowwidth="wide" endarrowlength="long"/>
                <v:imagedata o:title=""/>
                <o:lock v:ext="edit" aspectratio="f"/>
              </v:shape>
            </w:pict>
          </mc:Fallback>
        </mc:AlternateContent>
      </w:r>
    </w:p>
    <w:p w14:paraId="1DCCC6EC">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16960" behindDoc="0" locked="0" layoutInCell="1" allowOverlap="1">
                <wp:simplePos x="0" y="0"/>
                <wp:positionH relativeFrom="column">
                  <wp:posOffset>3390900</wp:posOffset>
                </wp:positionH>
                <wp:positionV relativeFrom="paragraph">
                  <wp:posOffset>35560</wp:posOffset>
                </wp:positionV>
                <wp:extent cx="909955" cy="28067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90995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E47CC">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重金属废液</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pt;margin-top:2.8pt;height:22.1pt;width:71.65pt;z-index:251816960;mso-width-relative:page;mso-height-relative:page;" filled="f" stroked="f" coordsize="21600,21600" o:gfxdata="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bZkujaAAAACAEAAA8AAAAAAAAAAQAgAAAAIgAA&#10;AGRycy9kb3ducmV2LnhtbFBLAQIUABQAAAAIAIdO4kBxQVfEPwIAAGkEAAAOAAAAAAAAAAEAIAAA&#10;ACkBAABkcnMvZTJvRG9jLnhtbFBLBQYAAAAABgAGAFkBAADaBQAAAAA=&#10;">
                <v:fill on="f" focussize="0,0"/>
                <v:stroke on="f" weight="0.5pt"/>
                <v:imagedata o:title=""/>
                <o:lock v:ext="edit" aspectratio="f"/>
                <v:textbox>
                  <w:txbxContent>
                    <w:p w14:paraId="61EE47CC">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重金属废液</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815936" behindDoc="0" locked="0" layoutInCell="1" allowOverlap="1">
                <wp:simplePos x="0" y="0"/>
                <wp:positionH relativeFrom="column">
                  <wp:posOffset>910590</wp:posOffset>
                </wp:positionH>
                <wp:positionV relativeFrom="paragraph">
                  <wp:posOffset>74930</wp:posOffset>
                </wp:positionV>
                <wp:extent cx="744220" cy="28067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02B8D0">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黑色染料</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7pt;margin-top:5.9pt;height:22.1pt;width:58.6pt;z-index:251815936;mso-width-relative:page;mso-height-relative:page;" filled="f" stroked="f" coordsize="21600,21600" o:gfxdata="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tAoD2QAAAAkBAAAPAAAAAAAAAAEAIAAAACIAAABk&#10;cnMvZG93bnJldi54bWxQSwECFAAUAAAACACHTuJAMxsALj4CAABpBAAADgAAAAAAAAABACAAAAAo&#10;AQAAZHJzL2Uyb0RvYy54bWxQSwUGAAAAAAYABgBZAQAA2AUAAAAA&#10;">
                <v:fill on="f" focussize="0,0"/>
                <v:stroke on="f" weight="0.5pt"/>
                <v:imagedata o:title=""/>
                <o:lock v:ext="edit" aspectratio="f"/>
                <v:textbox>
                  <w:txbxContent>
                    <w:p w14:paraId="7202B8D0">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黑色染料</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811840" behindDoc="0" locked="0" layoutInCell="1" allowOverlap="1">
                <wp:simplePos x="0" y="0"/>
                <wp:positionH relativeFrom="column">
                  <wp:posOffset>1971675</wp:posOffset>
                </wp:positionH>
                <wp:positionV relativeFrom="paragraph">
                  <wp:posOffset>45720</wp:posOffset>
                </wp:positionV>
                <wp:extent cx="988060" cy="280670"/>
                <wp:effectExtent l="4445" t="4445" r="17145" b="19685"/>
                <wp:wrapNone/>
                <wp:docPr id="283" name="文本框 283"/>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630B6D">
                            <w:pPr>
                              <w:ind w:left="0" w:leftChars="0" w:firstLine="0" w:firstLineChars="0"/>
                              <w:jc w:val="center"/>
                              <w:rPr>
                                <w:rFonts w:hint="default" w:eastAsia="宋体"/>
                                <w:lang w:val="en-US" w:eastAsia="zh-CN"/>
                              </w:rPr>
                            </w:pPr>
                            <w:r>
                              <w:rPr>
                                <w:rFonts w:hint="eastAsia"/>
                                <w:lang w:val="en-US" w:eastAsia="zh-CN"/>
                              </w:rPr>
                              <w:t>染色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25pt;margin-top:3.6pt;height:22.1pt;width:77.8pt;z-index:251811840;mso-width-relative:page;mso-height-relative:page;" fillcolor="#FFFFFF [3201]" filled="t" stroked="t" coordsize="21600,21600" o:gfxdata="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2Ccqb1QAA&#10;AAgBAAAPAAAAAAAAAAEAIAAAACIAAABkcnMvZG93bnJldi54bWxQSwECFAAUAAAACACHTuJAKQkV&#10;U1oCAAC6BAAADgAAAAAAAAABACAAAAAkAQAAZHJzL2Uyb0RvYy54bWxQSwUGAAAAAAYABgBZAQAA&#10;8AUAAAAA&#10;">
                <v:fill on="t" focussize="0,0"/>
                <v:stroke weight="0.5pt" color="#000000 [3204]" joinstyle="round"/>
                <v:imagedata o:title=""/>
                <o:lock v:ext="edit" aspectratio="f"/>
                <v:textbox>
                  <w:txbxContent>
                    <w:p w14:paraId="05630B6D">
                      <w:pPr>
                        <w:ind w:left="0" w:leftChars="0" w:firstLine="0" w:firstLineChars="0"/>
                        <w:jc w:val="center"/>
                        <w:rPr>
                          <w:rFonts w:hint="default" w:eastAsia="宋体"/>
                          <w:lang w:val="en-US" w:eastAsia="zh-CN"/>
                        </w:rPr>
                      </w:pPr>
                      <w:r>
                        <w:rPr>
                          <w:rFonts w:hint="eastAsia"/>
                          <w:lang w:val="en-US" w:eastAsia="zh-CN"/>
                        </w:rPr>
                        <w:t>染色</w:t>
                      </w:r>
                    </w:p>
                  </w:txbxContent>
                </v:textbox>
              </v:shape>
            </w:pict>
          </mc:Fallback>
        </mc:AlternateContent>
      </w:r>
    </w:p>
    <w:p w14:paraId="02475219">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17984" behindDoc="0" locked="0" layoutInCell="1" allowOverlap="1">
                <wp:simplePos x="0" y="0"/>
                <wp:positionH relativeFrom="column">
                  <wp:posOffset>2453640</wp:posOffset>
                </wp:positionH>
                <wp:positionV relativeFrom="paragraph">
                  <wp:posOffset>159385</wp:posOffset>
                </wp:positionV>
                <wp:extent cx="3175" cy="215265"/>
                <wp:effectExtent l="61595" t="0" r="68580" b="13335"/>
                <wp:wrapNone/>
                <wp:docPr id="288" name="直接箭头连接符 288"/>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3.2pt;margin-top:12.55pt;height:16.95pt;width:0.25pt;z-index:251817984;mso-width-relative:page;mso-height-relative:page;" filled="f" stroked="t" coordsize="21600,21600" o:gfxdata="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Ra2L3WAAAACQEAAA8AAAAAAAAAAQAg&#10;AAAAIgAAAGRycy9kb3ducmV2LnhtbFBLAQIUABQAAAAIAIdO4kDY46ErEAIAAOsDAAAOAAAAAAAA&#10;AAEAIAAAACUBAABkcnMvZTJvRG9jLnhtbFBLBQYAAAAABgAGAFkBAACnBQ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814912" behindDoc="0" locked="0" layoutInCell="1" allowOverlap="1">
                <wp:simplePos x="0" y="0"/>
                <wp:positionH relativeFrom="column">
                  <wp:posOffset>2956560</wp:posOffset>
                </wp:positionH>
                <wp:positionV relativeFrom="paragraph">
                  <wp:posOffset>15240</wp:posOffset>
                </wp:positionV>
                <wp:extent cx="411480" cy="3175"/>
                <wp:effectExtent l="0" t="61595" r="7620" b="68580"/>
                <wp:wrapNone/>
                <wp:docPr id="286" name="直接箭头连接符 28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8pt;margin-top:1.2pt;height:0.25pt;width:32.4pt;z-index:251814912;mso-width-relative:page;mso-height-relative:page;" filled="f" stroked="t" coordsize="21600,21600" o:gfxdata="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nSsZ7WAAAABwEAAA8AAAAAAAAAAQAgAAAAIgAAAGRy&#10;cy9kb3ducmV2LnhtbFBLAQIUABQAAAAIAIdO4kAvUs1sBwIAAOADAAAOAAAAAAAAAAEAIAAAACU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812864" behindDoc="0" locked="0" layoutInCell="1" allowOverlap="1">
                <wp:simplePos x="0" y="0"/>
                <wp:positionH relativeFrom="column">
                  <wp:posOffset>1563370</wp:posOffset>
                </wp:positionH>
                <wp:positionV relativeFrom="paragraph">
                  <wp:posOffset>27305</wp:posOffset>
                </wp:positionV>
                <wp:extent cx="411480" cy="3175"/>
                <wp:effectExtent l="0" t="61595" r="7620" b="68580"/>
                <wp:wrapNone/>
                <wp:docPr id="284" name="直接箭头连接符 284"/>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3.1pt;margin-top:2.15pt;height:0.25pt;width:32.4pt;z-index:251812864;mso-width-relative:page;mso-height-relative:page;" filled="f" stroked="t" coordsize="21600,21600" o:gfxdata="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d9bNrWAAAABwEAAA8AAAAAAAAAAQAgAAAAIgAAAGRy&#10;cy9kb3ducmV2LnhtbFBLAQIUABQAAAAIAIdO4kDzvLXmBwIAAOADAAAOAAAAAAAAAAEAIAAAACUB&#10;AABkcnMvZTJvRG9jLnhtbFBLBQYAAAAABgAGAFkBAACeBQAAAAA=&#10;">
                <v:fill on="f" focussize="0,0"/>
                <v:stroke weight="0.5pt" color="#000000 [3213]" joinstyle="round" endarrow="block" endarrowwidth="wide" endarrowlength="long"/>
                <v:imagedata o:title=""/>
                <o:lock v:ext="edit" aspectratio="f"/>
              </v:shape>
            </w:pict>
          </mc:Fallback>
        </mc:AlternateContent>
      </w:r>
    </w:p>
    <w:p w14:paraId="742092F9">
      <w:pPr>
        <w:pStyle w:val="37"/>
        <w:rPr>
          <w:rFonts w:hint="default" w:ascii="Times New Roman" w:hAnsi="Times New Roman" w:cs="Times New Roman"/>
          <w:color w:val="FF0000"/>
          <w:u w:val="none"/>
        </w:rPr>
      </w:pPr>
    </w:p>
    <w:p w14:paraId="0152228B">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23104" behindDoc="0" locked="0" layoutInCell="1" allowOverlap="1">
                <wp:simplePos x="0" y="0"/>
                <wp:positionH relativeFrom="column">
                  <wp:posOffset>3299460</wp:posOffset>
                </wp:positionH>
                <wp:positionV relativeFrom="paragraph">
                  <wp:posOffset>31115</wp:posOffset>
                </wp:positionV>
                <wp:extent cx="909955" cy="28067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909955"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9722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8pt;margin-top:2.45pt;height:22.1pt;width:71.65pt;z-index:251823104;mso-width-relative:page;mso-height-relative:page;" filled="f" stroked="f" coordsize="21600,21600" o:gfxdata="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&#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X4syPNkAAAAIAQAADwAAAAAAAAABACAAAAAiAAAA&#10;ZHJzL2Rvd25yZXYueG1sUEsBAhQAFAAAAAgAh07iQFqXELk/AgAAaQQAAA4AAAAAAAAAAQAgAAAA&#10;KAEAAGRycy9lMm9Eb2MueG1sUEsFBgAAAAAGAAYAWQEAANkFAAAAAA==&#10;">
                <v:fill on="f" focussize="0,0"/>
                <v:stroke on="f" weight="0.5pt"/>
                <v:imagedata o:title=""/>
                <o:lock v:ext="edit" aspectratio="f"/>
                <v:textbox>
                  <w:txbxContent>
                    <w:p w14:paraId="36A97221">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821056" behindDoc="0" locked="0" layoutInCell="1" allowOverlap="1">
                <wp:simplePos x="0" y="0"/>
                <wp:positionH relativeFrom="column">
                  <wp:posOffset>2954655</wp:posOffset>
                </wp:positionH>
                <wp:positionV relativeFrom="paragraph">
                  <wp:posOffset>168910</wp:posOffset>
                </wp:positionV>
                <wp:extent cx="411480" cy="3175"/>
                <wp:effectExtent l="0" t="61595" r="7620" b="68580"/>
                <wp:wrapNone/>
                <wp:docPr id="293" name="直接箭头连接符 293"/>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65pt;margin-top:13.3pt;height:0.25pt;width:32.4pt;z-index:251821056;mso-width-relative:page;mso-height-relative:page;" filled="f" stroked="t" coordsize="21600,21600" o:gfxdata="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v1n9gAAAAJAQAADwAAAAAAAAABACAAAAAiAAAA&#10;ZHJzL2Rvd25yZXYueG1sUEsBAhQAFAAAAAgAh07iQJCOPkwHAgAA4AMAAA4AAAAAAAAAAQAgAAAA&#10;JwEAAGRycy9lMm9Eb2MueG1sUEsFBgAAAAAGAAYAWQEAAKA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822080" behindDoc="0" locked="0" layoutInCell="1" allowOverlap="1">
                <wp:simplePos x="0" y="0"/>
                <wp:positionH relativeFrom="column">
                  <wp:posOffset>1083945</wp:posOffset>
                </wp:positionH>
                <wp:positionV relativeFrom="paragraph">
                  <wp:posOffset>8255</wp:posOffset>
                </wp:positionV>
                <wp:extent cx="744220" cy="28067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77990">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35pt;margin-top:0.65pt;height:22.1pt;width:58.6pt;z-index:251822080;mso-width-relative:page;mso-height-relative:page;" filled="f" stroked="f" coordsize="21600,21600" o:gfxdata="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&#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6mkc2QAAAAgBAAAPAAAAAAAAAAEAIAAAACIAAABk&#10;cnMvZG93bnJldi54bWxQSwECFAAUAAAACACHTuJAlcJfZT4CAABpBAAADgAAAAAAAAABACAAAAAo&#10;AQAAZHJzL2Uyb0RvYy54bWxQSwUGAAAAAAYABgBZAQAA2AUAAAAA&#10;">
                <v:fill on="f" focussize="0,0"/>
                <v:stroke on="f" weight="0.5pt"/>
                <v:imagedata o:title=""/>
                <o:lock v:ext="edit" aspectratio="f"/>
                <v:textbox>
                  <w:txbxContent>
                    <w:p w14:paraId="40677990">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1962785</wp:posOffset>
                </wp:positionH>
                <wp:positionV relativeFrom="paragraph">
                  <wp:posOffset>40005</wp:posOffset>
                </wp:positionV>
                <wp:extent cx="988060" cy="280670"/>
                <wp:effectExtent l="4445" t="4445" r="17145" b="19685"/>
                <wp:wrapNone/>
                <wp:docPr id="290" name="文本框 290"/>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73D7E43">
                            <w:pPr>
                              <w:ind w:left="0" w:leftChars="0" w:firstLine="0" w:firstLineChars="0"/>
                              <w:jc w:val="center"/>
                              <w:rPr>
                                <w:rFonts w:hint="default" w:eastAsia="宋体"/>
                                <w:lang w:val="en-US" w:eastAsia="zh-CN"/>
                              </w:rPr>
                            </w:pPr>
                            <w:r>
                              <w:rPr>
                                <w:rFonts w:hint="eastAsia"/>
                                <w:lang w:val="en-US" w:eastAsia="zh-CN"/>
                              </w:rPr>
                              <w:t>一级水洗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55pt;margin-top:3.15pt;height:22.1pt;width:77.8pt;z-index:251819008;mso-width-relative:page;mso-height-relative:page;" fillcolor="#FFFFFF [3201]" filled="t" stroked="t" coordsize="21600,21600" o:gfxdata="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N3k1H1gAA&#10;AAgBAAAPAAAAAAAAAAEAIAAAACIAAABkcnMvZG93bnJldi54bWxQSwECFAAUAAAACACHTuJAQcNO&#10;DVkCAAC6BAAADgAAAAAAAAABACAAAAAlAQAAZHJzL2Uyb0RvYy54bWxQSwUGAAAAAAYABgBZAQAA&#10;8AUAAAAA&#10;">
                <v:fill on="t" focussize="0,0"/>
                <v:stroke weight="0.5pt" color="#000000 [3204]" joinstyle="round"/>
                <v:imagedata o:title=""/>
                <o:lock v:ext="edit" aspectratio="f"/>
                <v:textbox>
                  <w:txbxContent>
                    <w:p w14:paraId="173D7E43">
                      <w:pPr>
                        <w:ind w:left="0" w:leftChars="0" w:firstLine="0" w:firstLineChars="0"/>
                        <w:jc w:val="center"/>
                        <w:rPr>
                          <w:rFonts w:hint="default" w:eastAsia="宋体"/>
                          <w:lang w:val="en-US" w:eastAsia="zh-CN"/>
                        </w:rPr>
                      </w:pPr>
                      <w:r>
                        <w:rPr>
                          <w:rFonts w:hint="eastAsia"/>
                          <w:lang w:val="en-US" w:eastAsia="zh-CN"/>
                        </w:rPr>
                        <w:t>一级水洗</w:t>
                      </w:r>
                    </w:p>
                  </w:txbxContent>
                </v:textbox>
              </v:shape>
            </w:pict>
          </mc:Fallback>
        </mc:AlternateContent>
      </w:r>
    </w:p>
    <w:p w14:paraId="7F708E95">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25152" behindDoc="0" locked="0" layoutInCell="1" allowOverlap="1">
                <wp:simplePos x="0" y="0"/>
                <wp:positionH relativeFrom="column">
                  <wp:posOffset>2449195</wp:posOffset>
                </wp:positionH>
                <wp:positionV relativeFrom="paragraph">
                  <wp:posOffset>144780</wp:posOffset>
                </wp:positionV>
                <wp:extent cx="3175" cy="215265"/>
                <wp:effectExtent l="61595" t="0" r="68580" b="13335"/>
                <wp:wrapNone/>
                <wp:docPr id="294" name="直接箭头连接符 294"/>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2.85pt;margin-top:11.4pt;height:16.95pt;width:0.25pt;z-index:251825152;mso-width-relative:page;mso-height-relative:page;" filled="f" stroked="t" coordsize="21600,21600" o:gfxdata="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BgPmrWAAAACQEAAA8AAAAAAAAAAQAg&#10;AAAAIgAAAGRycy9kb3ducmV2LnhtbFBLAQIUABQAAAAIAIdO4kCEsJSxEAIAAOsDAAAOAAAAAAAA&#10;AAEAIAAAACUBAABkcnMvZTJvRG9jLnhtbFBLBQYAAAAABgAGAFkBAACnBQ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820032" behindDoc="0" locked="0" layoutInCell="1" allowOverlap="1">
                <wp:simplePos x="0" y="0"/>
                <wp:positionH relativeFrom="column">
                  <wp:posOffset>1543685</wp:posOffset>
                </wp:positionH>
                <wp:positionV relativeFrom="paragraph">
                  <wp:posOffset>8255</wp:posOffset>
                </wp:positionV>
                <wp:extent cx="411480" cy="3175"/>
                <wp:effectExtent l="0" t="61595" r="7620" b="68580"/>
                <wp:wrapNone/>
                <wp:docPr id="289" name="直接箭头连接符 289"/>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1.55pt;margin-top:0.65pt;height:0.25pt;width:32.4pt;z-index:251820032;mso-width-relative:page;mso-height-relative:page;" filled="f" stroked="t" coordsize="21600,21600" o:gfxdata="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6qCOvUAAAABwEAAA8AAAAAAAAAAQAgAAAAIgAAAGRycy9k&#10;b3ducmV2LnhtbFBLAQIUABQAAAAIAIdO4kDXoXkoBgIAAOADAAAOAAAAAAAAAAEAIAAAACMBAABk&#10;cnMvZTJvRG9jLnhtbFBLBQYAAAAABgAGAFkBAACbBQAAAAA=&#10;">
                <v:fill on="f" focussize="0,0"/>
                <v:stroke weight="0.5pt" color="#000000 [3213]" joinstyle="round" endarrow="block" endarrowwidth="wide" endarrowlength="long"/>
                <v:imagedata o:title=""/>
                <o:lock v:ext="edit" aspectratio="f"/>
              </v:shape>
            </w:pict>
          </mc:Fallback>
        </mc:AlternateContent>
      </w:r>
    </w:p>
    <w:p w14:paraId="26A25ECF">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30944" behindDoc="0" locked="0" layoutInCell="1" allowOverlap="1">
                <wp:simplePos x="0" y="0"/>
                <wp:positionH relativeFrom="column">
                  <wp:posOffset>3924935</wp:posOffset>
                </wp:positionH>
                <wp:positionV relativeFrom="paragraph">
                  <wp:posOffset>165100</wp:posOffset>
                </wp:positionV>
                <wp:extent cx="902970" cy="28067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90297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ED7850">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重金属废液</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05pt;margin-top:13pt;height:22.1pt;width:71.1pt;z-index:251730944;mso-width-relative:page;mso-height-relative:page;" filled="f" stroked="f" coordsize="21600,21600" o:gfxdata="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3aKOPaAAAACQEAAA8AAAAAAAAAAQAgAAAAIgAAAGRy&#10;cy9kb3ducmV2LnhtbFBLAQIUABQAAAAIAIdO4kDfYl08PAIAAGkEAAAOAAAAAAAAAAEAIAAAACkB&#10;AABkcnMvZTJvRG9jLnhtbFBLBQYAAAAABgAGAFkBAADXBQAAAAA=&#10;">
                <v:fill on="f" focussize="0,0"/>
                <v:stroke on="f" weight="0.5pt"/>
                <v:imagedata o:title=""/>
                <o:lock v:ext="edit" aspectratio="f"/>
                <v:textbox>
                  <w:txbxContent>
                    <w:p w14:paraId="76ED7850">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重金属废液</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1564005</wp:posOffset>
                </wp:positionH>
                <wp:positionV relativeFrom="paragraph">
                  <wp:posOffset>143510</wp:posOffset>
                </wp:positionV>
                <wp:extent cx="1911350" cy="280670"/>
                <wp:effectExtent l="4445" t="4445" r="8255" b="19685"/>
                <wp:wrapNone/>
                <wp:docPr id="217" name="文本框 217"/>
                <wp:cNvGraphicFramePr/>
                <a:graphic xmlns:a="http://schemas.openxmlformats.org/drawingml/2006/main">
                  <a:graphicData uri="http://schemas.microsoft.com/office/word/2010/wordprocessingShape">
                    <wps:wsp>
                      <wps:cNvSpPr txBox="1"/>
                      <wps:spPr>
                        <a:xfrm>
                          <a:off x="0" y="0"/>
                          <a:ext cx="191135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6D6A49B">
                            <w:pPr>
                              <w:ind w:left="0" w:leftChars="0" w:firstLine="0" w:firstLineChars="0"/>
                              <w:jc w:val="center"/>
                              <w:rPr>
                                <w:rFonts w:hint="default"/>
                                <w:lang w:val="en-US" w:eastAsia="zh-CN"/>
                              </w:rPr>
                            </w:pPr>
                            <w:r>
                              <w:rPr>
                                <w:rFonts w:hint="eastAsia"/>
                              </w:rPr>
                              <w:t>铬酸盐封闭/镍盐封闭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15pt;margin-top:11.3pt;height:22.1pt;width:150.5pt;z-index:251745280;mso-width-relative:page;mso-height-relative:page;" fillcolor="#FFFFFF [3201]" filled="t" stroked="t" coordsize="21600,21600" o:gfxdata="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8n1KvVAAAA&#10;CQEAAA8AAAAAAAAAAQAgAAAAIgAAAGRycy9kb3ducmV2LnhtbFBLAQIUABQAAAAIAIdO4kB9ZFF3&#10;WQIAALsEAAAOAAAAAAAAAAEAIAAAACQBAABkcnMvZTJvRG9jLnhtbFBLBQYAAAAABgAGAFkBAADv&#10;BQAAAAA=&#10;">
                <v:fill on="t" focussize="0,0"/>
                <v:stroke weight="0.5pt" color="#000000 [3204]" joinstyle="round"/>
                <v:imagedata o:title=""/>
                <o:lock v:ext="edit" aspectratio="f"/>
                <v:textbox>
                  <w:txbxContent>
                    <w:p w14:paraId="06D6A49B">
                      <w:pPr>
                        <w:ind w:left="0" w:leftChars="0" w:firstLine="0" w:firstLineChars="0"/>
                        <w:jc w:val="center"/>
                        <w:rPr>
                          <w:rFonts w:hint="default"/>
                          <w:lang w:val="en-US" w:eastAsia="zh-CN"/>
                        </w:rPr>
                      </w:pPr>
                      <w:r>
                        <w:rPr>
                          <w:rFonts w:hint="eastAsia"/>
                        </w:rPr>
                        <w:t>铬酸盐封闭/镍盐封闭</w:t>
                      </w:r>
                    </w:p>
                  </w:txbxContent>
                </v:textbox>
              </v:shape>
            </w:pict>
          </mc:Fallback>
        </mc:AlternateContent>
      </w:r>
    </w:p>
    <w:p w14:paraId="42EA1740">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57568" behindDoc="0" locked="0" layoutInCell="1" allowOverlap="1">
                <wp:simplePos x="0" y="0"/>
                <wp:positionH relativeFrom="column">
                  <wp:posOffset>193675</wp:posOffset>
                </wp:positionH>
                <wp:positionV relativeFrom="paragraph">
                  <wp:posOffset>1905</wp:posOffset>
                </wp:positionV>
                <wp:extent cx="1167130" cy="28067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16713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EA78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中温封孔剂</w:t>
                            </w:r>
                            <w:r>
                              <w:rPr>
                                <w:rFonts w:hint="eastAsia"/>
                                <w:lang w:val="en-US" w:eastAsia="zh-CN"/>
                                <w14:textFill>
                                  <w14:noFill/>
                                </w14:textFill>
                              </w:rPr>
                              <w:t>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5pt;margin-top:0.15pt;height:22.1pt;width:91.9pt;z-index:251757568;mso-width-relative:page;mso-height-relative:page;" filled="f" stroked="f" coordsize="21600,21600" o:gfxdata="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BTIm1wAAAAYBAAAPAAAAAAAAAAEAIAAAACIAAABkcnMv&#10;ZG93bnJldi54bWxQSwECFAAUAAAACACHTuJArW/SWz0CAABqBAAADgAAAAAAAAABACAAAAAmAQAA&#10;ZHJzL2Uyb0RvYy54bWxQSwUGAAAAAAYABgBZAQAA1QUAAAAA&#10;">
                <v:fill on="f" focussize="0,0"/>
                <v:stroke on="f" weight="0.5pt"/>
                <v:imagedata o:title=""/>
                <o:lock v:ext="edit" aspectratio="f"/>
                <v:textbox>
                  <w:txbxContent>
                    <w:p w14:paraId="488EA78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中温封孔剂</w:t>
                      </w:r>
                      <w:r>
                        <w:rPr>
                          <w:rFonts w:hint="eastAsia"/>
                          <w:lang w:val="en-US" w:eastAsia="zh-CN"/>
                          <w14:textFill>
                            <w14:noFill/>
                          </w14:textFill>
                        </w:rPr>
                        <w:t>油</w:t>
                      </w:r>
                    </w:p>
                  </w:txbxContent>
                </v:textbox>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3476625</wp:posOffset>
                </wp:positionH>
                <wp:positionV relativeFrom="paragraph">
                  <wp:posOffset>115570</wp:posOffset>
                </wp:positionV>
                <wp:extent cx="411480" cy="3175"/>
                <wp:effectExtent l="0" t="61595" r="7620" b="68580"/>
                <wp:wrapNone/>
                <wp:docPr id="219" name="直接箭头连接符 219"/>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3.75pt;margin-top:9.1pt;height:0.25pt;width:32.4pt;z-index:251771904;mso-width-relative:page;mso-height-relative:page;" filled="f" stroked="t" coordsize="21600,21600" o:gfxdata="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qZ7rLXAAAACQEAAA8AAAAAAAAAAQAgAAAAIgAAAGRy&#10;cy9kb3ducmV2LnhtbFBLAQIUABQAAAAIAIdO4kB4QxrQBgIAAOADAAAOAAAAAAAAAAEAIAAAACYB&#10;AABkcnMvZTJvRG9jLnhtbFBLBQYAAAAABgAGAFkBAACeBQ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1143000</wp:posOffset>
                </wp:positionH>
                <wp:positionV relativeFrom="paragraph">
                  <wp:posOffset>127000</wp:posOffset>
                </wp:positionV>
                <wp:extent cx="411480" cy="3175"/>
                <wp:effectExtent l="0" t="61595" r="7620" b="68580"/>
                <wp:wrapNone/>
                <wp:docPr id="220" name="直接箭头连接符 220"/>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0pt;margin-top:10pt;height:0.25pt;width:32.4pt;z-index:251747328;mso-width-relative:page;mso-height-relative:page;" filled="f" stroked="t" coordsize="21600,21600" o:gfxdata="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JTlvdYAAAAJAQAADwAAAAAAAAABACAAAAAiAAAAZHJz&#10;L2Rvd25yZXYueG1sUEsBAhQAFAAAAAgAh07iQJwT9vQGAgAA4AMAAA4AAAAAAAAAAQAgAAAAJQEA&#10;AGRycy9lMm9Eb2MueG1sUEsFBgAAAAAGAAYAWQEAAJ0FAAAAAA==&#10;">
                <v:fill on="f" focussize="0,0"/>
                <v:stroke weight="0.5pt" color="#000000 [3213]" joinstyle="round" endarrow="block" endarrowwidth="wide" endarrowlength="long"/>
                <v:imagedata o:title=""/>
                <o:lock v:ext="edit" aspectratio="f"/>
              </v:shape>
            </w:pict>
          </mc:Fallback>
        </mc:AlternateContent>
      </w:r>
    </w:p>
    <w:p w14:paraId="42F61340">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29248" behindDoc="0" locked="0" layoutInCell="1" allowOverlap="1">
                <wp:simplePos x="0" y="0"/>
                <wp:positionH relativeFrom="column">
                  <wp:posOffset>2469515</wp:posOffset>
                </wp:positionH>
                <wp:positionV relativeFrom="paragraph">
                  <wp:posOffset>64770</wp:posOffset>
                </wp:positionV>
                <wp:extent cx="3175" cy="215265"/>
                <wp:effectExtent l="61595" t="0" r="68580" b="13335"/>
                <wp:wrapNone/>
                <wp:docPr id="296" name="直接箭头连接符 296"/>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4.45pt;margin-top:5.1pt;height:16.95pt;width:0.25pt;z-index:251829248;mso-width-relative:page;mso-height-relative:page;" filled="f" stroked="t" coordsize="21600,21600" o:gfxdata="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aDsr1QAAAAkBAAAPAAAAAAAAAAEAIAAA&#10;ACIAAABkcnMvZG93bnJldi54bWxQSwECFAAUAAAACACHTuJA5Q96FA8CAADrAwAADgAAAAAAAAAB&#10;ACAAAAAk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6B2FED2F">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50400" behindDoc="0" locked="0" layoutInCell="1" allowOverlap="1">
                <wp:simplePos x="0" y="0"/>
                <wp:positionH relativeFrom="column">
                  <wp:posOffset>1104900</wp:posOffset>
                </wp:positionH>
                <wp:positionV relativeFrom="paragraph">
                  <wp:posOffset>69215</wp:posOffset>
                </wp:positionV>
                <wp:extent cx="744220" cy="280670"/>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C990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pt;margin-top:5.45pt;height:22.1pt;width:58.6pt;z-index:251750400;mso-width-relative:page;mso-height-relative:page;" filled="f" stroked="f" coordsize="21600,21600" o:gfxdata="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nh1ptoAAAAJAQAADwAAAAAAAAABACAAAAAiAAAA&#10;ZHJzL2Rvd25yZXYueG1sUEsBAhQAFAAAAAgAh07iQOPVnxM+AgAAaQQAAA4AAAAAAAAAAQAgAAAA&#10;KQEAAGRycy9lMm9Eb2MueG1sUEsFBgAAAAAGAAYAWQEAANkFAAAAAA==&#10;">
                <v:fill on="f" focussize="0,0"/>
                <v:stroke on="f" weight="0.5pt"/>
                <v:imagedata o:title=""/>
                <o:lock v:ext="edit" aspectratio="f"/>
                <v:textbox>
                  <w:txbxContent>
                    <w:p w14:paraId="6E6C9904">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3287395</wp:posOffset>
                </wp:positionH>
                <wp:positionV relativeFrom="paragraph">
                  <wp:posOffset>38100</wp:posOffset>
                </wp:positionV>
                <wp:extent cx="744220" cy="280670"/>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1F528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含铬废水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85pt;margin-top:3pt;height:22.1pt;width:58.6pt;z-index:251765760;mso-width-relative:page;mso-height-relative:page;" filled="f" stroked="f" coordsize="21600,21600" o:gfxdata="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OUXH2QAAAAgBAAAPAAAAAAAAAAEAIAAAACIAAABk&#10;cnMvZG93bnJldi54bWxQSwECFAAUAAAACACHTuJAbtqHJT4CAABpBAAADgAAAAAAAAABACAAAAAo&#10;AQAAZHJzL2Uyb0RvYy54bWxQSwUGAAAAAAYABgBZAQAA2AUAAAAA&#10;">
                <v:fill on="f" focussize="0,0"/>
                <v:stroke on="f" weight="0.5pt"/>
                <v:imagedata o:title=""/>
                <o:lock v:ext="edit" aspectratio="f"/>
                <v:textbox>
                  <w:txbxContent>
                    <w:p w14:paraId="511F5287">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含铬废水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1953895</wp:posOffset>
                </wp:positionH>
                <wp:positionV relativeFrom="paragraph">
                  <wp:posOffset>76200</wp:posOffset>
                </wp:positionV>
                <wp:extent cx="988060" cy="280670"/>
                <wp:effectExtent l="4445" t="4445" r="17145" b="19685"/>
                <wp:wrapNone/>
                <wp:docPr id="224" name="文本框 224"/>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2BC67D">
                            <w:pPr>
                              <w:ind w:left="0" w:leftChars="0" w:firstLine="0" w:firstLineChars="0"/>
                              <w:jc w:val="center"/>
                              <w:rPr>
                                <w:rFonts w:hint="default" w:eastAsia="宋体"/>
                                <w:lang w:val="en-US" w:eastAsia="zh-CN"/>
                              </w:rPr>
                            </w:pPr>
                            <w:r>
                              <w:rPr>
                                <w:rFonts w:hint="eastAsia"/>
                                <w:lang w:val="en-US" w:eastAsia="zh-CN"/>
                              </w:rPr>
                              <w:t>一级水洗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85pt;margin-top:6pt;height:22.1pt;width:77.8pt;z-index:251746304;mso-width-relative:page;mso-height-relative:page;" fillcolor="#FFFFFF [3201]" filled="t" stroked="t" coordsize="21600,21600" o:gfxdata="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LRleT1QAA&#10;AAkBAAAPAAAAAAAAAAEAIAAAACIAAABkcnMvZG93bnJldi54bWxQSwECFAAUAAAACACHTuJAlfFu&#10;yloCAAC6BAAADgAAAAAAAAABACAAAAAkAQAAZHJzL2Uyb0RvYy54bWxQSwUGAAAAAAYABgBZAQAA&#10;8AUAAAAA&#10;">
                <v:fill on="t" focussize="0,0"/>
                <v:stroke weight="0.5pt" color="#000000 [3204]" joinstyle="round"/>
                <v:imagedata o:title=""/>
                <o:lock v:ext="edit" aspectratio="f"/>
                <v:textbox>
                  <w:txbxContent>
                    <w:p w14:paraId="2A2BC67D">
                      <w:pPr>
                        <w:ind w:left="0" w:leftChars="0" w:firstLine="0" w:firstLineChars="0"/>
                        <w:jc w:val="center"/>
                        <w:rPr>
                          <w:rFonts w:hint="default" w:eastAsia="宋体"/>
                          <w:lang w:val="en-US" w:eastAsia="zh-CN"/>
                        </w:rPr>
                      </w:pPr>
                      <w:r>
                        <w:rPr>
                          <w:rFonts w:hint="eastAsia"/>
                          <w:lang w:val="en-US" w:eastAsia="zh-CN"/>
                        </w:rPr>
                        <w:t>一级水洗</w:t>
                      </w:r>
                    </w:p>
                  </w:txbxContent>
                </v:textbox>
              </v:shape>
            </w:pict>
          </mc:Fallback>
        </mc:AlternateContent>
      </w:r>
    </w:p>
    <w:p w14:paraId="50671A9B">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31968" behindDoc="0" locked="0" layoutInCell="1" allowOverlap="1">
                <wp:simplePos x="0" y="0"/>
                <wp:positionH relativeFrom="column">
                  <wp:posOffset>2952750</wp:posOffset>
                </wp:positionH>
                <wp:positionV relativeFrom="paragraph">
                  <wp:posOffset>36195</wp:posOffset>
                </wp:positionV>
                <wp:extent cx="411480" cy="3175"/>
                <wp:effectExtent l="0" t="61595" r="7620" b="68580"/>
                <wp:wrapNone/>
                <wp:docPr id="226" name="直接箭头连接符 226"/>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2.5pt;margin-top:2.85pt;height:0.25pt;width:32.4pt;z-index:251731968;mso-width-relative:page;mso-height-relative:page;" filled="f" stroked="t" coordsize="21600,21600" o:gfxdata="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&#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OIrkP1wAAAAcBAAAPAAAAAAAAAAEAIAAAACIAAABk&#10;cnMvZG93bnJldi54bWxQSwECFAAUAAAACACHTuJAuSYOsQcCAADgAwAADgAAAAAAAAABACAAAAAm&#10;AQAAZHJzL2Uyb0RvYy54bWxQSwUGAAAAAAYABgBZAQAAnwU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1567815</wp:posOffset>
                </wp:positionH>
                <wp:positionV relativeFrom="paragraph">
                  <wp:posOffset>56515</wp:posOffset>
                </wp:positionV>
                <wp:extent cx="411480" cy="3175"/>
                <wp:effectExtent l="0" t="61595" r="7620" b="68580"/>
                <wp:wrapNone/>
                <wp:docPr id="225" name="直接箭头连接符 225"/>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3.45pt;margin-top:4.45pt;height:0.25pt;width:32.4pt;z-index:251731968;mso-width-relative:page;mso-height-relative:page;" filled="f" stroked="t" coordsize="21600,21600" o:gfxdata="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&#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zm+j1wAAAAcBAAAPAAAAAAAAAAEAIAAAACIAAABk&#10;cnMvZG93bnJldi54bWxQSwECFAAUAAAACACHTuJAC79KfgcCAADgAwAADgAAAAAAAAABACAAAAAm&#10;AQAAZHJzL2Uyb0RvYy54bWxQSwUGAAAAAAYABgBZAQAAnwUAAAAA&#10;">
                <v:fill on="f" focussize="0,0"/>
                <v:stroke weight="0.5pt" color="#000000 [3213]" joinstyle="round" endarrow="block" endarrowwidth="wide" endarrowlength="long"/>
                <v:imagedata o:title=""/>
                <o:lock v:ext="edit" aspectratio="f"/>
              </v:shape>
            </w:pict>
          </mc:Fallback>
        </mc:AlternateContent>
      </w:r>
    </w:p>
    <w:p w14:paraId="753BD735">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27200" behindDoc="0" locked="0" layoutInCell="1" allowOverlap="1">
                <wp:simplePos x="0" y="0"/>
                <wp:positionH relativeFrom="column">
                  <wp:posOffset>2500630</wp:posOffset>
                </wp:positionH>
                <wp:positionV relativeFrom="paragraph">
                  <wp:posOffset>12065</wp:posOffset>
                </wp:positionV>
                <wp:extent cx="3175" cy="215265"/>
                <wp:effectExtent l="61595" t="0" r="68580" b="13335"/>
                <wp:wrapNone/>
                <wp:docPr id="297" name="直接箭头连接符 297"/>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6.9pt;margin-top:0.95pt;height:16.95pt;width:0.25pt;z-index:251827200;mso-width-relative:page;mso-height-relative:page;" filled="f" stroked="t" coordsize="21600,21600" o:gfxdata="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1jEd1AAAAAgBAAAPAAAAAAAAAAEAIAAA&#10;ACIAAABkcnMvZG93bnJldi54bWxQSwECFAAUAAAACACHTuJAddM1qxACAADrAwAADgAAAAAAAAAB&#10;ACAAAAAjAQAAZHJzL2Uyb0RvYy54bWxQSwUGAAAAAAYABgBZAQAApQUAAAAA&#10;">
                <v:fill on="f" focussize="0,0"/>
                <v:stroke weight="2pt" color="#000000 [3213]" joinstyle="round" endarrow="block" endarrowwidth="wide" endarrowlength="long"/>
                <v:imagedata o:title=""/>
                <o:lock v:ext="edit" aspectratio="f"/>
              </v:shape>
            </w:pict>
          </mc:Fallback>
        </mc:AlternateContent>
      </w:r>
    </w:p>
    <w:p w14:paraId="5552E481">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67808" behindDoc="0" locked="0" layoutInCell="1" allowOverlap="1">
                <wp:simplePos x="0" y="0"/>
                <wp:positionH relativeFrom="column">
                  <wp:posOffset>1109345</wp:posOffset>
                </wp:positionH>
                <wp:positionV relativeFrom="paragraph">
                  <wp:posOffset>90805</wp:posOffset>
                </wp:positionV>
                <wp:extent cx="744220" cy="280670"/>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E735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35pt;margin-top:7.15pt;height:22.1pt;width:58.6pt;z-index:251767808;mso-width-relative:page;mso-height-relative:page;" filled="f" stroked="f" coordsize="21600,21600" o:gfxdata="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GnhsdoAAAAJAQAADwAAAAAAAAABACAAAAAiAAAA&#10;ZHJzL2Rvd25yZXYueG1sUEsBAhQAFAAAAAgAh07iQF2/BiI+AgAAaQQAAA4AAAAAAAAAAQAgAAAA&#10;KQEAAGRycy9lMm9Eb2MueG1sUEsFBgAAAAAGAAYAWQEAANkFAAAAAA==&#10;">
                <v:fill on="f" focussize="0,0"/>
                <v:stroke on="f" weight="0.5pt"/>
                <v:imagedata o:title=""/>
                <o:lock v:ext="edit" aspectratio="f"/>
                <v:textbox>
                  <w:txbxContent>
                    <w:p w14:paraId="07EE7355">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纯水</w:t>
                      </w:r>
                      <w:r>
                        <w:rPr>
                          <w:rFonts w:hint="eastAsia"/>
                          <w:lang w:val="en-US" w:eastAsia="zh-CN"/>
                          <w14:textFill>
                            <w14:noFill/>
                          </w14:textFill>
                        </w:rPr>
                        <w:t>除油</w:t>
                      </w:r>
                    </w:p>
                  </w:txbxContent>
                </v:textbox>
              </v:shap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1978025</wp:posOffset>
                </wp:positionH>
                <wp:positionV relativeFrom="paragraph">
                  <wp:posOffset>54610</wp:posOffset>
                </wp:positionV>
                <wp:extent cx="988060" cy="280670"/>
                <wp:effectExtent l="4445" t="4445" r="17145" b="19685"/>
                <wp:wrapNone/>
                <wp:docPr id="230" name="文本框 230"/>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EB4DE0">
                            <w:pPr>
                              <w:ind w:left="0" w:leftChars="0" w:firstLine="0" w:firstLineChars="0"/>
                              <w:jc w:val="center"/>
                              <w:rPr>
                                <w:rFonts w:hint="default" w:eastAsia="宋体"/>
                                <w:lang w:val="en-US" w:eastAsia="zh-CN"/>
                              </w:rPr>
                            </w:pPr>
                            <w:r>
                              <w:rPr>
                                <w:rFonts w:hint="eastAsia"/>
                                <w:lang w:val="en-US" w:eastAsia="zh-CN"/>
                              </w:rPr>
                              <w:t>热水封闭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75pt;margin-top:4.3pt;height:22.1pt;width:77.8pt;z-index:251749376;mso-width-relative:page;mso-height-relative:page;" fillcolor="#FFFFFF [3201]" filled="t" stroked="t" coordsize="21600,21600" o:gfxdata="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FIN8y/VAAAA&#10;CAEAAA8AAAAAAAAAAQAgAAAAIgAAAGRycy9kb3ducmV2LnhtbFBLAQIUABQAAAAIAIdO4kCITl60&#10;WQIAALoEAAAOAAAAAAAAAAEAIAAAACQBAABkcnMvZTJvRG9jLnhtbFBLBQYAAAAABgAGAFkBAADv&#10;BQAAAAA=&#10;">
                <v:fill on="t" focussize="0,0"/>
                <v:stroke weight="0.5pt" color="#000000 [3204]" joinstyle="round"/>
                <v:imagedata o:title=""/>
                <o:lock v:ext="edit" aspectratio="f"/>
                <v:textbox>
                  <w:txbxContent>
                    <w:p w14:paraId="40EB4DE0">
                      <w:pPr>
                        <w:ind w:left="0" w:leftChars="0" w:firstLine="0" w:firstLineChars="0"/>
                        <w:jc w:val="center"/>
                        <w:rPr>
                          <w:rFonts w:hint="default" w:eastAsia="宋体"/>
                          <w:lang w:val="en-US" w:eastAsia="zh-CN"/>
                        </w:rPr>
                      </w:pPr>
                      <w:r>
                        <w:rPr>
                          <w:rFonts w:hint="eastAsia"/>
                          <w:lang w:val="en-US" w:eastAsia="zh-CN"/>
                        </w:rPr>
                        <w:t>热水封闭</w:t>
                      </w:r>
                    </w:p>
                  </w:txbxContent>
                </v:textbox>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3284220</wp:posOffset>
                </wp:positionH>
                <wp:positionV relativeFrom="paragraph">
                  <wp:posOffset>79375</wp:posOffset>
                </wp:positionV>
                <wp:extent cx="744220" cy="28067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744220" cy="280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F8926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含镍废水</w:t>
                            </w:r>
                            <w:r>
                              <w:rPr>
                                <w:rFonts w:hint="eastAsia"/>
                                <w:lang w:val="en-US" w:eastAsia="zh-CN"/>
                                <w14:textFill>
                                  <w14:noFill/>
                                </w14:textFill>
                              </w:rPr>
                              <w:t>除油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6pt;margin-top:6.25pt;height:22.1pt;width:58.6pt;z-index:251727872;mso-width-relative:page;mso-height-relative:page;" filled="f" stroked="f" coordsize="21600,21600" o:gfxdata="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&#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irA6toAAAAJAQAADwAAAAAAAAABACAAAAAiAAAA&#10;ZHJzL2Rvd25yZXYueG1sUEsBAhQAFAAAAAgAh07iQNCwHhQ+AgAAaQQAAA4AAAAAAAAAAQAgAAAA&#10;KQEAAGRycy9lMm9Eb2MueG1sUEsFBgAAAAAGAAYAWQEAANkFAAAAAA==&#10;">
                <v:fill on="f" focussize="0,0"/>
                <v:stroke on="f" weight="0.5pt"/>
                <v:imagedata o:title=""/>
                <o:lock v:ext="edit" aspectratio="f"/>
                <v:textbox>
                  <w:txbxContent>
                    <w:p w14:paraId="6DF89268">
                      <w:pPr>
                        <w:ind w:left="0" w:leftChars="0" w:firstLine="0" w:firstLineChars="0"/>
                        <w:jc w:val="center"/>
                        <w:rPr>
                          <w:rFonts w:hint="default" w:eastAsia="宋体"/>
                          <w:lang w:val="en-US" w:eastAsia="zh-CN"/>
                          <w14:textFill>
                            <w14:noFill/>
                          </w14:textFill>
                        </w:rPr>
                      </w:pPr>
                      <w:r>
                        <w:rPr>
                          <w:rFonts w:hint="eastAsia"/>
                          <w:color w:val="auto"/>
                          <w:sz w:val="21"/>
                          <w:szCs w:val="21"/>
                          <w:lang w:val="en-US" w:eastAsia="zh-CN"/>
                        </w:rPr>
                        <w:t>含镍废水</w:t>
                      </w:r>
                      <w:r>
                        <w:rPr>
                          <w:rFonts w:hint="eastAsia"/>
                          <w:lang w:val="en-US" w:eastAsia="zh-CN"/>
                          <w14:textFill>
                            <w14:noFill/>
                          </w14:textFill>
                        </w:rPr>
                        <w:t>除油</w:t>
                      </w:r>
                    </w:p>
                  </w:txbxContent>
                </v:textbox>
              </v:shape>
            </w:pict>
          </mc:Fallback>
        </mc:AlternateContent>
      </w:r>
    </w:p>
    <w:p w14:paraId="5516CAF4">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826176" behindDoc="0" locked="0" layoutInCell="1" allowOverlap="1">
                <wp:simplePos x="0" y="0"/>
                <wp:positionH relativeFrom="column">
                  <wp:posOffset>2486660</wp:posOffset>
                </wp:positionH>
                <wp:positionV relativeFrom="paragraph">
                  <wp:posOffset>170815</wp:posOffset>
                </wp:positionV>
                <wp:extent cx="3175" cy="215265"/>
                <wp:effectExtent l="61595" t="0" r="68580" b="13335"/>
                <wp:wrapNone/>
                <wp:docPr id="298" name="直接箭头连接符 298"/>
                <wp:cNvGraphicFramePr/>
                <a:graphic xmlns:a="http://schemas.openxmlformats.org/drawingml/2006/main">
                  <a:graphicData uri="http://schemas.microsoft.com/office/word/2010/wordprocessingShape">
                    <wps:wsp>
                      <wps:cNvCnPr/>
                      <wps:spPr>
                        <a:xfrm flipH="1">
                          <a:off x="0" y="0"/>
                          <a:ext cx="3175" cy="21526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5.8pt;margin-top:13.45pt;height:16.95pt;width:0.25pt;z-index:251826176;mso-width-relative:page;mso-height-relative:page;" filled="f" stroked="t" coordsize="21600,21600" o:gfxdata="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Nj0U3WAAAACQEAAA8AAAAAAAAAAQAg&#10;AAAAIgAAAGRycy9kb3ducmV2LnhtbFBLAQIUABQAAAAIAIdO4kBAPxHbEAIAAOsDAAAOAAAAAAAA&#10;AAEAIAAAACUBAABkcnMvZTJvRG9jLnhtbFBLBQYAAAAABgAGAFkBAACnBQ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1555115</wp:posOffset>
                </wp:positionH>
                <wp:positionV relativeFrom="paragraph">
                  <wp:posOffset>73660</wp:posOffset>
                </wp:positionV>
                <wp:extent cx="411480" cy="3175"/>
                <wp:effectExtent l="0" t="61595" r="7620" b="68580"/>
                <wp:wrapNone/>
                <wp:docPr id="231" name="直接箭头连接符 231"/>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2.45pt;margin-top:5.8pt;height:0.25pt;width:32.4pt;z-index:251731968;mso-width-relative:page;mso-height-relative:page;" filled="f" stroked="t" coordsize="21600,21600" o:gfxdata="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Y6wBNgAAAAJAQAADwAAAAAAAAABACAAAAAiAAAA&#10;ZHJzL2Rvd25yZXYueG1sUEsBAhQAFAAAAAgAh07iQNoUhRsHAgAA4AMAAA4AAAAAAAAAAQAgAAAA&#10;JwEAAGRycy9lMm9Eb2MueG1sUEsFBgAAAAAGAAYAWQEAAKAFAAAAAA==&#10;">
                <v:fill on="f" focussize="0,0"/>
                <v:stroke weight="0.5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2936240</wp:posOffset>
                </wp:positionH>
                <wp:positionV relativeFrom="paragraph">
                  <wp:posOffset>54610</wp:posOffset>
                </wp:positionV>
                <wp:extent cx="411480" cy="3175"/>
                <wp:effectExtent l="0" t="61595" r="7620" b="68580"/>
                <wp:wrapNone/>
                <wp:docPr id="232" name="直接箭头连接符 232"/>
                <wp:cNvGraphicFramePr/>
                <a:graphic xmlns:a="http://schemas.openxmlformats.org/drawingml/2006/main">
                  <a:graphicData uri="http://schemas.microsoft.com/office/word/2010/wordprocessingShape">
                    <wps:wsp>
                      <wps:cNvCnPr/>
                      <wps:spPr>
                        <a:xfrm>
                          <a:off x="0" y="0"/>
                          <a:ext cx="411480" cy="3175"/>
                        </a:xfrm>
                        <a:prstGeom prst="straightConnector1">
                          <a:avLst/>
                        </a:prstGeom>
                        <a:ln w="6350" cmpd="sng">
                          <a:solidFill>
                            <a:schemeClr val="tx1"/>
                          </a:solidFill>
                          <a:prstDash val="solid"/>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1.2pt;margin-top:4.3pt;height:0.25pt;width:32.4pt;z-index:251731968;mso-width-relative:page;mso-height-relative:page;" filled="f" stroked="t" coordsize="21600,21600" o:gfxdata="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&#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zKkb1wAAAAcBAAAPAAAAAAAAAAEAIAAAACIAAABk&#10;cnMvZG93bnJldi54bWxQSwECFAAUAAAACACHTuJAaI3B1AcCAADgAwAADgAAAAAAAAABACAAAAAm&#10;AQAAZHJzL2Uyb0RvYy54bWxQSwUGAAAAAAYABgBZAQAAnwUAAAAA&#10;">
                <v:fill on="f" focussize="0,0"/>
                <v:stroke weight="0.5pt" color="#000000 [3213]" joinstyle="round" endarrow="block" endarrowwidth="wide" endarrowlength="long"/>
                <v:imagedata o:title=""/>
                <o:lock v:ext="edit" aspectratio="f"/>
              </v:shape>
            </w:pict>
          </mc:Fallback>
        </mc:AlternateContent>
      </w:r>
    </w:p>
    <w:p w14:paraId="69859B88">
      <w:pPr>
        <w:pStyle w:val="37"/>
        <w:rPr>
          <w:rFonts w:hint="default" w:ascii="Times New Roman" w:hAnsi="Times New Roman" w:cs="Times New Roman"/>
          <w:color w:val="FF0000"/>
          <w:u w:val="none"/>
        </w:rPr>
      </w:pPr>
    </w:p>
    <w:p w14:paraId="3C0E4962">
      <w:pPr>
        <w:pStyle w:val="37"/>
        <w:rPr>
          <w:rFonts w:hint="default" w:ascii="Times New Roman" w:hAnsi="Times New Roman" w:cs="Times New Roman"/>
          <w:color w:val="FF0000"/>
          <w:u w:val="none"/>
        </w:rPr>
      </w:pPr>
      <w:r>
        <w:rPr>
          <w:sz w:val="24"/>
        </w:rPr>
        <mc:AlternateContent>
          <mc:Choice Requires="wps">
            <w:drawing>
              <wp:anchor distT="0" distB="0" distL="114300" distR="114300" simplePos="0" relativeHeight="251754496" behindDoc="0" locked="0" layoutInCell="1" allowOverlap="1">
                <wp:simplePos x="0" y="0"/>
                <wp:positionH relativeFrom="column">
                  <wp:posOffset>3332480</wp:posOffset>
                </wp:positionH>
                <wp:positionV relativeFrom="paragraph">
                  <wp:posOffset>34925</wp:posOffset>
                </wp:positionV>
                <wp:extent cx="592455" cy="280670"/>
                <wp:effectExtent l="4445" t="4445" r="12700" b="19685"/>
                <wp:wrapNone/>
                <wp:docPr id="236" name="文本框 236"/>
                <wp:cNvGraphicFramePr/>
                <a:graphic xmlns:a="http://schemas.openxmlformats.org/drawingml/2006/main">
                  <a:graphicData uri="http://schemas.microsoft.com/office/word/2010/wordprocessingShape">
                    <wps:wsp>
                      <wps:cNvSpPr txBox="1"/>
                      <wps:spPr>
                        <a:xfrm>
                          <a:off x="0" y="0"/>
                          <a:ext cx="592455"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39FD55">
                            <w:pPr>
                              <w:ind w:left="0" w:leftChars="0" w:firstLine="0" w:firstLineChars="0"/>
                              <w:jc w:val="center"/>
                              <w:rPr>
                                <w:rFonts w:hint="default" w:eastAsia="宋体"/>
                                <w:lang w:val="en-US" w:eastAsia="zh-CN"/>
                              </w:rPr>
                            </w:pPr>
                            <w:r>
                              <w:rPr>
                                <w:rFonts w:hint="eastAsia"/>
                                <w:lang w:val="en-US" w:eastAsia="zh-CN"/>
                              </w:rPr>
                              <w:t>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4pt;margin-top:2.75pt;height:22.1pt;width:46.65pt;z-index:251754496;mso-width-relative:page;mso-height-relative:page;" fillcolor="#FFFFFF [3201]" filled="t" stroked="t" coordsize="21600,21600" o:gfxdata="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a6G&#10;p9YAAAAIAQAADwAAAAAAAAABACAAAAAiAAAAZHJzL2Rvd25yZXYueG1sUEsBAhQAFAAAAAgAh07i&#10;QMkHOhJdAgAAugQAAA4AAAAAAAAAAQAgAAAAJQEAAGRycy9lMm9Eb2MueG1sUEsFBgAAAAAGAAYA&#10;WQEAAPQFAAAAAA==&#10;">
                <v:fill on="t" focussize="0,0"/>
                <v:stroke weight="0.5pt" color="#000000 [3204]" joinstyle="round"/>
                <v:imagedata o:title=""/>
                <o:lock v:ext="edit" aspectratio="f"/>
                <v:textbox>
                  <w:txbxContent>
                    <w:p w14:paraId="0939FD55">
                      <w:pPr>
                        <w:ind w:left="0" w:leftChars="0" w:firstLine="0" w:firstLineChars="0"/>
                        <w:jc w:val="center"/>
                        <w:rPr>
                          <w:rFonts w:hint="default" w:eastAsia="宋体"/>
                          <w:lang w:val="en-US" w:eastAsia="zh-CN"/>
                        </w:rPr>
                      </w:pPr>
                      <w:r>
                        <w:rPr>
                          <w:rFonts w:hint="eastAsia"/>
                          <w:lang w:val="en-US" w:eastAsia="zh-CN"/>
                        </w:rPr>
                        <w:t>入库</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2989580</wp:posOffset>
                </wp:positionH>
                <wp:positionV relativeFrom="paragraph">
                  <wp:posOffset>164465</wp:posOffset>
                </wp:positionV>
                <wp:extent cx="309880" cy="4445"/>
                <wp:effectExtent l="0" t="61595" r="13970" b="67310"/>
                <wp:wrapNone/>
                <wp:docPr id="235" name="直接箭头连接符 235"/>
                <wp:cNvGraphicFramePr/>
                <a:graphic xmlns:a="http://schemas.openxmlformats.org/drawingml/2006/main">
                  <a:graphicData uri="http://schemas.microsoft.com/office/word/2010/wordprocessingShape">
                    <wps:wsp>
                      <wps:cNvCnPr>
                        <a:stCxn id="234" idx="3"/>
                      </wps:cNvCnPr>
                      <wps:spPr>
                        <a:xfrm flipV="1">
                          <a:off x="0" y="0"/>
                          <a:ext cx="309880" cy="4445"/>
                        </a:xfrm>
                        <a:prstGeom prst="straightConnector1">
                          <a:avLst/>
                        </a:prstGeom>
                        <a:ln>
                          <a:solidFill>
                            <a:schemeClr val="tx1"/>
                          </a:solidFill>
                          <a:tailEnd type="triangle" w="lg" len="lg"/>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5.4pt;margin-top:12.95pt;height:0.35pt;width:24.4pt;z-index:251751424;mso-width-relative:page;mso-height-relative:page;" filled="f" stroked="t" coordsize="21600,21600" o:gfxdata="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owD2zWAAAA&#10;CQEAAA8AAAAAAAAAAQAgAAAAIgAAAGRycy9kb3ducmV2LnhtbFBLAQIUABQAAAAIAIdO4kBCJrpJ&#10;HwIAABMEAAAOAAAAAAAAAAEAIAAAACUBAABkcnMvZTJvRG9jLnhtbFBLBQYAAAAABgAGAFkBAAC2&#10;BQAAAAA=&#10;">
                <v:fill on="f" focussize="0,0"/>
                <v:stroke weight="2pt" color="#000000 [3213]" joinstyle="round" endarrow="block" endarrowwidth="wide" endarrowlength="long"/>
                <v:imagedata o:title=""/>
                <o:lock v:ext="edit" aspectratio="f"/>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2001520</wp:posOffset>
                </wp:positionH>
                <wp:positionV relativeFrom="paragraph">
                  <wp:posOffset>28575</wp:posOffset>
                </wp:positionV>
                <wp:extent cx="988060" cy="280670"/>
                <wp:effectExtent l="4445" t="4445" r="17145" b="19685"/>
                <wp:wrapNone/>
                <wp:docPr id="234" name="文本框 234"/>
                <wp:cNvGraphicFramePr/>
                <a:graphic xmlns:a="http://schemas.openxmlformats.org/drawingml/2006/main">
                  <a:graphicData uri="http://schemas.microsoft.com/office/word/2010/wordprocessingShape">
                    <wps:wsp>
                      <wps:cNvSpPr txBox="1"/>
                      <wps:spPr>
                        <a:xfrm>
                          <a:off x="0" y="0"/>
                          <a:ext cx="988060" cy="2806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7001F1">
                            <w:pPr>
                              <w:ind w:left="0" w:leftChars="0" w:firstLine="0" w:firstLineChars="0"/>
                              <w:jc w:val="center"/>
                              <w:rPr>
                                <w:rFonts w:hint="default" w:eastAsia="宋体"/>
                                <w:lang w:val="en-US" w:eastAsia="zh-CN"/>
                              </w:rPr>
                            </w:pPr>
                            <w:r>
                              <w:rPr>
                                <w:rFonts w:hint="eastAsia"/>
                                <w:lang w:val="en-US" w:eastAsia="zh-CN"/>
                              </w:rPr>
                              <w:t>烘干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6pt;margin-top:2.25pt;height:22.1pt;width:77.8pt;z-index:251752448;mso-width-relative:page;mso-height-relative:page;" fillcolor="#FFFFFF [3201]" filled="t" stroked="t" coordsize="21600,21600" o:gfxdata="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gcH9YA&#10;AAAIAQAADwAAAAAAAAABACAAAAAiAAAAZHJzL2Rvd25yZXYueG1sUEsBAhQAFAAAAAgAh07iQBRk&#10;0YJaAgAAugQAAA4AAAAAAAAAAQAgAAAAJQEAAGRycy9lMm9Eb2MueG1sUEsFBgAAAAAGAAYAWQEA&#10;APEFAAAAAA==&#10;">
                <v:fill on="t" focussize="0,0"/>
                <v:stroke weight="0.5pt" color="#000000 [3204]" joinstyle="round"/>
                <v:imagedata o:title=""/>
                <o:lock v:ext="edit" aspectratio="f"/>
                <v:textbox>
                  <w:txbxContent>
                    <w:p w14:paraId="517001F1">
                      <w:pPr>
                        <w:ind w:left="0" w:leftChars="0" w:firstLine="0" w:firstLineChars="0"/>
                        <w:jc w:val="center"/>
                        <w:rPr>
                          <w:rFonts w:hint="default" w:eastAsia="宋体"/>
                          <w:lang w:val="en-US" w:eastAsia="zh-CN"/>
                        </w:rPr>
                      </w:pPr>
                      <w:r>
                        <w:rPr>
                          <w:rFonts w:hint="eastAsia"/>
                          <w:lang w:val="en-US" w:eastAsia="zh-CN"/>
                        </w:rPr>
                        <w:t>烘干</w:t>
                      </w:r>
                    </w:p>
                  </w:txbxContent>
                </v:textbox>
              </v:shape>
            </w:pict>
          </mc:Fallback>
        </mc:AlternateContent>
      </w:r>
    </w:p>
    <w:p w14:paraId="0C575053">
      <w:pPr>
        <w:pStyle w:val="38"/>
        <w:rPr>
          <w:rFonts w:hint="default" w:ascii="Times New Roman" w:hAnsi="Times New Roman" w:cs="Times New Roman"/>
          <w:b/>
          <w:bCs/>
          <w:color w:val="FF0000"/>
          <w:u w:val="none"/>
        </w:rPr>
      </w:pPr>
    </w:p>
    <w:p w14:paraId="4E9DC855">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图4.1-</w:t>
      </w:r>
      <w:r>
        <w:rPr>
          <w:rFonts w:hint="eastAsia" w:cs="Times New Roman"/>
          <w:b/>
          <w:bCs/>
          <w:color w:val="auto"/>
          <w:u w:val="none"/>
          <w:lang w:val="en-US" w:eastAsia="zh-CN"/>
        </w:rPr>
        <w:t>2</w:t>
      </w:r>
      <w:r>
        <w:rPr>
          <w:rFonts w:hint="default" w:ascii="Times New Roman" w:hAnsi="Times New Roman" w:cs="Times New Roman"/>
          <w:b/>
          <w:bCs/>
          <w:color w:val="auto"/>
          <w:u w:val="none"/>
        </w:rPr>
        <w:t xml:space="preserve">  小线自动化生产线工艺及产污节点图</w:t>
      </w:r>
    </w:p>
    <w:p w14:paraId="1A072B6F">
      <w:pPr>
        <w:keepNext w:val="0"/>
        <w:keepLines w:val="0"/>
        <w:pageBreakBefore w:val="0"/>
        <w:widowControl w:val="0"/>
        <w:kinsoku/>
        <w:wordWrap/>
        <w:overflowPunct/>
        <w:topLinePunct w:val="0"/>
        <w:autoSpaceDE/>
        <w:autoSpaceDN/>
        <w:bidi w:val="0"/>
        <w:adjustRightInd/>
        <w:snapToGrid/>
        <w:spacing w:line="324" w:lineRule="auto"/>
        <w:ind w:firstLine="480"/>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工艺流程简述</w:t>
      </w:r>
    </w:p>
    <w:p w14:paraId="1E687A85">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化学除油</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采用脱脂剂去除金属表面油污，生产时若发现除油效果减弱，可适当添加药剂及自来水，温度控制在50-60°C</w:t>
      </w:r>
      <w:r>
        <w:rPr>
          <w:rFonts w:hint="eastAsia" w:ascii="Times New Roman" w:hAnsi="Times New Roman" w:cs="Times New Roman"/>
          <w:color w:val="auto"/>
          <w:u w:val="none"/>
          <w:lang w:eastAsia="zh-CN"/>
        </w:rPr>
        <w:t>。</w:t>
      </w:r>
    </w:p>
    <w:p w14:paraId="11BACD7E">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热水洗</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化学除油后采用自来水加温清洗，将工件送入水洗槽中进行清洗，温度控制在30-40°C</w:t>
      </w:r>
      <w:r>
        <w:rPr>
          <w:rFonts w:hint="eastAsia" w:ascii="Times New Roman" w:hAnsi="Times New Roman" w:cs="Times New Roman"/>
          <w:color w:val="auto"/>
          <w:u w:val="none"/>
          <w:lang w:eastAsia="zh-CN"/>
        </w:rPr>
        <w:t>。</w:t>
      </w:r>
    </w:p>
    <w:p w14:paraId="7BE947C8">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3</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冷水洗：初道水洗后，再次把工件送入水洗槽进行清洗，常温</w:t>
      </w:r>
      <w:r>
        <w:rPr>
          <w:rFonts w:hint="eastAsia" w:ascii="Times New Roman" w:hAnsi="Times New Roman" w:cs="Times New Roman"/>
          <w:color w:val="auto"/>
          <w:u w:val="none"/>
          <w:lang w:eastAsia="zh-CN"/>
        </w:rPr>
        <w:t>。</w:t>
      </w:r>
    </w:p>
    <w:p w14:paraId="1DA87C16">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4</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碱腐蚀:在 2.5%的氢氧化钠溶液中进行表面清洗，其作用是进行补充处理，以便进一步清理表面附着的油污脏物，清除产品表面的自然氧化膜及轻微的划擦伤，从而使产品露出纯净的金属基体，利于阳极膜的生成并获得较高质量的膜层，温度控制</w:t>
      </w:r>
      <w:r>
        <w:rPr>
          <w:rFonts w:hint="eastAsia" w:ascii="Times New Roman" w:hAnsi="Times New Roman" w:cs="Times New Roman"/>
          <w:color w:val="auto"/>
          <w:u w:val="none"/>
          <w:lang w:val="en-US" w:eastAsia="zh-CN"/>
        </w:rPr>
        <w:t>45</w:t>
      </w:r>
      <w:r>
        <w:rPr>
          <w:rFonts w:hint="default" w:ascii="Times New Roman" w:hAnsi="Times New Roman" w:cs="Times New Roman"/>
          <w:color w:val="auto"/>
          <w:u w:val="none"/>
        </w:rPr>
        <w:t>-65°C</w:t>
      </w:r>
      <w:r>
        <w:rPr>
          <w:rFonts w:hint="eastAsia" w:ascii="Times New Roman" w:hAnsi="Times New Roman" w:cs="Times New Roman"/>
          <w:color w:val="auto"/>
          <w:u w:val="none"/>
          <w:lang w:eastAsia="zh-CN"/>
        </w:rPr>
        <w:t>。</w:t>
      </w:r>
    </w:p>
    <w:p w14:paraId="4E725BB3">
      <w:pPr>
        <w:ind w:firstLine="480"/>
        <w:rPr>
          <w:rFonts w:hint="eastAsia" w:ascii="Times New Roman" w:hAnsi="Times New Roman" w:eastAsia="宋体" w:cs="Times New Roman"/>
          <w:color w:val="auto"/>
          <w:u w:val="none"/>
          <w:lang w:eastAsia="zh-CN"/>
        </w:rPr>
      </w:pPr>
      <w:bookmarkStart w:id="84" w:name="_Hlk183608609"/>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5</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热水洗:碱腐蚀后采用自来水加温清洗，将工件送入水洗槽中进行清洗，温度控制在30-40°C</w:t>
      </w:r>
      <w:r>
        <w:rPr>
          <w:rFonts w:hint="eastAsia" w:ascii="Times New Roman" w:hAnsi="Times New Roman" w:cs="Times New Roman"/>
          <w:color w:val="auto"/>
          <w:u w:val="none"/>
          <w:lang w:eastAsia="zh-CN"/>
        </w:rPr>
        <w:t>。</w:t>
      </w:r>
    </w:p>
    <w:p w14:paraId="479C4533">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6</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冷水洗：经初道水洗后，再次把工件送入水洗槽进行清洗，常温</w:t>
      </w:r>
      <w:r>
        <w:rPr>
          <w:rFonts w:hint="eastAsia" w:ascii="Times New Roman" w:hAnsi="Times New Roman" w:cs="Times New Roman"/>
          <w:color w:val="auto"/>
          <w:u w:val="none"/>
          <w:lang w:eastAsia="zh-CN"/>
        </w:rPr>
        <w:t>。</w:t>
      </w:r>
    </w:p>
    <w:p w14:paraId="2E3B97FD">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7</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出光:碱腐蚀后使用无氮中和剂进行清洗，并对工件表面进行中和处理，常温</w:t>
      </w:r>
      <w:r>
        <w:rPr>
          <w:rFonts w:hint="eastAsia" w:ascii="Times New Roman" w:hAnsi="Times New Roman" w:cs="Times New Roman"/>
          <w:color w:val="auto"/>
          <w:u w:val="none"/>
          <w:lang w:eastAsia="zh-CN"/>
        </w:rPr>
        <w:t>。</w:t>
      </w:r>
    </w:p>
    <w:p w14:paraId="3996E1DD">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8</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冷水洗:出光后采用两联逆流纯水清洗，将工件送入水洗槽中进行清洗，依次经过两道水洗槽清洗</w:t>
      </w:r>
      <w:r>
        <w:rPr>
          <w:rFonts w:hint="eastAsia" w:ascii="Times New Roman" w:hAnsi="Times New Roman" w:cs="Times New Roman"/>
          <w:color w:val="auto"/>
          <w:u w:val="none"/>
          <w:lang w:eastAsia="zh-CN"/>
        </w:rPr>
        <w:t>。</w:t>
      </w:r>
    </w:p>
    <w:bookmarkEnd w:id="84"/>
    <w:p w14:paraId="52816ABA">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9</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化学研磨：调整工件表面的光泽度，温度控制再85-95°C</w:t>
      </w:r>
      <w:r>
        <w:rPr>
          <w:rFonts w:hint="eastAsia" w:ascii="Times New Roman" w:hAnsi="Times New Roman" w:cs="Times New Roman"/>
          <w:color w:val="auto"/>
          <w:u w:val="none"/>
          <w:lang w:eastAsia="zh-CN"/>
        </w:rPr>
        <w:t>。</w:t>
      </w:r>
    </w:p>
    <w:p w14:paraId="3DF18E08">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10</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热水洗:化学研磨后采用自来水加温清洗，将工件送入水洗槽中进行清洗，温度控制在30-40°C</w:t>
      </w:r>
      <w:r>
        <w:rPr>
          <w:rFonts w:hint="eastAsia" w:ascii="Times New Roman" w:hAnsi="Times New Roman" w:cs="Times New Roman"/>
          <w:color w:val="auto"/>
          <w:u w:val="none"/>
          <w:lang w:eastAsia="zh-CN"/>
        </w:rPr>
        <w:t>。</w:t>
      </w:r>
    </w:p>
    <w:p w14:paraId="278893DC">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11</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冷水洗：经初道水洗后，再次把工件送入水洗槽进行清洗，常温</w:t>
      </w:r>
      <w:r>
        <w:rPr>
          <w:rFonts w:hint="eastAsia" w:ascii="Times New Roman" w:hAnsi="Times New Roman" w:cs="Times New Roman"/>
          <w:color w:val="auto"/>
          <w:u w:val="none"/>
          <w:lang w:eastAsia="zh-CN"/>
        </w:rPr>
        <w:t>。</w:t>
      </w:r>
    </w:p>
    <w:p w14:paraId="0392C6AD">
      <w:pPr>
        <w:ind w:firstLine="480"/>
        <w:rPr>
          <w:rFonts w:hint="default" w:ascii="Times New Roman" w:hAnsi="Times New Roman" w:cs="Times New Roman"/>
          <w:color w:val="auto"/>
          <w:u w:val="none"/>
        </w:rPr>
      </w:pPr>
      <w:bookmarkStart w:id="85" w:name="_Hlk183608624"/>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12</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出光:化学研磨后使用无氮中和剂进行清洗，并对工件表面进行中和处理，常温;</w:t>
      </w:r>
    </w:p>
    <w:p w14:paraId="6F7B8038">
      <w:pPr>
        <w:ind w:firstLine="480"/>
        <w:rPr>
          <w:rFonts w:hint="eastAsia" w:ascii="Times New Roman" w:hAnsi="Times New Roman" w:eastAsia="宋体" w:cs="Times New Roman"/>
          <w:color w:val="auto"/>
          <w:u w:val="none"/>
          <w:lang w:eastAsia="zh-CN"/>
        </w:rPr>
      </w:pPr>
      <w:bookmarkStart w:id="86" w:name="_Hlk183609065"/>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13</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出光后采用两联逆流纯水清洗，将工件送入水洗槽中进行清洗，依次经过两道水洗槽清洗</w:t>
      </w:r>
      <w:r>
        <w:rPr>
          <w:rFonts w:hint="eastAsia" w:ascii="Times New Roman" w:hAnsi="Times New Roman" w:cs="Times New Roman"/>
          <w:color w:val="auto"/>
          <w:u w:val="none"/>
          <w:lang w:eastAsia="zh-CN"/>
        </w:rPr>
        <w:t>。</w:t>
      </w:r>
    </w:p>
    <w:bookmarkEnd w:id="85"/>
    <w:bookmarkEnd w:id="86"/>
    <w:p w14:paraId="7D6F97B4">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14</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阳极氧化</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氧化就是在铝及其合金所制成的物件上作成装饰及保护膜的一种过程，把铝件作为阳极施加低压直流电进行电解氧化，通电一定时间使铝件表面生成一层致密的、有孔隙的阳极氧化膜。铝件的阳极氧化处理，以硫酸氧化应用较多，本工艺选用环境污染相对适中、氧化效果较好、技术成熟的硫酸进行氧化处理。在硫酸电解液中，阳极氧化初始的短暂时间内，其表面受到均匀氧化，生成极薄而又非常致密的膜，由于硫酸的作用，膜的最弱点发生局部溶解，而出现大量孔隙，即原生氧化中心，使机体金属能与进入孔隙的电解液接触，电流也因此得以继续传导，新生成的氧离子则用来氧化新的金属，并以孔底为中心而展开，最后汇合，在旧膜和金属之间形成一层新膜，使局部溶解的旧膜如同得到“修补”。随着氧化时间的延长，膜的不断溶解或修补，氧化反应得以向纵深发展，从而使制品表面生成薄而致密的内层和厚而多的外层所组成的氧化膜。温度在1</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-22°C</w:t>
      </w:r>
      <w:r>
        <w:rPr>
          <w:rFonts w:hint="eastAsia" w:ascii="Times New Roman" w:hAnsi="Times New Roman" w:cs="Times New Roman"/>
          <w:color w:val="auto"/>
          <w:u w:val="none"/>
          <w:lang w:eastAsia="zh-CN"/>
        </w:rPr>
        <w:t>。</w:t>
      </w:r>
    </w:p>
    <w:p w14:paraId="655B408B">
      <w:pPr>
        <w:ind w:firstLine="480"/>
        <w:rPr>
          <w:rFonts w:hint="eastAsia" w:ascii="Times New Roman" w:hAnsi="Times New Roman" w:eastAsia="宋体" w:cs="Times New Roman"/>
          <w:color w:val="auto"/>
          <w:u w:val="none"/>
          <w:lang w:eastAsia="zh-CN"/>
        </w:rPr>
      </w:pPr>
      <w:bookmarkStart w:id="87" w:name="_Hlk183610421"/>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15</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阳极氧化后采用三联逆流纯水清洗，将工件送入水洗槽中进行清洗，依次经过三道水洗槽清洗，常温</w:t>
      </w:r>
      <w:r>
        <w:rPr>
          <w:rFonts w:hint="eastAsia" w:ascii="Times New Roman" w:hAnsi="Times New Roman" w:cs="Times New Roman"/>
          <w:color w:val="auto"/>
          <w:u w:val="none"/>
          <w:lang w:eastAsia="zh-CN"/>
        </w:rPr>
        <w:t>。</w:t>
      </w:r>
    </w:p>
    <w:bookmarkEnd w:id="87"/>
    <w:p w14:paraId="4A97BC21">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16</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超声波清洗：主要通过超声设备震荡纯水，清洗工件内腔盲孔及凸凹等不规则地方的清洗</w:t>
      </w:r>
      <w:r>
        <w:rPr>
          <w:rFonts w:hint="eastAsia" w:ascii="Times New Roman" w:hAnsi="Times New Roman" w:cs="Times New Roman"/>
          <w:color w:val="auto"/>
          <w:u w:val="none"/>
          <w:lang w:eastAsia="zh-CN"/>
        </w:rPr>
        <w:t>。</w:t>
      </w:r>
    </w:p>
    <w:p w14:paraId="3D781196">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17</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染色</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水超后经过阳极氧化得到的新鲜氧化膜，通过膜层的物理吸附能力和化学沉淀的方式，染料被吸附在孔隙表面上，并向孔内扩散、堆积，而且与氧化铝进行离子键、氢键结合而使膜层着色</w:t>
      </w:r>
      <w:r>
        <w:rPr>
          <w:rFonts w:hint="eastAsia" w:ascii="Times New Roman" w:hAnsi="Times New Roman" w:cs="Times New Roman"/>
          <w:color w:val="auto"/>
          <w:u w:val="none"/>
          <w:lang w:eastAsia="zh-CN"/>
        </w:rPr>
        <w:t>。</w:t>
      </w:r>
    </w:p>
    <w:p w14:paraId="77BFAF78">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18</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冷水洗：经染色处理后纯水清洗，把工件送入水洗槽进行清洗，常温</w:t>
      </w:r>
      <w:r>
        <w:rPr>
          <w:rFonts w:hint="eastAsia" w:ascii="Times New Roman" w:hAnsi="Times New Roman" w:cs="Times New Roman"/>
          <w:color w:val="auto"/>
          <w:u w:val="none"/>
          <w:lang w:eastAsia="zh-CN"/>
        </w:rPr>
        <w:t>。</w:t>
      </w:r>
    </w:p>
    <w:p w14:paraId="4BA6727A">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19</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镍盐封闭 /铬酸盐封闭：染色后必须进行封孔处理，根据不同工艺要求采用不同的封孔工艺（二选一），其目的是提高耐蚀性、提高抗污染能力和固定色素体。铝合金硫酸阳极化后会在基体表面形成新鲜的氧化膜,该膜层经过封闭处理后可大副度提高耐蚀性能。温度控制再95-100°C</w:t>
      </w:r>
      <w:r>
        <w:rPr>
          <w:rFonts w:hint="eastAsia" w:ascii="Times New Roman" w:hAnsi="Times New Roman" w:cs="Times New Roman"/>
          <w:color w:val="auto"/>
          <w:u w:val="none"/>
          <w:lang w:eastAsia="zh-CN"/>
        </w:rPr>
        <w:t>。</w:t>
      </w:r>
    </w:p>
    <w:p w14:paraId="75AD3665">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20</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冷水洗:封闭后采用两联逆流纯水清洗，将工件送入水洗槽中进行清洗，依次经过两道水洗槽清洗，常温</w:t>
      </w:r>
      <w:r>
        <w:rPr>
          <w:rFonts w:hint="eastAsia" w:ascii="Times New Roman" w:hAnsi="Times New Roman" w:cs="Times New Roman"/>
          <w:color w:val="auto"/>
          <w:u w:val="none"/>
          <w:lang w:eastAsia="zh-CN"/>
        </w:rPr>
        <w:t>。</w:t>
      </w:r>
    </w:p>
    <w:p w14:paraId="3C20CB18">
      <w:pPr>
        <w:ind w:firstLine="480"/>
        <w:rPr>
          <w:rFonts w:hint="eastAsia" w:ascii="Times New Roman" w:hAnsi="Times New Roman" w:eastAsia="宋体" w:cs="Times New Roman"/>
          <w:color w:val="auto"/>
          <w:u w:val="none"/>
          <w:lang w:eastAsia="zh-CN"/>
        </w:rPr>
      </w:pP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21</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热水洗：通过热水清洗，可以使其产品提出水面时表面快速沥干水分，加快烘干速度温度控制再85-90°C</w:t>
      </w:r>
      <w:r>
        <w:rPr>
          <w:rFonts w:hint="eastAsia" w:ascii="Times New Roman" w:hAnsi="Times New Roman" w:cs="Times New Roman"/>
          <w:color w:val="auto"/>
          <w:u w:val="none"/>
          <w:lang w:eastAsia="zh-CN"/>
        </w:rPr>
        <w:t>。</w:t>
      </w:r>
    </w:p>
    <w:p w14:paraId="37F0CE76">
      <w:pPr>
        <w:pStyle w:val="4"/>
        <w:ind w:left="0" w:leftChars="0" w:firstLineChars="0"/>
        <w:rPr>
          <w:rFonts w:hint="default" w:ascii="Times New Roman" w:hAnsi="Times New Roman" w:cs="Times New Roman"/>
          <w:b/>
          <w:bCs w:val="0"/>
          <w:color w:val="auto"/>
          <w:u w:val="none"/>
        </w:rPr>
      </w:pPr>
      <w:bookmarkStart w:id="88" w:name="_Toc3552"/>
      <w:bookmarkStart w:id="89" w:name="_Toc11914767"/>
      <w:bookmarkStart w:id="90" w:name="_Toc12556"/>
      <w:bookmarkStart w:id="91" w:name="_Toc21527"/>
      <w:r>
        <w:rPr>
          <w:rFonts w:hint="default" w:ascii="Times New Roman" w:hAnsi="Times New Roman" w:cs="Times New Roman"/>
          <w:b/>
          <w:bCs w:val="0"/>
          <w:color w:val="auto"/>
          <w:u w:val="none"/>
        </w:rPr>
        <w:t>产污环节</w:t>
      </w:r>
      <w:bookmarkEnd w:id="88"/>
    </w:p>
    <w:p w14:paraId="5C686BD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表4.2-1  主要产污环节一览表</w:t>
      </w:r>
    </w:p>
    <w:tbl>
      <w:tblPr>
        <w:tblStyle w:val="30"/>
        <w:tblW w:w="498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48"/>
        <w:gridCol w:w="755"/>
        <w:gridCol w:w="1401"/>
        <w:gridCol w:w="1962"/>
        <w:gridCol w:w="1970"/>
        <w:gridCol w:w="3088"/>
      </w:tblGrid>
      <w:tr w14:paraId="7AA24D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783190B6">
            <w:pPr>
              <w:pStyle w:val="56"/>
              <w:rPr>
                <w:rFonts w:hint="default" w:ascii="Times New Roman" w:hAnsi="Times New Roman" w:cs="Times New Roman"/>
                <w:b/>
                <w:bCs/>
                <w:color w:val="auto"/>
                <w:u w:val="none"/>
              </w:rPr>
            </w:pPr>
            <w:bookmarkStart w:id="92" w:name="OLE_LINK50"/>
            <w:r>
              <w:rPr>
                <w:rFonts w:hint="default" w:ascii="Times New Roman" w:hAnsi="Times New Roman" w:cs="Times New Roman"/>
                <w:b/>
                <w:bCs/>
                <w:color w:val="auto"/>
                <w:u w:val="none"/>
              </w:rPr>
              <w:t>类型</w:t>
            </w:r>
          </w:p>
        </w:tc>
        <w:tc>
          <w:tcPr>
            <w:tcW w:w="1097" w:type="pct"/>
            <w:gridSpan w:val="2"/>
            <w:tcBorders>
              <w:tl2br w:val="nil"/>
              <w:tr2bl w:val="nil"/>
            </w:tcBorders>
            <w:vAlign w:val="center"/>
          </w:tcPr>
          <w:p w14:paraId="4202F78C">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工序</w:t>
            </w:r>
          </w:p>
        </w:tc>
        <w:tc>
          <w:tcPr>
            <w:tcW w:w="998" w:type="pct"/>
            <w:tcBorders>
              <w:tl2br w:val="nil"/>
              <w:tr2bl w:val="nil"/>
            </w:tcBorders>
            <w:vAlign w:val="center"/>
          </w:tcPr>
          <w:p w14:paraId="6841EA3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污染源</w:t>
            </w:r>
          </w:p>
        </w:tc>
        <w:tc>
          <w:tcPr>
            <w:tcW w:w="1002" w:type="pct"/>
            <w:tcBorders>
              <w:tl2br w:val="nil"/>
              <w:tr2bl w:val="nil"/>
            </w:tcBorders>
            <w:vAlign w:val="center"/>
          </w:tcPr>
          <w:p w14:paraId="42C202AF">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主要污染物</w:t>
            </w:r>
          </w:p>
        </w:tc>
        <w:tc>
          <w:tcPr>
            <w:tcW w:w="1571" w:type="pct"/>
            <w:tcBorders>
              <w:tl2br w:val="nil"/>
              <w:tr2bl w:val="nil"/>
            </w:tcBorders>
            <w:vAlign w:val="center"/>
          </w:tcPr>
          <w:p w14:paraId="0FC9D99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拟采取的污染防治措施</w:t>
            </w:r>
          </w:p>
        </w:tc>
      </w:tr>
      <w:tr w14:paraId="2D5BDC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restart"/>
            <w:tcBorders>
              <w:tl2br w:val="nil"/>
              <w:tr2bl w:val="nil"/>
            </w:tcBorders>
            <w:vAlign w:val="center"/>
          </w:tcPr>
          <w:p w14:paraId="0EBA09E4">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废气</w:t>
            </w:r>
          </w:p>
        </w:tc>
        <w:tc>
          <w:tcPr>
            <w:tcW w:w="1097" w:type="pct"/>
            <w:gridSpan w:val="2"/>
            <w:tcBorders>
              <w:tl2br w:val="nil"/>
              <w:tr2bl w:val="nil"/>
            </w:tcBorders>
            <w:vAlign w:val="center"/>
          </w:tcPr>
          <w:p w14:paraId="2C044E08">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阳极氧化线</w:t>
            </w:r>
          </w:p>
        </w:tc>
        <w:tc>
          <w:tcPr>
            <w:tcW w:w="998" w:type="pct"/>
            <w:tcBorders>
              <w:tl2br w:val="nil"/>
              <w:tr2bl w:val="nil"/>
            </w:tcBorders>
            <w:vAlign w:val="center"/>
          </w:tcPr>
          <w:p w14:paraId="7E1EADC8">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氧化槽</w:t>
            </w:r>
          </w:p>
        </w:tc>
        <w:tc>
          <w:tcPr>
            <w:tcW w:w="1002" w:type="pct"/>
            <w:tcBorders>
              <w:tl2br w:val="nil"/>
              <w:tr2bl w:val="nil"/>
            </w:tcBorders>
            <w:vAlign w:val="center"/>
          </w:tcPr>
          <w:p w14:paraId="4539A022">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硫酸雾</w:t>
            </w:r>
            <w:r>
              <w:rPr>
                <w:rFonts w:hint="eastAsia" w:cs="Times New Roman"/>
                <w:color w:val="auto"/>
                <w:u w:val="none"/>
                <w:lang w:eastAsia="zh-CN"/>
              </w:rPr>
              <w:t>、</w:t>
            </w:r>
            <w:r>
              <w:rPr>
                <w:rFonts w:hint="eastAsia" w:cs="Times New Roman"/>
                <w:color w:val="auto"/>
                <w:u w:val="none"/>
                <w:lang w:val="en-US" w:eastAsia="zh-CN"/>
              </w:rPr>
              <w:t>氮氧化物</w:t>
            </w:r>
          </w:p>
        </w:tc>
        <w:tc>
          <w:tcPr>
            <w:tcW w:w="1571" w:type="pct"/>
            <w:tcBorders>
              <w:tl2br w:val="nil"/>
              <w:tr2bl w:val="nil"/>
            </w:tcBorders>
            <w:vAlign w:val="center"/>
          </w:tcPr>
          <w:p w14:paraId="52EA3675">
            <w:pPr>
              <w:pStyle w:val="41"/>
              <w:rPr>
                <w:rFonts w:hint="default" w:ascii="Times New Roman" w:hAnsi="Times New Roman" w:cs="Times New Roman"/>
                <w:color w:val="auto"/>
                <w:u w:val="none"/>
              </w:rPr>
            </w:pPr>
            <w:r>
              <w:rPr>
                <w:rFonts w:hint="default" w:ascii="Times New Roman" w:hAnsi="Times New Roman" w:cs="Times New Roman"/>
                <w:color w:val="auto"/>
                <w:u w:val="none"/>
              </w:rPr>
              <w:t>碱液喷淋系统</w:t>
            </w:r>
          </w:p>
        </w:tc>
      </w:tr>
      <w:tr w14:paraId="4F84AB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131F2D68">
            <w:pPr>
              <w:pStyle w:val="41"/>
              <w:rPr>
                <w:rFonts w:hint="eastAsia" w:cs="Times New Roman"/>
                <w:color w:val="auto"/>
                <w:u w:val="none"/>
                <w:lang w:val="en-US" w:eastAsia="zh-CN"/>
              </w:rPr>
            </w:pPr>
          </w:p>
        </w:tc>
        <w:tc>
          <w:tcPr>
            <w:tcW w:w="1097" w:type="pct"/>
            <w:gridSpan w:val="2"/>
            <w:tcBorders>
              <w:tl2br w:val="nil"/>
              <w:tr2bl w:val="nil"/>
            </w:tcBorders>
            <w:vAlign w:val="center"/>
          </w:tcPr>
          <w:p w14:paraId="2164AD8A">
            <w:pPr>
              <w:pStyle w:val="41"/>
              <w:rPr>
                <w:rFonts w:hint="default" w:ascii="Times New Roman" w:hAnsi="Times New Roman" w:cs="Times New Roman"/>
                <w:color w:val="auto"/>
                <w:u w:val="none"/>
              </w:rPr>
            </w:pPr>
            <w:r>
              <w:rPr>
                <w:rFonts w:hint="default" w:ascii="Times New Roman" w:hAnsi="Times New Roman" w:cs="Times New Roman"/>
                <w:color w:val="auto"/>
                <w:u w:val="none"/>
              </w:rPr>
              <w:t>铬酸盐封闭</w:t>
            </w:r>
          </w:p>
        </w:tc>
        <w:tc>
          <w:tcPr>
            <w:tcW w:w="998" w:type="pct"/>
            <w:tcBorders>
              <w:tl2br w:val="nil"/>
              <w:tr2bl w:val="nil"/>
            </w:tcBorders>
            <w:vAlign w:val="center"/>
          </w:tcPr>
          <w:p w14:paraId="66C3D3CC">
            <w:pPr>
              <w:pStyle w:val="41"/>
              <w:rPr>
                <w:rFonts w:hint="eastAsia" w:cs="Times New Roman"/>
                <w:color w:val="auto"/>
                <w:u w:val="none"/>
                <w:lang w:val="en-US" w:eastAsia="zh-CN"/>
              </w:rPr>
            </w:pPr>
            <w:r>
              <w:rPr>
                <w:rFonts w:hint="eastAsia" w:cs="Times New Roman"/>
                <w:color w:val="auto"/>
                <w:u w:val="none"/>
                <w:lang w:val="en-US" w:eastAsia="zh-CN"/>
              </w:rPr>
              <w:t>铬酸盐封闭</w:t>
            </w:r>
          </w:p>
        </w:tc>
        <w:tc>
          <w:tcPr>
            <w:tcW w:w="1002" w:type="pct"/>
            <w:tcBorders>
              <w:tl2br w:val="nil"/>
              <w:tr2bl w:val="nil"/>
            </w:tcBorders>
            <w:vAlign w:val="center"/>
          </w:tcPr>
          <w:p w14:paraId="2BF436AD">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铬酸雾</w:t>
            </w:r>
          </w:p>
        </w:tc>
        <w:tc>
          <w:tcPr>
            <w:tcW w:w="1571" w:type="pct"/>
            <w:tcBorders>
              <w:tl2br w:val="nil"/>
              <w:tr2bl w:val="nil"/>
            </w:tcBorders>
            <w:vAlign w:val="center"/>
          </w:tcPr>
          <w:p w14:paraId="682BB5CE">
            <w:pPr>
              <w:pStyle w:val="41"/>
              <w:rPr>
                <w:rFonts w:hint="default" w:ascii="Times New Roman" w:hAnsi="Times New Roman" w:cs="Times New Roman"/>
                <w:color w:val="auto"/>
                <w:u w:val="none"/>
              </w:rPr>
            </w:pPr>
            <w:r>
              <w:rPr>
                <w:rFonts w:hint="default" w:ascii="Times New Roman" w:hAnsi="Times New Roman" w:cs="Times New Roman"/>
                <w:color w:val="auto"/>
                <w:u w:val="none"/>
              </w:rPr>
              <w:t>碱液喷淋系统</w:t>
            </w:r>
          </w:p>
        </w:tc>
      </w:tr>
      <w:tr w14:paraId="1B627D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restart"/>
            <w:tcBorders>
              <w:tl2br w:val="nil"/>
              <w:tr2bl w:val="nil"/>
            </w:tcBorders>
            <w:vAlign w:val="center"/>
          </w:tcPr>
          <w:p w14:paraId="442FD006">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w:t>
            </w:r>
          </w:p>
        </w:tc>
        <w:tc>
          <w:tcPr>
            <w:tcW w:w="1097" w:type="pct"/>
            <w:gridSpan w:val="2"/>
            <w:tcBorders>
              <w:tl2br w:val="nil"/>
              <w:tr2bl w:val="nil"/>
            </w:tcBorders>
            <w:vAlign w:val="center"/>
          </w:tcPr>
          <w:p w14:paraId="4DC8EC29">
            <w:pPr>
              <w:pStyle w:val="41"/>
              <w:rPr>
                <w:rFonts w:hint="default" w:ascii="Times New Roman" w:hAnsi="Times New Roman" w:cs="Times New Roman"/>
                <w:color w:val="auto"/>
                <w:u w:val="none"/>
              </w:rPr>
            </w:pPr>
            <w:r>
              <w:rPr>
                <w:rFonts w:hint="default" w:ascii="Times New Roman" w:hAnsi="Times New Roman" w:cs="Times New Roman"/>
                <w:color w:val="auto"/>
                <w:u w:val="none"/>
              </w:rPr>
              <w:t>员工生活</w:t>
            </w:r>
          </w:p>
        </w:tc>
        <w:tc>
          <w:tcPr>
            <w:tcW w:w="998" w:type="pct"/>
            <w:tcBorders>
              <w:tl2br w:val="nil"/>
              <w:tr2bl w:val="nil"/>
            </w:tcBorders>
            <w:vAlign w:val="center"/>
          </w:tcPr>
          <w:p w14:paraId="1FF2E1CF">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生活污水</w:t>
            </w:r>
          </w:p>
        </w:tc>
        <w:tc>
          <w:tcPr>
            <w:tcW w:w="1002" w:type="pct"/>
            <w:tcBorders>
              <w:tl2br w:val="nil"/>
              <w:tr2bl w:val="nil"/>
            </w:tcBorders>
            <w:vAlign w:val="center"/>
          </w:tcPr>
          <w:p w14:paraId="4546D1C2">
            <w:pPr>
              <w:pStyle w:val="41"/>
              <w:rPr>
                <w:rFonts w:hint="default" w:ascii="Times New Roman" w:hAnsi="Times New Roman" w:cs="Times New Roman"/>
                <w:color w:val="auto"/>
                <w:u w:val="none"/>
              </w:rPr>
            </w:pPr>
            <w:r>
              <w:rPr>
                <w:rFonts w:hint="default" w:ascii="Times New Roman" w:hAnsi="Times New Roman" w:cs="Times New Roman"/>
                <w:color w:val="auto"/>
                <w:u w:val="none"/>
              </w:rPr>
              <w:t>SS、COD、BOD</w:t>
            </w:r>
            <w:r>
              <w:rPr>
                <w:rFonts w:hint="default" w:ascii="Times New Roman" w:hAnsi="Times New Roman" w:cs="Times New Roman"/>
                <w:color w:val="auto"/>
                <w:u w:val="none"/>
                <w:vertAlign w:val="subscript"/>
              </w:rPr>
              <w:t>5</w:t>
            </w:r>
            <w:r>
              <w:rPr>
                <w:rFonts w:hint="default" w:ascii="Times New Roman" w:hAnsi="Times New Roman" w:cs="Times New Roman"/>
                <w:color w:val="auto"/>
                <w:u w:val="none"/>
              </w:rPr>
              <w:t>、氨氮、动植物油、TP</w:t>
            </w:r>
          </w:p>
        </w:tc>
        <w:tc>
          <w:tcPr>
            <w:tcW w:w="1571" w:type="pct"/>
            <w:tcBorders>
              <w:tl2br w:val="nil"/>
              <w:tr2bl w:val="nil"/>
            </w:tcBorders>
            <w:vAlign w:val="center"/>
          </w:tcPr>
          <w:p w14:paraId="074718A0">
            <w:pPr>
              <w:pStyle w:val="41"/>
              <w:rPr>
                <w:rFonts w:hint="default" w:ascii="Times New Roman" w:hAnsi="Times New Roman" w:cs="Times New Roman"/>
                <w:color w:val="auto"/>
                <w:u w:val="none"/>
              </w:rPr>
            </w:pPr>
            <w:r>
              <w:rPr>
                <w:rFonts w:hint="default" w:ascii="Times New Roman" w:hAnsi="Times New Roman" w:cs="Times New Roman"/>
                <w:color w:val="auto"/>
                <w:u w:val="none"/>
              </w:rPr>
              <w:t>化粪池</w:t>
            </w:r>
          </w:p>
        </w:tc>
      </w:tr>
      <w:tr w14:paraId="10A6C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7B811072">
            <w:pPr>
              <w:pStyle w:val="41"/>
              <w:rPr>
                <w:rFonts w:hint="default" w:ascii="Times New Roman" w:hAnsi="Times New Roman" w:cs="Times New Roman"/>
                <w:color w:val="auto"/>
                <w:u w:val="none"/>
              </w:rPr>
            </w:pPr>
          </w:p>
        </w:tc>
        <w:tc>
          <w:tcPr>
            <w:tcW w:w="384" w:type="pct"/>
            <w:vMerge w:val="restart"/>
            <w:tcBorders>
              <w:tl2br w:val="nil"/>
              <w:tr2bl w:val="nil"/>
            </w:tcBorders>
            <w:vAlign w:val="center"/>
          </w:tcPr>
          <w:p w14:paraId="5420CBE7">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w:t>
            </w:r>
          </w:p>
        </w:tc>
        <w:tc>
          <w:tcPr>
            <w:tcW w:w="712" w:type="pct"/>
            <w:tcBorders>
              <w:tl2br w:val="nil"/>
              <w:tr2bl w:val="nil"/>
            </w:tcBorders>
            <w:vAlign w:val="center"/>
          </w:tcPr>
          <w:p w14:paraId="1ACFB53E">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含油废液</w:t>
            </w:r>
          </w:p>
        </w:tc>
        <w:tc>
          <w:tcPr>
            <w:tcW w:w="998" w:type="pct"/>
            <w:tcBorders>
              <w:tl2br w:val="nil"/>
              <w:tr2bl w:val="nil"/>
            </w:tcBorders>
            <w:vAlign w:val="center"/>
          </w:tcPr>
          <w:p w14:paraId="59F74F14">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含油废液</w:t>
            </w:r>
          </w:p>
        </w:tc>
        <w:tc>
          <w:tcPr>
            <w:tcW w:w="1002" w:type="pct"/>
            <w:tcBorders>
              <w:tl2br w:val="nil"/>
              <w:tr2bl w:val="nil"/>
            </w:tcBorders>
            <w:vAlign w:val="center"/>
          </w:tcPr>
          <w:p w14:paraId="7B521515">
            <w:pPr>
              <w:pStyle w:val="41"/>
              <w:rPr>
                <w:rFonts w:hint="default" w:ascii="Times New Roman" w:hAnsi="Times New Roman" w:cs="Times New Roman"/>
                <w:color w:val="auto"/>
                <w:u w:val="none"/>
              </w:rPr>
            </w:pPr>
            <w:r>
              <w:rPr>
                <w:rFonts w:hint="default" w:ascii="Times New Roman" w:hAnsi="Times New Roman" w:cs="Times New Roman"/>
                <w:color w:val="auto"/>
                <w:u w:val="none"/>
              </w:rPr>
              <w:t>SS、COD、石油类</w:t>
            </w:r>
          </w:p>
        </w:tc>
        <w:tc>
          <w:tcPr>
            <w:tcW w:w="1571" w:type="pct"/>
            <w:tcBorders>
              <w:tl2br w:val="nil"/>
              <w:tr2bl w:val="nil"/>
            </w:tcBorders>
            <w:vAlign w:val="center"/>
          </w:tcPr>
          <w:p w14:paraId="0D00AC4F">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含油废液预处理后进入综合废水处理系统</w:t>
            </w:r>
          </w:p>
        </w:tc>
      </w:tr>
      <w:tr w14:paraId="139F5A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6B9C9075">
            <w:pPr>
              <w:pStyle w:val="41"/>
              <w:rPr>
                <w:rFonts w:hint="default" w:ascii="Times New Roman" w:hAnsi="Times New Roman" w:cs="Times New Roman"/>
                <w:color w:val="auto"/>
                <w:u w:val="none"/>
              </w:rPr>
            </w:pPr>
          </w:p>
        </w:tc>
        <w:tc>
          <w:tcPr>
            <w:tcW w:w="384" w:type="pct"/>
            <w:vMerge w:val="continue"/>
            <w:tcBorders>
              <w:tl2br w:val="nil"/>
              <w:tr2bl w:val="nil"/>
            </w:tcBorders>
            <w:vAlign w:val="center"/>
          </w:tcPr>
          <w:p w14:paraId="233A66E3">
            <w:pPr>
              <w:pStyle w:val="41"/>
              <w:rPr>
                <w:rFonts w:hint="default" w:ascii="Times New Roman" w:hAnsi="Times New Roman" w:cs="Times New Roman"/>
                <w:color w:val="auto"/>
                <w:u w:val="none"/>
              </w:rPr>
            </w:pPr>
          </w:p>
        </w:tc>
        <w:tc>
          <w:tcPr>
            <w:tcW w:w="712" w:type="pct"/>
            <w:tcBorders>
              <w:tl2br w:val="nil"/>
              <w:tr2bl w:val="nil"/>
            </w:tcBorders>
            <w:vAlign w:val="center"/>
          </w:tcPr>
          <w:p w14:paraId="7030E6E1">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一般废水</w:t>
            </w:r>
          </w:p>
        </w:tc>
        <w:tc>
          <w:tcPr>
            <w:tcW w:w="998" w:type="pct"/>
            <w:tcBorders>
              <w:tl2br w:val="nil"/>
              <w:tr2bl w:val="nil"/>
            </w:tcBorders>
            <w:vAlign w:val="center"/>
          </w:tcPr>
          <w:p w14:paraId="28664F3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一般废水</w:t>
            </w:r>
          </w:p>
        </w:tc>
        <w:tc>
          <w:tcPr>
            <w:tcW w:w="1002" w:type="pct"/>
            <w:tcBorders>
              <w:tl2br w:val="nil"/>
              <w:tr2bl w:val="nil"/>
            </w:tcBorders>
            <w:vAlign w:val="center"/>
          </w:tcPr>
          <w:p w14:paraId="4A562732">
            <w:pPr>
              <w:pStyle w:val="41"/>
              <w:rPr>
                <w:rFonts w:hint="default" w:ascii="Times New Roman" w:hAnsi="Times New Roman" w:cs="Times New Roman"/>
                <w:color w:val="auto"/>
                <w:u w:val="none"/>
              </w:rPr>
            </w:pPr>
            <w:r>
              <w:rPr>
                <w:rFonts w:hint="default" w:ascii="Times New Roman" w:hAnsi="Times New Roman" w:cs="Times New Roman"/>
                <w:color w:val="auto"/>
                <w:u w:val="none"/>
              </w:rPr>
              <w:t>SS、COD</w:t>
            </w:r>
          </w:p>
        </w:tc>
        <w:tc>
          <w:tcPr>
            <w:tcW w:w="1571" w:type="pct"/>
            <w:tcBorders>
              <w:tl2br w:val="nil"/>
              <w:tr2bl w:val="nil"/>
            </w:tcBorders>
            <w:vAlign w:val="center"/>
          </w:tcPr>
          <w:p w14:paraId="4B8A5ADC">
            <w:pPr>
              <w:pStyle w:val="41"/>
              <w:rPr>
                <w:rFonts w:hint="default" w:ascii="Times New Roman" w:hAnsi="Times New Roman" w:cs="Times New Roman"/>
                <w:color w:val="auto"/>
                <w:u w:val="none"/>
              </w:rPr>
            </w:pPr>
            <w:r>
              <w:rPr>
                <w:rFonts w:hint="eastAsia" w:cs="Times New Roman"/>
                <w:color w:val="auto"/>
                <w:u w:val="none"/>
                <w:lang w:val="en-US" w:eastAsia="zh-CN"/>
              </w:rPr>
              <w:t>进入</w:t>
            </w:r>
            <w:r>
              <w:rPr>
                <w:rFonts w:hint="default" w:ascii="Times New Roman" w:hAnsi="Times New Roman" w:cs="Times New Roman"/>
                <w:color w:val="auto"/>
                <w:u w:val="none"/>
              </w:rPr>
              <w:t>综合废水处理系统</w:t>
            </w:r>
          </w:p>
        </w:tc>
      </w:tr>
      <w:tr w14:paraId="4600FF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17977E52">
            <w:pPr>
              <w:pStyle w:val="41"/>
              <w:rPr>
                <w:rFonts w:hint="default" w:ascii="Times New Roman" w:hAnsi="Times New Roman" w:cs="Times New Roman"/>
                <w:color w:val="auto"/>
                <w:u w:val="none"/>
              </w:rPr>
            </w:pPr>
          </w:p>
        </w:tc>
        <w:tc>
          <w:tcPr>
            <w:tcW w:w="384" w:type="pct"/>
            <w:vMerge w:val="continue"/>
            <w:tcBorders>
              <w:tl2br w:val="nil"/>
              <w:tr2bl w:val="nil"/>
            </w:tcBorders>
            <w:vAlign w:val="center"/>
          </w:tcPr>
          <w:p w14:paraId="412774CE">
            <w:pPr>
              <w:pStyle w:val="41"/>
              <w:rPr>
                <w:rFonts w:hint="default" w:ascii="Times New Roman" w:hAnsi="Times New Roman" w:cs="Times New Roman"/>
                <w:color w:val="auto"/>
                <w:u w:val="none"/>
              </w:rPr>
            </w:pPr>
          </w:p>
        </w:tc>
        <w:tc>
          <w:tcPr>
            <w:tcW w:w="712" w:type="pct"/>
            <w:tcBorders>
              <w:tl2br w:val="nil"/>
              <w:tr2bl w:val="nil"/>
            </w:tcBorders>
            <w:vAlign w:val="center"/>
          </w:tcPr>
          <w:p w14:paraId="1B3DC84E">
            <w:pPr>
              <w:pStyle w:val="41"/>
              <w:rPr>
                <w:rFonts w:hint="default" w:ascii="Times New Roman" w:hAnsi="Times New Roman" w:cs="Times New Roman"/>
                <w:color w:val="auto"/>
                <w:u w:val="none"/>
              </w:rPr>
            </w:pPr>
            <w:r>
              <w:rPr>
                <w:rFonts w:hint="default" w:ascii="Times New Roman" w:hAnsi="Times New Roman" w:cs="Times New Roman"/>
                <w:color w:val="auto"/>
                <w:u w:val="none"/>
              </w:rPr>
              <w:t>碱性废水</w:t>
            </w:r>
          </w:p>
        </w:tc>
        <w:tc>
          <w:tcPr>
            <w:tcW w:w="998" w:type="pct"/>
            <w:tcBorders>
              <w:tl2br w:val="nil"/>
              <w:tr2bl w:val="nil"/>
            </w:tcBorders>
            <w:vAlign w:val="center"/>
          </w:tcPr>
          <w:p w14:paraId="7C8962D7">
            <w:pPr>
              <w:pStyle w:val="41"/>
              <w:rPr>
                <w:rFonts w:hint="default" w:ascii="Times New Roman" w:hAnsi="Times New Roman" w:cs="Times New Roman"/>
                <w:color w:val="auto"/>
                <w:u w:val="none"/>
              </w:rPr>
            </w:pPr>
            <w:r>
              <w:rPr>
                <w:rFonts w:hint="default" w:ascii="Times New Roman" w:hAnsi="Times New Roman" w:cs="Times New Roman"/>
                <w:color w:val="auto"/>
                <w:u w:val="none"/>
              </w:rPr>
              <w:t>碱性废水</w:t>
            </w:r>
          </w:p>
        </w:tc>
        <w:tc>
          <w:tcPr>
            <w:tcW w:w="1002" w:type="pct"/>
            <w:tcBorders>
              <w:tl2br w:val="nil"/>
              <w:tr2bl w:val="nil"/>
            </w:tcBorders>
            <w:vAlign w:val="center"/>
          </w:tcPr>
          <w:p w14:paraId="52878108">
            <w:pPr>
              <w:pStyle w:val="41"/>
              <w:rPr>
                <w:rFonts w:hint="default" w:ascii="Times New Roman" w:hAnsi="Times New Roman" w:cs="Times New Roman"/>
                <w:color w:val="auto"/>
                <w:u w:val="none"/>
              </w:rPr>
            </w:pPr>
            <w:r>
              <w:rPr>
                <w:rFonts w:hint="default" w:ascii="Times New Roman" w:hAnsi="Times New Roman" w:cs="Times New Roman"/>
                <w:color w:val="auto"/>
                <w:u w:val="none"/>
              </w:rPr>
              <w:t>pH、COD</w:t>
            </w:r>
          </w:p>
        </w:tc>
        <w:tc>
          <w:tcPr>
            <w:tcW w:w="1571" w:type="pct"/>
            <w:tcBorders>
              <w:tl2br w:val="nil"/>
              <w:tr2bl w:val="nil"/>
            </w:tcBorders>
            <w:vAlign w:val="center"/>
          </w:tcPr>
          <w:p w14:paraId="7D897769">
            <w:pPr>
              <w:pStyle w:val="41"/>
              <w:rPr>
                <w:rFonts w:hint="default" w:ascii="Times New Roman" w:hAnsi="Times New Roman" w:cs="Times New Roman"/>
                <w:color w:val="auto"/>
                <w:u w:val="none"/>
              </w:rPr>
            </w:pPr>
            <w:r>
              <w:rPr>
                <w:rFonts w:hint="eastAsia" w:cs="Times New Roman"/>
                <w:color w:val="auto"/>
                <w:u w:val="none"/>
                <w:lang w:val="en-US" w:eastAsia="zh-CN"/>
              </w:rPr>
              <w:t>进入</w:t>
            </w:r>
            <w:r>
              <w:rPr>
                <w:rFonts w:hint="default" w:ascii="Times New Roman" w:hAnsi="Times New Roman" w:cs="Times New Roman"/>
                <w:color w:val="auto"/>
                <w:u w:val="none"/>
              </w:rPr>
              <w:t>综合废水处理系统</w:t>
            </w:r>
          </w:p>
        </w:tc>
      </w:tr>
      <w:tr w14:paraId="0C8BCF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07B4CD71">
            <w:pPr>
              <w:pStyle w:val="41"/>
              <w:rPr>
                <w:rFonts w:hint="default" w:ascii="Times New Roman" w:hAnsi="Times New Roman" w:cs="Times New Roman"/>
                <w:color w:val="auto"/>
                <w:u w:val="none"/>
              </w:rPr>
            </w:pPr>
          </w:p>
        </w:tc>
        <w:tc>
          <w:tcPr>
            <w:tcW w:w="384" w:type="pct"/>
            <w:vMerge w:val="continue"/>
            <w:tcBorders>
              <w:tl2br w:val="nil"/>
              <w:tr2bl w:val="nil"/>
            </w:tcBorders>
            <w:vAlign w:val="center"/>
          </w:tcPr>
          <w:p w14:paraId="6AE78D6D">
            <w:pPr>
              <w:pStyle w:val="41"/>
              <w:rPr>
                <w:rFonts w:hint="default" w:ascii="Times New Roman" w:hAnsi="Times New Roman" w:cs="Times New Roman"/>
                <w:color w:val="auto"/>
                <w:u w:val="none"/>
              </w:rPr>
            </w:pPr>
          </w:p>
        </w:tc>
        <w:tc>
          <w:tcPr>
            <w:tcW w:w="712" w:type="pct"/>
            <w:tcBorders>
              <w:tl2br w:val="nil"/>
              <w:tr2bl w:val="nil"/>
            </w:tcBorders>
            <w:vAlign w:val="center"/>
          </w:tcPr>
          <w:p w14:paraId="56D47AC0">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998" w:type="pct"/>
            <w:tcBorders>
              <w:tl2br w:val="nil"/>
              <w:tr2bl w:val="nil"/>
            </w:tcBorders>
            <w:vAlign w:val="center"/>
          </w:tcPr>
          <w:p w14:paraId="2FF12436">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1002" w:type="pct"/>
            <w:tcBorders>
              <w:tl2br w:val="nil"/>
              <w:tr2bl w:val="nil"/>
            </w:tcBorders>
            <w:vAlign w:val="center"/>
          </w:tcPr>
          <w:p w14:paraId="052B2410">
            <w:pPr>
              <w:pStyle w:val="41"/>
              <w:rPr>
                <w:rFonts w:hint="default" w:ascii="Times New Roman" w:hAnsi="Times New Roman" w:cs="Times New Roman"/>
                <w:color w:val="auto"/>
                <w:u w:val="none"/>
              </w:rPr>
            </w:pPr>
            <w:r>
              <w:rPr>
                <w:rFonts w:hint="default" w:ascii="Times New Roman" w:hAnsi="Times New Roman" w:cs="Times New Roman"/>
                <w:color w:val="auto"/>
                <w:u w:val="none"/>
              </w:rPr>
              <w:t>SS、COD</w:t>
            </w:r>
          </w:p>
        </w:tc>
        <w:tc>
          <w:tcPr>
            <w:tcW w:w="1571" w:type="pct"/>
            <w:tcBorders>
              <w:tl2br w:val="nil"/>
              <w:tr2bl w:val="nil"/>
            </w:tcBorders>
            <w:vAlign w:val="center"/>
          </w:tcPr>
          <w:p w14:paraId="3C80FAAE">
            <w:pPr>
              <w:pStyle w:val="41"/>
              <w:rPr>
                <w:rFonts w:hint="default" w:ascii="Times New Roman" w:hAnsi="Times New Roman" w:cs="Times New Roman"/>
                <w:color w:val="auto"/>
                <w:u w:val="none"/>
              </w:rPr>
            </w:pPr>
            <w:r>
              <w:rPr>
                <w:rFonts w:hint="default" w:ascii="Times New Roman" w:hAnsi="Times New Roman" w:cs="Times New Roman"/>
                <w:color w:val="auto"/>
                <w:u w:val="none"/>
              </w:rPr>
              <w:t>综合废水处理系统</w:t>
            </w:r>
          </w:p>
        </w:tc>
      </w:tr>
      <w:tr w14:paraId="131FB8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01200436">
            <w:pPr>
              <w:pStyle w:val="41"/>
              <w:rPr>
                <w:rFonts w:hint="default" w:ascii="Times New Roman" w:hAnsi="Times New Roman" w:cs="Times New Roman"/>
                <w:color w:val="auto"/>
                <w:u w:val="none"/>
              </w:rPr>
            </w:pPr>
          </w:p>
        </w:tc>
        <w:tc>
          <w:tcPr>
            <w:tcW w:w="384" w:type="pct"/>
            <w:vMerge w:val="continue"/>
            <w:tcBorders>
              <w:tl2br w:val="nil"/>
              <w:tr2bl w:val="nil"/>
            </w:tcBorders>
            <w:vAlign w:val="center"/>
          </w:tcPr>
          <w:p w14:paraId="786AC877">
            <w:pPr>
              <w:pStyle w:val="41"/>
              <w:rPr>
                <w:rFonts w:hint="default" w:ascii="Times New Roman" w:hAnsi="Times New Roman" w:cs="Times New Roman"/>
                <w:color w:val="auto"/>
                <w:u w:val="none"/>
              </w:rPr>
            </w:pPr>
          </w:p>
        </w:tc>
        <w:tc>
          <w:tcPr>
            <w:tcW w:w="712" w:type="pct"/>
            <w:tcBorders>
              <w:tl2br w:val="nil"/>
              <w:tr2bl w:val="nil"/>
            </w:tcBorders>
            <w:vAlign w:val="center"/>
          </w:tcPr>
          <w:p w14:paraId="7E58D878">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998" w:type="pct"/>
            <w:tcBorders>
              <w:tl2br w:val="nil"/>
              <w:tr2bl w:val="nil"/>
            </w:tcBorders>
            <w:vAlign w:val="center"/>
          </w:tcPr>
          <w:p w14:paraId="56AA5E47">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1002" w:type="pct"/>
            <w:tcBorders>
              <w:tl2br w:val="nil"/>
              <w:tr2bl w:val="nil"/>
            </w:tcBorders>
            <w:vAlign w:val="center"/>
          </w:tcPr>
          <w:p w14:paraId="3F4CC911">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SS、COD</w:t>
            </w:r>
            <w:r>
              <w:rPr>
                <w:rFonts w:hint="eastAsia" w:cs="Times New Roman"/>
                <w:color w:val="auto"/>
                <w:u w:val="none"/>
                <w:lang w:eastAsia="zh-CN"/>
              </w:rPr>
              <w:t>、</w:t>
            </w:r>
            <w:r>
              <w:rPr>
                <w:rFonts w:hint="eastAsia" w:cs="Times New Roman"/>
                <w:color w:val="auto"/>
                <w:u w:val="none"/>
                <w:lang w:val="en-US" w:eastAsia="zh-CN"/>
              </w:rPr>
              <w:t>P</w:t>
            </w:r>
          </w:p>
        </w:tc>
        <w:tc>
          <w:tcPr>
            <w:tcW w:w="1571" w:type="pct"/>
            <w:tcBorders>
              <w:tl2br w:val="nil"/>
              <w:tr2bl w:val="nil"/>
            </w:tcBorders>
            <w:vAlign w:val="center"/>
          </w:tcPr>
          <w:p w14:paraId="3E8C44B4">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含镍废液处理系统</w:t>
            </w:r>
          </w:p>
        </w:tc>
      </w:tr>
      <w:tr w14:paraId="468C1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794C81B8">
            <w:pPr>
              <w:pStyle w:val="41"/>
              <w:rPr>
                <w:rFonts w:hint="default" w:ascii="Times New Roman" w:hAnsi="Times New Roman" w:cs="Times New Roman"/>
                <w:color w:val="auto"/>
                <w:u w:val="none"/>
              </w:rPr>
            </w:pPr>
          </w:p>
        </w:tc>
        <w:tc>
          <w:tcPr>
            <w:tcW w:w="384" w:type="pct"/>
            <w:vMerge w:val="continue"/>
            <w:tcBorders>
              <w:tl2br w:val="nil"/>
              <w:tr2bl w:val="nil"/>
            </w:tcBorders>
            <w:vAlign w:val="center"/>
          </w:tcPr>
          <w:p w14:paraId="3BD8DC3D">
            <w:pPr>
              <w:pStyle w:val="41"/>
              <w:rPr>
                <w:rFonts w:hint="default" w:ascii="Times New Roman" w:hAnsi="Times New Roman" w:cs="Times New Roman"/>
                <w:color w:val="auto"/>
                <w:u w:val="none"/>
              </w:rPr>
            </w:pPr>
          </w:p>
        </w:tc>
        <w:tc>
          <w:tcPr>
            <w:tcW w:w="712" w:type="pct"/>
            <w:tcBorders>
              <w:tl2br w:val="nil"/>
              <w:tr2bl w:val="nil"/>
            </w:tcBorders>
            <w:vAlign w:val="center"/>
          </w:tcPr>
          <w:p w14:paraId="44F54F3B">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998" w:type="pct"/>
            <w:tcBorders>
              <w:tl2br w:val="nil"/>
              <w:tr2bl w:val="nil"/>
            </w:tcBorders>
            <w:vAlign w:val="center"/>
          </w:tcPr>
          <w:p w14:paraId="2A0F4710">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1002" w:type="pct"/>
            <w:tcBorders>
              <w:tl2br w:val="nil"/>
              <w:tr2bl w:val="nil"/>
            </w:tcBorders>
            <w:vAlign w:val="center"/>
          </w:tcPr>
          <w:p w14:paraId="5451AB35">
            <w:pPr>
              <w:pStyle w:val="41"/>
              <w:rPr>
                <w:rFonts w:hint="default" w:ascii="Times New Roman" w:hAnsi="Times New Roman" w:cs="Times New Roman"/>
                <w:color w:val="auto"/>
                <w:u w:val="none"/>
              </w:rPr>
            </w:pPr>
            <w:r>
              <w:rPr>
                <w:rFonts w:hint="default" w:ascii="Times New Roman" w:hAnsi="Times New Roman" w:cs="Times New Roman"/>
                <w:color w:val="auto"/>
                <w:u w:val="none"/>
              </w:rPr>
              <w:t>SS、COD、Ni</w:t>
            </w:r>
          </w:p>
        </w:tc>
        <w:tc>
          <w:tcPr>
            <w:tcW w:w="1571" w:type="pct"/>
            <w:tcBorders>
              <w:tl2br w:val="nil"/>
              <w:tr2bl w:val="nil"/>
            </w:tcBorders>
            <w:vAlign w:val="center"/>
          </w:tcPr>
          <w:p w14:paraId="61CCD003">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含镍废液处理系统</w:t>
            </w:r>
          </w:p>
        </w:tc>
      </w:tr>
      <w:tr w14:paraId="6AC9FC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0489DDFC">
            <w:pPr>
              <w:pStyle w:val="41"/>
              <w:rPr>
                <w:rFonts w:hint="default" w:ascii="Times New Roman" w:hAnsi="Times New Roman" w:cs="Times New Roman"/>
                <w:color w:val="auto"/>
                <w:u w:val="none"/>
              </w:rPr>
            </w:pPr>
          </w:p>
        </w:tc>
        <w:tc>
          <w:tcPr>
            <w:tcW w:w="384" w:type="pct"/>
            <w:vMerge w:val="continue"/>
            <w:tcBorders>
              <w:tl2br w:val="nil"/>
              <w:tr2bl w:val="nil"/>
            </w:tcBorders>
            <w:vAlign w:val="center"/>
          </w:tcPr>
          <w:p w14:paraId="7FABEFC9">
            <w:pPr>
              <w:pStyle w:val="41"/>
              <w:rPr>
                <w:rFonts w:hint="default" w:ascii="Times New Roman" w:hAnsi="Times New Roman" w:cs="Times New Roman"/>
                <w:color w:val="auto"/>
                <w:u w:val="none"/>
              </w:rPr>
            </w:pPr>
          </w:p>
        </w:tc>
        <w:tc>
          <w:tcPr>
            <w:tcW w:w="712" w:type="pct"/>
            <w:tcBorders>
              <w:tl2br w:val="nil"/>
              <w:tr2bl w:val="nil"/>
            </w:tcBorders>
            <w:vAlign w:val="center"/>
          </w:tcPr>
          <w:p w14:paraId="5AFADCF6">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998" w:type="pct"/>
            <w:tcBorders>
              <w:tl2br w:val="nil"/>
              <w:tr2bl w:val="nil"/>
            </w:tcBorders>
            <w:vAlign w:val="center"/>
          </w:tcPr>
          <w:p w14:paraId="1290B225">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1002" w:type="pct"/>
            <w:tcBorders>
              <w:tl2br w:val="nil"/>
              <w:tr2bl w:val="nil"/>
            </w:tcBorders>
            <w:vAlign w:val="center"/>
          </w:tcPr>
          <w:p w14:paraId="51893BC0">
            <w:pPr>
              <w:pStyle w:val="41"/>
              <w:rPr>
                <w:rFonts w:hint="default" w:ascii="Times New Roman" w:hAnsi="Times New Roman" w:cs="Times New Roman"/>
                <w:color w:val="auto"/>
                <w:u w:val="none"/>
              </w:rPr>
            </w:pPr>
            <w:r>
              <w:rPr>
                <w:rFonts w:hint="default" w:ascii="Times New Roman" w:hAnsi="Times New Roman" w:cs="Times New Roman"/>
                <w:color w:val="auto"/>
                <w:u w:val="none"/>
              </w:rPr>
              <w:t>SS、COD、总铬、三价铬</w:t>
            </w:r>
          </w:p>
        </w:tc>
        <w:tc>
          <w:tcPr>
            <w:tcW w:w="1571" w:type="pct"/>
            <w:tcBorders>
              <w:tl2br w:val="nil"/>
              <w:tr2bl w:val="nil"/>
            </w:tcBorders>
            <w:vAlign w:val="center"/>
          </w:tcPr>
          <w:p w14:paraId="5B23D9C2">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含铬废水处理系统</w:t>
            </w:r>
          </w:p>
        </w:tc>
      </w:tr>
      <w:tr w14:paraId="4196FF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5" w:hRule="atLeast"/>
          <w:jc w:val="center"/>
        </w:trPr>
        <w:tc>
          <w:tcPr>
            <w:tcW w:w="330" w:type="pct"/>
            <w:vMerge w:val="restart"/>
            <w:tcBorders>
              <w:tl2br w:val="nil"/>
              <w:tr2bl w:val="nil"/>
            </w:tcBorders>
            <w:vAlign w:val="center"/>
          </w:tcPr>
          <w:p w14:paraId="664A0274">
            <w:pPr>
              <w:pStyle w:val="41"/>
              <w:rPr>
                <w:rFonts w:hint="default" w:ascii="Times New Roman" w:hAnsi="Times New Roman" w:cs="Times New Roman"/>
                <w:color w:val="auto"/>
                <w:u w:val="none"/>
              </w:rPr>
            </w:pPr>
            <w:r>
              <w:rPr>
                <w:rFonts w:hint="default" w:ascii="Times New Roman" w:hAnsi="Times New Roman" w:cs="Times New Roman"/>
                <w:color w:val="auto"/>
                <w:u w:val="none"/>
              </w:rPr>
              <w:t>固废</w:t>
            </w:r>
          </w:p>
        </w:tc>
        <w:tc>
          <w:tcPr>
            <w:tcW w:w="1097" w:type="pct"/>
            <w:gridSpan w:val="2"/>
            <w:tcBorders>
              <w:tl2br w:val="nil"/>
              <w:tr2bl w:val="nil"/>
            </w:tcBorders>
            <w:vAlign w:val="center"/>
          </w:tcPr>
          <w:p w14:paraId="0F3C8142">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原料使用过程</w:t>
            </w:r>
          </w:p>
        </w:tc>
        <w:tc>
          <w:tcPr>
            <w:tcW w:w="998" w:type="pct"/>
            <w:tcBorders>
              <w:tl2br w:val="nil"/>
              <w:tr2bl w:val="nil"/>
            </w:tcBorders>
            <w:vAlign w:val="center"/>
          </w:tcPr>
          <w:p w14:paraId="66A28FAC">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原料使用过程</w:t>
            </w:r>
          </w:p>
        </w:tc>
        <w:tc>
          <w:tcPr>
            <w:tcW w:w="1002" w:type="pct"/>
            <w:tcBorders>
              <w:tl2br w:val="nil"/>
              <w:tr2bl w:val="nil"/>
            </w:tcBorders>
            <w:vAlign w:val="center"/>
          </w:tcPr>
          <w:p w14:paraId="1FB79A22">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废包装袋</w:t>
            </w:r>
          </w:p>
        </w:tc>
        <w:tc>
          <w:tcPr>
            <w:tcW w:w="1571" w:type="pct"/>
            <w:tcBorders>
              <w:tl2br w:val="nil"/>
              <w:tr2bl w:val="nil"/>
            </w:tcBorders>
            <w:vAlign w:val="center"/>
          </w:tcPr>
          <w:p w14:paraId="76BFE940">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外售</w:t>
            </w:r>
          </w:p>
        </w:tc>
      </w:tr>
      <w:tr w14:paraId="121DDF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5FCA86E8">
            <w:pPr>
              <w:pStyle w:val="41"/>
              <w:rPr>
                <w:rFonts w:hint="default" w:ascii="Times New Roman" w:hAnsi="Times New Roman" w:cs="Times New Roman"/>
                <w:color w:val="auto"/>
                <w:u w:val="none"/>
              </w:rPr>
            </w:pPr>
          </w:p>
        </w:tc>
        <w:tc>
          <w:tcPr>
            <w:tcW w:w="1097" w:type="pct"/>
            <w:gridSpan w:val="2"/>
            <w:tcBorders>
              <w:tl2br w:val="nil"/>
              <w:tr2bl w:val="nil"/>
            </w:tcBorders>
            <w:vAlign w:val="center"/>
          </w:tcPr>
          <w:p w14:paraId="3B9DAA1E">
            <w:pPr>
              <w:pStyle w:val="41"/>
              <w:rPr>
                <w:rFonts w:hint="default" w:ascii="Times New Roman" w:hAnsi="Times New Roman" w:cs="Times New Roman"/>
                <w:color w:val="auto"/>
                <w:u w:val="none"/>
              </w:rPr>
            </w:pPr>
            <w:r>
              <w:rPr>
                <w:rFonts w:hint="default" w:ascii="Times New Roman" w:hAnsi="Times New Roman" w:cs="Times New Roman"/>
                <w:color w:val="auto"/>
                <w:u w:val="none"/>
              </w:rPr>
              <w:t>危险化学品使用过程</w:t>
            </w:r>
          </w:p>
        </w:tc>
        <w:tc>
          <w:tcPr>
            <w:tcW w:w="998" w:type="pct"/>
            <w:tcBorders>
              <w:tl2br w:val="nil"/>
              <w:tr2bl w:val="nil"/>
            </w:tcBorders>
            <w:vAlign w:val="center"/>
          </w:tcPr>
          <w:p w14:paraId="30DEDAC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危险化学品使用过程</w:t>
            </w:r>
          </w:p>
        </w:tc>
        <w:tc>
          <w:tcPr>
            <w:tcW w:w="1002" w:type="pct"/>
            <w:tcBorders>
              <w:tl2br w:val="nil"/>
              <w:tr2bl w:val="nil"/>
            </w:tcBorders>
            <w:vAlign w:val="center"/>
          </w:tcPr>
          <w:p w14:paraId="364CB02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危险化学品废包装</w:t>
            </w:r>
          </w:p>
        </w:tc>
        <w:tc>
          <w:tcPr>
            <w:tcW w:w="1571" w:type="pct"/>
            <w:tcBorders>
              <w:tl2br w:val="nil"/>
              <w:tr2bl w:val="nil"/>
            </w:tcBorders>
            <w:vAlign w:val="center"/>
          </w:tcPr>
          <w:p w14:paraId="261465B6">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交由有资质单位处理</w:t>
            </w:r>
          </w:p>
        </w:tc>
      </w:tr>
      <w:tr w14:paraId="4F0EB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41C4ED32">
            <w:pPr>
              <w:pStyle w:val="41"/>
              <w:rPr>
                <w:rFonts w:hint="default" w:ascii="Times New Roman" w:hAnsi="Times New Roman" w:cs="Times New Roman"/>
                <w:color w:val="auto"/>
                <w:u w:val="none"/>
              </w:rPr>
            </w:pPr>
          </w:p>
        </w:tc>
        <w:tc>
          <w:tcPr>
            <w:tcW w:w="1097" w:type="pct"/>
            <w:gridSpan w:val="2"/>
            <w:tcBorders>
              <w:tl2br w:val="nil"/>
              <w:tr2bl w:val="nil"/>
            </w:tcBorders>
            <w:vAlign w:val="center"/>
          </w:tcPr>
          <w:p w14:paraId="2DF30A3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阳极氧化线</w:t>
            </w:r>
          </w:p>
        </w:tc>
        <w:tc>
          <w:tcPr>
            <w:tcW w:w="998" w:type="pct"/>
            <w:tcBorders>
              <w:tl2br w:val="nil"/>
              <w:tr2bl w:val="nil"/>
            </w:tcBorders>
            <w:vAlign w:val="center"/>
          </w:tcPr>
          <w:p w14:paraId="64D07F3E">
            <w:pPr>
              <w:pStyle w:val="41"/>
              <w:widowControl w:val="0"/>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氧化</w:t>
            </w:r>
          </w:p>
        </w:tc>
        <w:tc>
          <w:tcPr>
            <w:tcW w:w="1002" w:type="pct"/>
            <w:tcBorders>
              <w:tl2br w:val="nil"/>
              <w:tr2bl w:val="nil"/>
            </w:tcBorders>
            <w:vAlign w:val="center"/>
          </w:tcPr>
          <w:p w14:paraId="0021F7AA">
            <w:pPr>
              <w:pStyle w:val="41"/>
              <w:rPr>
                <w:rFonts w:hint="default" w:ascii="Times New Roman" w:hAnsi="Times New Roman" w:cs="Times New Roman"/>
                <w:color w:val="auto"/>
                <w:u w:val="none"/>
              </w:rPr>
            </w:pPr>
            <w:r>
              <w:rPr>
                <w:rFonts w:hint="default" w:ascii="Times New Roman" w:hAnsi="Times New Roman" w:cs="Times New Roman"/>
                <w:color w:val="auto"/>
                <w:u w:val="none"/>
              </w:rPr>
              <w:t>废槽渣</w:t>
            </w:r>
          </w:p>
        </w:tc>
        <w:tc>
          <w:tcPr>
            <w:tcW w:w="1571" w:type="pct"/>
            <w:tcBorders>
              <w:tl2br w:val="nil"/>
              <w:tr2bl w:val="nil"/>
            </w:tcBorders>
            <w:vAlign w:val="center"/>
          </w:tcPr>
          <w:p w14:paraId="2840B696">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交由有资质单位处理</w:t>
            </w:r>
          </w:p>
        </w:tc>
      </w:tr>
      <w:tr w14:paraId="2A44CD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47C4ECD5">
            <w:pPr>
              <w:pStyle w:val="41"/>
              <w:rPr>
                <w:rFonts w:hint="default" w:ascii="Times New Roman" w:hAnsi="Times New Roman" w:cs="Times New Roman"/>
                <w:color w:val="auto"/>
                <w:u w:val="none"/>
              </w:rPr>
            </w:pPr>
          </w:p>
        </w:tc>
        <w:tc>
          <w:tcPr>
            <w:tcW w:w="1097" w:type="pct"/>
            <w:gridSpan w:val="2"/>
            <w:tcBorders>
              <w:tl2br w:val="nil"/>
              <w:tr2bl w:val="nil"/>
            </w:tcBorders>
            <w:vAlign w:val="center"/>
          </w:tcPr>
          <w:p w14:paraId="7028B19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含磷废水处理系统</w:t>
            </w:r>
          </w:p>
        </w:tc>
        <w:tc>
          <w:tcPr>
            <w:tcW w:w="998" w:type="pct"/>
            <w:tcBorders>
              <w:tl2br w:val="nil"/>
              <w:tr2bl w:val="nil"/>
            </w:tcBorders>
            <w:vAlign w:val="center"/>
          </w:tcPr>
          <w:p w14:paraId="74E7C51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废水处理站</w:t>
            </w:r>
          </w:p>
        </w:tc>
        <w:tc>
          <w:tcPr>
            <w:tcW w:w="1002" w:type="pct"/>
            <w:tcBorders>
              <w:tl2br w:val="nil"/>
              <w:tr2bl w:val="nil"/>
            </w:tcBorders>
            <w:vAlign w:val="center"/>
          </w:tcPr>
          <w:p w14:paraId="1B87A9E6">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含磷废水处理系统浓缩液</w:t>
            </w:r>
          </w:p>
        </w:tc>
        <w:tc>
          <w:tcPr>
            <w:tcW w:w="1571" w:type="pct"/>
            <w:tcBorders>
              <w:tl2br w:val="nil"/>
              <w:tr2bl w:val="nil"/>
            </w:tcBorders>
            <w:vAlign w:val="center"/>
          </w:tcPr>
          <w:p w14:paraId="7EA57F18">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r>
      <w:tr w14:paraId="411C4F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6F7ADD08">
            <w:pPr>
              <w:pStyle w:val="41"/>
              <w:rPr>
                <w:rFonts w:hint="default" w:ascii="Times New Roman" w:hAnsi="Times New Roman" w:cs="Times New Roman"/>
                <w:color w:val="auto"/>
                <w:u w:val="none"/>
              </w:rPr>
            </w:pPr>
          </w:p>
        </w:tc>
        <w:tc>
          <w:tcPr>
            <w:tcW w:w="1097" w:type="pct"/>
            <w:gridSpan w:val="2"/>
            <w:vMerge w:val="restart"/>
            <w:tcBorders>
              <w:tl2br w:val="nil"/>
              <w:tr2bl w:val="nil"/>
            </w:tcBorders>
            <w:vAlign w:val="center"/>
          </w:tcPr>
          <w:p w14:paraId="691E41C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重金属废水处理系统</w:t>
            </w:r>
          </w:p>
        </w:tc>
        <w:tc>
          <w:tcPr>
            <w:tcW w:w="998" w:type="pct"/>
            <w:vMerge w:val="restart"/>
            <w:tcBorders>
              <w:tl2br w:val="nil"/>
              <w:tr2bl w:val="nil"/>
            </w:tcBorders>
            <w:vAlign w:val="center"/>
          </w:tcPr>
          <w:p w14:paraId="7DD6C2E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废水处理站</w:t>
            </w:r>
          </w:p>
        </w:tc>
        <w:tc>
          <w:tcPr>
            <w:tcW w:w="1002" w:type="pct"/>
            <w:tcBorders>
              <w:tl2br w:val="nil"/>
              <w:tr2bl w:val="nil"/>
            </w:tcBorders>
            <w:vAlign w:val="center"/>
          </w:tcPr>
          <w:p w14:paraId="53035EE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含镍（铬）污泥</w:t>
            </w:r>
          </w:p>
        </w:tc>
        <w:tc>
          <w:tcPr>
            <w:tcW w:w="1571" w:type="pct"/>
            <w:tcBorders>
              <w:tl2br w:val="nil"/>
              <w:tr2bl w:val="nil"/>
            </w:tcBorders>
            <w:vAlign w:val="center"/>
          </w:tcPr>
          <w:p w14:paraId="2A749AD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r>
      <w:tr w14:paraId="718322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3700BA85">
            <w:pPr>
              <w:pStyle w:val="41"/>
              <w:rPr>
                <w:rFonts w:hint="default" w:ascii="Times New Roman" w:hAnsi="Times New Roman" w:cs="Times New Roman"/>
                <w:color w:val="auto"/>
                <w:u w:val="none"/>
              </w:rPr>
            </w:pPr>
          </w:p>
        </w:tc>
        <w:tc>
          <w:tcPr>
            <w:tcW w:w="1097" w:type="pct"/>
            <w:gridSpan w:val="2"/>
            <w:vMerge w:val="continue"/>
            <w:tcBorders>
              <w:tl2br w:val="nil"/>
              <w:tr2bl w:val="nil"/>
            </w:tcBorders>
            <w:vAlign w:val="center"/>
          </w:tcPr>
          <w:p w14:paraId="52A39B9A">
            <w:pPr>
              <w:pStyle w:val="41"/>
              <w:widowControl w:val="0"/>
              <w:rPr>
                <w:rFonts w:hint="default" w:ascii="Times New Roman" w:hAnsi="Times New Roman" w:cs="Times New Roman"/>
                <w:color w:val="auto"/>
                <w:kern w:val="2"/>
                <w:u w:val="none"/>
              </w:rPr>
            </w:pPr>
          </w:p>
        </w:tc>
        <w:tc>
          <w:tcPr>
            <w:tcW w:w="998" w:type="pct"/>
            <w:vMerge w:val="continue"/>
            <w:tcBorders>
              <w:tl2br w:val="nil"/>
              <w:tr2bl w:val="nil"/>
            </w:tcBorders>
            <w:vAlign w:val="center"/>
          </w:tcPr>
          <w:p w14:paraId="5ABEA9BB">
            <w:pPr>
              <w:pStyle w:val="41"/>
              <w:widowControl w:val="0"/>
              <w:rPr>
                <w:rFonts w:hint="default" w:ascii="Times New Roman" w:hAnsi="Times New Roman" w:cs="Times New Roman"/>
                <w:color w:val="auto"/>
                <w:kern w:val="2"/>
                <w:u w:val="none"/>
              </w:rPr>
            </w:pPr>
          </w:p>
        </w:tc>
        <w:tc>
          <w:tcPr>
            <w:tcW w:w="1002" w:type="pct"/>
            <w:tcBorders>
              <w:tl2br w:val="nil"/>
              <w:tr2bl w:val="nil"/>
            </w:tcBorders>
            <w:vAlign w:val="center"/>
          </w:tcPr>
          <w:p w14:paraId="45F6ED82">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含镍（铬）结晶盐</w:t>
            </w:r>
          </w:p>
        </w:tc>
        <w:tc>
          <w:tcPr>
            <w:tcW w:w="1571" w:type="pct"/>
            <w:tcBorders>
              <w:tl2br w:val="nil"/>
              <w:tr2bl w:val="nil"/>
            </w:tcBorders>
            <w:vAlign w:val="center"/>
          </w:tcPr>
          <w:p w14:paraId="1B31014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r>
      <w:tr w14:paraId="719DC0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31F92F1E">
            <w:pPr>
              <w:pStyle w:val="41"/>
              <w:rPr>
                <w:rFonts w:hint="default" w:ascii="Times New Roman" w:hAnsi="Times New Roman" w:cs="Times New Roman"/>
                <w:color w:val="auto"/>
                <w:u w:val="none"/>
              </w:rPr>
            </w:pPr>
          </w:p>
        </w:tc>
        <w:tc>
          <w:tcPr>
            <w:tcW w:w="1097" w:type="pct"/>
            <w:gridSpan w:val="2"/>
            <w:tcBorders>
              <w:tl2br w:val="nil"/>
              <w:tr2bl w:val="nil"/>
            </w:tcBorders>
            <w:vAlign w:val="center"/>
          </w:tcPr>
          <w:p w14:paraId="316FA78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中水回用和废水处理系统</w:t>
            </w:r>
          </w:p>
        </w:tc>
        <w:tc>
          <w:tcPr>
            <w:tcW w:w="998" w:type="pct"/>
            <w:tcBorders>
              <w:tl2br w:val="nil"/>
              <w:tr2bl w:val="nil"/>
            </w:tcBorders>
            <w:vAlign w:val="center"/>
          </w:tcPr>
          <w:p w14:paraId="402743E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中水回用和废水处理系统</w:t>
            </w:r>
          </w:p>
        </w:tc>
        <w:tc>
          <w:tcPr>
            <w:tcW w:w="1002" w:type="pct"/>
            <w:tcBorders>
              <w:tl2br w:val="nil"/>
              <w:tr2bl w:val="nil"/>
            </w:tcBorders>
            <w:vAlign w:val="center"/>
          </w:tcPr>
          <w:p w14:paraId="74D95C4F">
            <w:pPr>
              <w:pStyle w:val="41"/>
              <w:rPr>
                <w:rFonts w:hint="default" w:ascii="Times New Roman" w:hAnsi="Times New Roman" w:cs="Times New Roman"/>
                <w:color w:val="auto"/>
                <w:u w:val="none"/>
              </w:rPr>
            </w:pPr>
            <w:r>
              <w:rPr>
                <w:rFonts w:hint="default" w:ascii="Times New Roman" w:hAnsi="Times New Roman" w:cs="Times New Roman"/>
                <w:color w:val="auto"/>
                <w:u w:val="none"/>
              </w:rPr>
              <w:t>废RO反渗透膜</w:t>
            </w:r>
          </w:p>
        </w:tc>
        <w:tc>
          <w:tcPr>
            <w:tcW w:w="1571" w:type="pct"/>
            <w:tcBorders>
              <w:tl2br w:val="nil"/>
              <w:tr2bl w:val="nil"/>
            </w:tcBorders>
            <w:vAlign w:val="center"/>
          </w:tcPr>
          <w:p w14:paraId="4CDF40B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r>
      <w:tr w14:paraId="2C2332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2519DEBF">
            <w:pPr>
              <w:pStyle w:val="41"/>
              <w:rPr>
                <w:rFonts w:hint="default" w:ascii="Times New Roman" w:hAnsi="Times New Roman" w:cs="Times New Roman"/>
                <w:color w:val="auto"/>
                <w:u w:val="none"/>
              </w:rPr>
            </w:pPr>
          </w:p>
        </w:tc>
        <w:tc>
          <w:tcPr>
            <w:tcW w:w="1097" w:type="pct"/>
            <w:gridSpan w:val="2"/>
            <w:tcBorders>
              <w:tl2br w:val="nil"/>
              <w:tr2bl w:val="nil"/>
            </w:tcBorders>
            <w:vAlign w:val="center"/>
          </w:tcPr>
          <w:p w14:paraId="26E83E4C">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设备定期保养过程</w:t>
            </w:r>
          </w:p>
        </w:tc>
        <w:tc>
          <w:tcPr>
            <w:tcW w:w="998" w:type="pct"/>
            <w:tcBorders>
              <w:tl2br w:val="nil"/>
              <w:tr2bl w:val="nil"/>
            </w:tcBorders>
            <w:vAlign w:val="center"/>
          </w:tcPr>
          <w:p w14:paraId="7EE56A76">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设备定期保养过程</w:t>
            </w:r>
          </w:p>
        </w:tc>
        <w:tc>
          <w:tcPr>
            <w:tcW w:w="1002" w:type="pct"/>
            <w:tcBorders>
              <w:tl2br w:val="nil"/>
              <w:tr2bl w:val="nil"/>
            </w:tcBorders>
            <w:vAlign w:val="center"/>
          </w:tcPr>
          <w:p w14:paraId="1F8AFE27">
            <w:pPr>
              <w:pStyle w:val="41"/>
              <w:rPr>
                <w:rFonts w:hint="default" w:ascii="Times New Roman" w:hAnsi="Times New Roman" w:cs="Times New Roman"/>
                <w:color w:val="auto"/>
                <w:u w:val="none"/>
              </w:rPr>
            </w:pPr>
            <w:r>
              <w:rPr>
                <w:rFonts w:hint="default" w:ascii="Times New Roman" w:hAnsi="Times New Roman" w:cs="Times New Roman"/>
                <w:color w:val="auto"/>
                <w:u w:val="none"/>
              </w:rPr>
              <w:t>废机油</w:t>
            </w:r>
          </w:p>
        </w:tc>
        <w:tc>
          <w:tcPr>
            <w:tcW w:w="1571" w:type="pct"/>
            <w:tcBorders>
              <w:tl2br w:val="nil"/>
              <w:tr2bl w:val="nil"/>
            </w:tcBorders>
            <w:vAlign w:val="center"/>
          </w:tcPr>
          <w:p w14:paraId="7E872D6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r>
      <w:tr w14:paraId="4AE13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vMerge w:val="continue"/>
            <w:tcBorders>
              <w:tl2br w:val="nil"/>
              <w:tr2bl w:val="nil"/>
            </w:tcBorders>
            <w:vAlign w:val="center"/>
          </w:tcPr>
          <w:p w14:paraId="264ED31C">
            <w:pPr>
              <w:pStyle w:val="41"/>
              <w:rPr>
                <w:rFonts w:hint="default" w:ascii="Times New Roman" w:hAnsi="Times New Roman" w:cs="Times New Roman"/>
                <w:color w:val="auto"/>
                <w:u w:val="none"/>
              </w:rPr>
            </w:pPr>
          </w:p>
        </w:tc>
        <w:tc>
          <w:tcPr>
            <w:tcW w:w="1097" w:type="pct"/>
            <w:gridSpan w:val="2"/>
            <w:tcBorders>
              <w:tl2br w:val="nil"/>
              <w:tr2bl w:val="nil"/>
            </w:tcBorders>
            <w:vAlign w:val="center"/>
          </w:tcPr>
          <w:p w14:paraId="3B88676D">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98" w:type="pct"/>
            <w:tcBorders>
              <w:tl2br w:val="nil"/>
              <w:tr2bl w:val="nil"/>
            </w:tcBorders>
            <w:vAlign w:val="center"/>
          </w:tcPr>
          <w:p w14:paraId="422DA8E7">
            <w:pPr>
              <w:pStyle w:val="41"/>
              <w:rPr>
                <w:rFonts w:hint="default" w:ascii="Times New Roman" w:hAnsi="Times New Roman" w:cs="Times New Roman"/>
                <w:color w:val="auto"/>
                <w:u w:val="none"/>
              </w:rPr>
            </w:pPr>
            <w:r>
              <w:rPr>
                <w:rFonts w:hint="default" w:ascii="Times New Roman" w:hAnsi="Times New Roman" w:cs="Times New Roman"/>
                <w:color w:val="auto"/>
                <w:u w:val="none"/>
              </w:rPr>
              <w:t>职工生活</w:t>
            </w:r>
          </w:p>
        </w:tc>
        <w:tc>
          <w:tcPr>
            <w:tcW w:w="1002" w:type="pct"/>
            <w:tcBorders>
              <w:tl2br w:val="nil"/>
              <w:tr2bl w:val="nil"/>
            </w:tcBorders>
            <w:vAlign w:val="center"/>
          </w:tcPr>
          <w:p w14:paraId="308D3C58">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生活垃圾</w:t>
            </w:r>
          </w:p>
        </w:tc>
        <w:tc>
          <w:tcPr>
            <w:tcW w:w="1571" w:type="pct"/>
            <w:tcBorders>
              <w:tl2br w:val="nil"/>
              <w:tr2bl w:val="nil"/>
            </w:tcBorders>
            <w:vAlign w:val="center"/>
          </w:tcPr>
          <w:p w14:paraId="0018700C">
            <w:pPr>
              <w:pStyle w:val="41"/>
              <w:rPr>
                <w:rFonts w:hint="default" w:ascii="Times New Roman" w:hAnsi="Times New Roman" w:cs="Times New Roman"/>
                <w:color w:val="auto"/>
                <w:u w:val="none"/>
              </w:rPr>
            </w:pPr>
            <w:r>
              <w:rPr>
                <w:rFonts w:hint="default" w:ascii="Times New Roman" w:hAnsi="Times New Roman" w:cs="Times New Roman"/>
                <w:color w:val="auto"/>
                <w:u w:val="none"/>
              </w:rPr>
              <w:t>交环卫部门处理</w:t>
            </w:r>
          </w:p>
        </w:tc>
      </w:tr>
      <w:tr w14:paraId="05F4F5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30" w:type="pct"/>
            <w:tcBorders>
              <w:tl2br w:val="nil"/>
              <w:tr2bl w:val="nil"/>
            </w:tcBorders>
            <w:vAlign w:val="center"/>
          </w:tcPr>
          <w:p w14:paraId="05BC26FE">
            <w:pPr>
              <w:pStyle w:val="41"/>
              <w:rPr>
                <w:rFonts w:hint="default" w:ascii="Times New Roman" w:hAnsi="Times New Roman" w:cs="Times New Roman"/>
                <w:color w:val="auto"/>
                <w:u w:val="none"/>
              </w:rPr>
            </w:pPr>
            <w:r>
              <w:rPr>
                <w:rFonts w:hint="default" w:ascii="Times New Roman" w:hAnsi="Times New Roman" w:cs="Times New Roman"/>
                <w:color w:val="auto"/>
                <w:u w:val="none"/>
              </w:rPr>
              <w:t>噪声</w:t>
            </w:r>
          </w:p>
        </w:tc>
        <w:tc>
          <w:tcPr>
            <w:tcW w:w="1097" w:type="pct"/>
            <w:gridSpan w:val="2"/>
            <w:tcBorders>
              <w:tl2br w:val="nil"/>
              <w:tr2bl w:val="nil"/>
            </w:tcBorders>
            <w:vAlign w:val="center"/>
          </w:tcPr>
          <w:p w14:paraId="365E0490">
            <w:pPr>
              <w:pStyle w:val="41"/>
              <w:rPr>
                <w:rFonts w:hint="default" w:ascii="Times New Roman" w:hAnsi="Times New Roman" w:cs="Times New Roman"/>
                <w:color w:val="auto"/>
                <w:u w:val="none"/>
              </w:rPr>
            </w:pPr>
            <w:r>
              <w:rPr>
                <w:rFonts w:hint="default" w:ascii="Times New Roman" w:hAnsi="Times New Roman" w:cs="Times New Roman"/>
                <w:color w:val="auto"/>
                <w:u w:val="none"/>
              </w:rPr>
              <w:t>整个生产工序</w:t>
            </w:r>
          </w:p>
        </w:tc>
        <w:tc>
          <w:tcPr>
            <w:tcW w:w="998" w:type="pct"/>
            <w:tcBorders>
              <w:tl2br w:val="nil"/>
              <w:tr2bl w:val="nil"/>
            </w:tcBorders>
            <w:vAlign w:val="center"/>
          </w:tcPr>
          <w:p w14:paraId="18C4C894">
            <w:pPr>
              <w:pStyle w:val="41"/>
              <w:rPr>
                <w:rFonts w:hint="default" w:ascii="Times New Roman" w:hAnsi="Times New Roman" w:cs="Times New Roman"/>
                <w:color w:val="auto"/>
                <w:u w:val="none"/>
              </w:rPr>
            </w:pPr>
            <w:r>
              <w:rPr>
                <w:rFonts w:hint="default" w:ascii="Times New Roman" w:hAnsi="Times New Roman" w:cs="Times New Roman"/>
                <w:color w:val="auto"/>
                <w:u w:val="none"/>
              </w:rPr>
              <w:t>生产车间各类机械设备</w:t>
            </w:r>
          </w:p>
        </w:tc>
        <w:tc>
          <w:tcPr>
            <w:tcW w:w="1002" w:type="pct"/>
            <w:tcBorders>
              <w:tl2br w:val="nil"/>
              <w:tr2bl w:val="nil"/>
            </w:tcBorders>
            <w:vAlign w:val="center"/>
          </w:tcPr>
          <w:p w14:paraId="061D9E2B">
            <w:pPr>
              <w:pStyle w:val="41"/>
              <w:rPr>
                <w:rFonts w:hint="default" w:ascii="Times New Roman" w:hAnsi="Times New Roman" w:cs="Times New Roman"/>
                <w:color w:val="auto"/>
                <w:u w:val="none"/>
              </w:rPr>
            </w:pPr>
            <w:r>
              <w:rPr>
                <w:rFonts w:hint="default" w:ascii="Times New Roman" w:hAnsi="Times New Roman" w:cs="Times New Roman"/>
                <w:color w:val="auto"/>
                <w:u w:val="none"/>
              </w:rPr>
              <w:t>Leq（A）</w:t>
            </w:r>
          </w:p>
        </w:tc>
        <w:tc>
          <w:tcPr>
            <w:tcW w:w="1571" w:type="pct"/>
            <w:tcBorders>
              <w:tl2br w:val="nil"/>
              <w:tr2bl w:val="nil"/>
            </w:tcBorders>
            <w:vAlign w:val="center"/>
          </w:tcPr>
          <w:p w14:paraId="22980868">
            <w:pPr>
              <w:pStyle w:val="41"/>
              <w:rPr>
                <w:rFonts w:hint="default" w:ascii="Times New Roman" w:hAnsi="Times New Roman" w:cs="Times New Roman"/>
                <w:color w:val="auto"/>
                <w:u w:val="none"/>
              </w:rPr>
            </w:pPr>
            <w:r>
              <w:rPr>
                <w:rFonts w:hint="default" w:ascii="Times New Roman" w:hAnsi="Times New Roman" w:cs="Times New Roman"/>
                <w:color w:val="auto"/>
                <w:u w:val="none"/>
              </w:rPr>
              <w:t>采用低噪声设备，建筑隔声，关键部位加胶垫以减少振动，设吸收板或隔声罩或安装消声器以减少噪声。设备采取降噪措施经厂房隔声后，厂房外噪声值可降低10~15dB（A）。</w:t>
            </w:r>
          </w:p>
        </w:tc>
      </w:tr>
      <w:bookmarkEnd w:id="92"/>
    </w:tbl>
    <w:p w14:paraId="33B77BCB">
      <w:pPr>
        <w:pStyle w:val="4"/>
        <w:ind w:left="0" w:leftChars="0" w:firstLineChars="0"/>
        <w:rPr>
          <w:rFonts w:hint="default" w:ascii="Times New Roman" w:hAnsi="Times New Roman" w:cs="Times New Roman"/>
          <w:color w:val="auto"/>
          <w:u w:val="none"/>
        </w:rPr>
      </w:pPr>
      <w:bookmarkStart w:id="93" w:name="_Toc20595"/>
      <w:r>
        <w:rPr>
          <w:rFonts w:hint="default" w:ascii="Times New Roman" w:hAnsi="Times New Roman" w:cs="Times New Roman"/>
          <w:color w:val="auto"/>
          <w:u w:val="none"/>
        </w:rPr>
        <w:t>水平衡</w:t>
      </w:r>
      <w:bookmarkEnd w:id="89"/>
      <w:bookmarkEnd w:id="93"/>
    </w:p>
    <w:p w14:paraId="3844F27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本项目用水主要为生活用水及生产用水。</w:t>
      </w:r>
    </w:p>
    <w:p w14:paraId="040F3F9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（1）生活用水</w:t>
      </w:r>
    </w:p>
    <w:p w14:paraId="0C8E6143">
      <w:pPr>
        <w:adjustRightIn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本项目建成投产后，全厂劳动定员</w:t>
      </w:r>
      <w:r>
        <w:rPr>
          <w:rFonts w:hint="eastAsia" w:ascii="Times New Roman" w:hAnsi="Times New Roman" w:cs="Times New Roman"/>
          <w:color w:val="auto"/>
          <w:u w:val="none"/>
          <w:lang w:val="en-US" w:eastAsia="zh-CN"/>
        </w:rPr>
        <w:t>20</w:t>
      </w:r>
      <w:r>
        <w:rPr>
          <w:rFonts w:hint="default" w:ascii="Times New Roman" w:hAnsi="Times New Roman" w:cs="Times New Roman"/>
          <w:color w:val="auto"/>
          <w:u w:val="none"/>
        </w:rPr>
        <w:t>人，均</w:t>
      </w:r>
      <w:r>
        <w:rPr>
          <w:rFonts w:hint="eastAsia" w:ascii="Times New Roman" w:hAnsi="Times New Roman" w:cs="Times New Roman"/>
          <w:color w:val="auto"/>
          <w:u w:val="none"/>
          <w:lang w:val="en-US" w:eastAsia="zh-CN"/>
        </w:rPr>
        <w:t>不</w:t>
      </w:r>
      <w:r>
        <w:rPr>
          <w:rFonts w:hint="default" w:ascii="Times New Roman" w:hAnsi="Times New Roman" w:cs="Times New Roman"/>
          <w:color w:val="auto"/>
          <w:u w:val="none"/>
        </w:rPr>
        <w:t>在厂区内食宿，按《湖南省用水定额》（DB43/T388-2020）中用水定额为</w:t>
      </w:r>
      <w:r>
        <w:rPr>
          <w:rFonts w:hint="eastAsia" w:ascii="Times New Roman" w:hAnsi="Times New Roman" w:cs="Times New Roman"/>
          <w:color w:val="auto"/>
          <w:u w:val="none"/>
          <w:lang w:val="en-US" w:eastAsia="zh-CN"/>
        </w:rPr>
        <w:t>38</w:t>
      </w:r>
      <w:r>
        <w:rPr>
          <w:rFonts w:hint="default" w:ascii="Times New Roman" w:hAnsi="Times New Roman" w:cs="Times New Roman"/>
          <w:color w:val="auto"/>
          <w:u w:val="none"/>
        </w:rPr>
        <w:t>L/人·d，用水量为</w:t>
      </w:r>
      <w:r>
        <w:rPr>
          <w:rFonts w:hint="eastAsia" w:ascii="Times New Roman" w:hAnsi="Times New Roman" w:cs="Times New Roman"/>
          <w:color w:val="auto"/>
          <w:u w:val="none"/>
          <w:lang w:val="en-US" w:eastAsia="zh-CN"/>
        </w:rPr>
        <w:t>228</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/a（</w:t>
      </w:r>
      <w:r>
        <w:rPr>
          <w:rFonts w:hint="eastAsia" w:ascii="Times New Roman" w:hAnsi="Times New Roman" w:cs="Times New Roman"/>
          <w:color w:val="auto"/>
          <w:u w:val="none"/>
          <w:lang w:val="en-US" w:eastAsia="zh-CN"/>
        </w:rPr>
        <w:t>0.76</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/d）。产污系数以0.8计，则项目生活污水产生量为</w:t>
      </w:r>
      <w:r>
        <w:rPr>
          <w:rFonts w:hint="eastAsia" w:ascii="Times New Roman" w:hAnsi="Times New Roman" w:cs="Times New Roman"/>
          <w:color w:val="auto"/>
          <w:u w:val="none"/>
          <w:lang w:val="en-US" w:eastAsia="zh-CN"/>
        </w:rPr>
        <w:t>0.608</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w:t>
      </w:r>
      <w:r>
        <w:rPr>
          <w:rFonts w:hint="eastAsia" w:ascii="Times New Roman" w:hAnsi="Times New Roman" w:cs="Times New Roman"/>
          <w:color w:val="auto"/>
          <w:u w:val="none"/>
          <w:lang w:val="en-US" w:eastAsia="zh-CN"/>
        </w:rPr>
        <w:t>182.4</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/a），</w:t>
      </w:r>
      <w:r>
        <w:rPr>
          <w:rFonts w:hint="default" w:ascii="Times New Roman" w:hAnsi="Times New Roman" w:cs="Times New Roman"/>
          <w:color w:val="auto"/>
          <w:spacing w:val="4"/>
          <w:u w:val="none"/>
        </w:rPr>
        <w:t>生活污水</w:t>
      </w:r>
      <w:r>
        <w:rPr>
          <w:rFonts w:hint="eastAsia" w:ascii="Times New Roman" w:hAnsi="Times New Roman" w:cs="Times New Roman"/>
          <w:color w:val="auto"/>
          <w:spacing w:val="4"/>
          <w:u w:val="none"/>
          <w:lang w:val="en-US" w:eastAsia="zh-CN"/>
        </w:rPr>
        <w:t>依托</w:t>
      </w:r>
      <w:r>
        <w:rPr>
          <w:rFonts w:hint="default" w:ascii="Times New Roman" w:hAnsi="Times New Roman" w:cs="Times New Roman"/>
          <w:color w:val="auto"/>
          <w:u w:val="none"/>
        </w:rPr>
        <w:t>厂区</w:t>
      </w:r>
      <w:r>
        <w:rPr>
          <w:rFonts w:hint="default" w:ascii="Times New Roman" w:hAnsi="Times New Roman" w:cs="Times New Roman"/>
          <w:color w:val="auto"/>
          <w:spacing w:val="4"/>
          <w:u w:val="none"/>
        </w:rPr>
        <w:t>化粪池处理达《污水综合排放标准》（GB8978-1996）中三级标准</w:t>
      </w:r>
      <w:r>
        <w:rPr>
          <w:rFonts w:hint="default" w:ascii="Times New Roman" w:hAnsi="Times New Roman" w:cs="Times New Roman"/>
          <w:color w:val="auto"/>
          <w:u w:val="none"/>
          <w:lang w:val="en-US" w:eastAsia="zh-CN"/>
        </w:rPr>
        <w:t>及</w:t>
      </w:r>
      <w:r>
        <w:rPr>
          <w:rFonts w:hint="default" w:ascii="Times New Roman" w:hAnsi="Times New Roman" w:cs="Times New Roman"/>
          <w:color w:val="auto"/>
          <w:u w:val="none"/>
        </w:rPr>
        <w:t>临港污水处理厂的纳管协议标准</w:t>
      </w:r>
      <w:r>
        <w:rPr>
          <w:rFonts w:hint="default" w:ascii="Times New Roman" w:hAnsi="Times New Roman" w:cs="Times New Roman"/>
          <w:color w:val="auto"/>
          <w:spacing w:val="4"/>
          <w:u w:val="none"/>
        </w:rPr>
        <w:t>后进入市政污水管网</w:t>
      </w:r>
      <w:r>
        <w:rPr>
          <w:rFonts w:hint="default" w:ascii="Times New Roman" w:hAnsi="Times New Roman" w:cs="Times New Roman"/>
          <w:color w:val="auto"/>
          <w:u w:val="none"/>
        </w:rPr>
        <w:t>。</w:t>
      </w:r>
    </w:p>
    <w:p w14:paraId="03C0F9F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（2）生产用水</w:t>
      </w:r>
    </w:p>
    <w:p w14:paraId="4BD116A1">
      <w:pPr>
        <w:ind w:firstLine="480"/>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①阳极氧化</w:t>
      </w:r>
      <w:r>
        <w:rPr>
          <w:rFonts w:hint="eastAsia" w:ascii="Times New Roman" w:hAnsi="Times New Roman" w:cs="Times New Roman"/>
          <w:color w:val="auto"/>
          <w:u w:val="none"/>
          <w:lang w:val="en-US" w:eastAsia="zh-CN"/>
        </w:rPr>
        <w:t>用水</w:t>
      </w:r>
    </w:p>
    <w:p w14:paraId="04ED14B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本项目设置阳极氧化线</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条，单条线过程中用水量及排水量见下表：</w:t>
      </w:r>
    </w:p>
    <w:p w14:paraId="3EA61017">
      <w:pPr>
        <w:pStyle w:val="38"/>
        <w:rPr>
          <w:rFonts w:hint="default" w:ascii="Times New Roman" w:hAnsi="Times New Roman" w:cs="Times New Roman"/>
          <w:color w:val="FF0000"/>
          <w:u w:val="none"/>
        </w:rPr>
        <w:sectPr>
          <w:footerReference r:id="rId7" w:type="default"/>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14:paraId="57044DD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表4.3-1  阳极氧化用水量及排水量一览表</w:t>
      </w:r>
    </w:p>
    <w:tbl>
      <w:tblPr>
        <w:tblStyle w:val="59"/>
        <w:tblW w:w="14585"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15"/>
        <w:gridCol w:w="1158"/>
        <w:gridCol w:w="675"/>
        <w:gridCol w:w="697"/>
        <w:gridCol w:w="697"/>
        <w:gridCol w:w="759"/>
        <w:gridCol w:w="845"/>
        <w:gridCol w:w="1021"/>
        <w:gridCol w:w="1017"/>
        <w:gridCol w:w="853"/>
        <w:gridCol w:w="845"/>
        <w:gridCol w:w="1382"/>
        <w:gridCol w:w="958"/>
        <w:gridCol w:w="661"/>
        <w:gridCol w:w="1602"/>
      </w:tblGrid>
      <w:tr w14:paraId="74A43B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blHeader/>
        </w:trPr>
        <w:tc>
          <w:tcPr>
            <w:tcW w:w="1415" w:type="dxa"/>
            <w:tcBorders>
              <w:tl2br w:val="nil"/>
              <w:tr2bl w:val="nil"/>
            </w:tcBorders>
            <w:vAlign w:val="center"/>
          </w:tcPr>
          <w:p w14:paraId="7A3FD43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用途</w:t>
            </w:r>
          </w:p>
        </w:tc>
        <w:tc>
          <w:tcPr>
            <w:tcW w:w="1158" w:type="dxa"/>
            <w:tcBorders>
              <w:tl2br w:val="nil"/>
              <w:tr2bl w:val="nil"/>
            </w:tcBorders>
            <w:vAlign w:val="center"/>
          </w:tcPr>
          <w:p w14:paraId="2A976E3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槽子名称</w:t>
            </w:r>
          </w:p>
        </w:tc>
        <w:tc>
          <w:tcPr>
            <w:tcW w:w="675" w:type="dxa"/>
            <w:tcBorders>
              <w:tl2br w:val="nil"/>
              <w:tr2bl w:val="nil"/>
            </w:tcBorders>
            <w:vAlign w:val="center"/>
          </w:tcPr>
          <w:p w14:paraId="6507E72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长(mm)</w:t>
            </w:r>
          </w:p>
        </w:tc>
        <w:tc>
          <w:tcPr>
            <w:tcW w:w="697" w:type="dxa"/>
            <w:tcBorders>
              <w:tl2br w:val="nil"/>
              <w:tr2bl w:val="nil"/>
            </w:tcBorders>
            <w:vAlign w:val="center"/>
          </w:tcPr>
          <w:p w14:paraId="0964E95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宽(mm)</w:t>
            </w:r>
          </w:p>
        </w:tc>
        <w:tc>
          <w:tcPr>
            <w:tcW w:w="697" w:type="dxa"/>
            <w:tcBorders>
              <w:tl2br w:val="nil"/>
              <w:tr2bl w:val="nil"/>
            </w:tcBorders>
            <w:vAlign w:val="center"/>
          </w:tcPr>
          <w:p w14:paraId="0EC736B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高(mm)</w:t>
            </w:r>
          </w:p>
        </w:tc>
        <w:tc>
          <w:tcPr>
            <w:tcW w:w="759" w:type="dxa"/>
            <w:tcBorders>
              <w:tl2br w:val="nil"/>
              <w:tr2bl w:val="nil"/>
            </w:tcBorders>
            <w:vAlign w:val="center"/>
          </w:tcPr>
          <w:p w14:paraId="53C317C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数量(个)</w:t>
            </w:r>
          </w:p>
        </w:tc>
        <w:tc>
          <w:tcPr>
            <w:tcW w:w="845" w:type="dxa"/>
            <w:tcBorders>
              <w:tl2br w:val="nil"/>
              <w:tr2bl w:val="nil"/>
            </w:tcBorders>
            <w:vAlign w:val="center"/>
          </w:tcPr>
          <w:p w14:paraId="52D49A6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盛装量(t)</w:t>
            </w:r>
          </w:p>
        </w:tc>
        <w:tc>
          <w:tcPr>
            <w:tcW w:w="1021" w:type="dxa"/>
            <w:tcBorders>
              <w:tl2br w:val="nil"/>
              <w:tr2bl w:val="nil"/>
            </w:tcBorders>
            <w:vAlign w:val="center"/>
          </w:tcPr>
          <w:p w14:paraId="627371C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溢流量(t/d)</w:t>
            </w:r>
          </w:p>
        </w:tc>
        <w:tc>
          <w:tcPr>
            <w:tcW w:w="1017" w:type="dxa"/>
            <w:tcBorders>
              <w:tl2br w:val="nil"/>
              <w:tr2bl w:val="nil"/>
            </w:tcBorders>
            <w:vAlign w:val="center"/>
          </w:tcPr>
          <w:p w14:paraId="22BE3560">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补充量(t/d)</w:t>
            </w:r>
          </w:p>
        </w:tc>
        <w:tc>
          <w:tcPr>
            <w:tcW w:w="853" w:type="dxa"/>
            <w:tcBorders>
              <w:tl2br w:val="nil"/>
              <w:tr2bl w:val="nil"/>
            </w:tcBorders>
            <w:vAlign w:val="center"/>
          </w:tcPr>
          <w:p w14:paraId="70BD9D1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更换周期(天)</w:t>
            </w:r>
          </w:p>
        </w:tc>
        <w:tc>
          <w:tcPr>
            <w:tcW w:w="845" w:type="dxa"/>
            <w:tcBorders>
              <w:tl2br w:val="nil"/>
              <w:tr2bl w:val="nil"/>
            </w:tcBorders>
            <w:vAlign w:val="center"/>
          </w:tcPr>
          <w:p w14:paraId="42DFE24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更换量(t)</w:t>
            </w:r>
          </w:p>
        </w:tc>
        <w:tc>
          <w:tcPr>
            <w:tcW w:w="1382" w:type="dxa"/>
            <w:tcBorders>
              <w:tl2br w:val="nil"/>
              <w:tr2bl w:val="nil"/>
            </w:tcBorders>
            <w:vAlign w:val="center"/>
          </w:tcPr>
          <w:p w14:paraId="16487BE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排水量(t/a)</w:t>
            </w:r>
          </w:p>
        </w:tc>
        <w:tc>
          <w:tcPr>
            <w:tcW w:w="958" w:type="dxa"/>
            <w:tcBorders>
              <w:tl2br w:val="nil"/>
              <w:tr2bl w:val="nil"/>
            </w:tcBorders>
            <w:vAlign w:val="center"/>
          </w:tcPr>
          <w:p w14:paraId="31A3025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用水量(t/a)</w:t>
            </w:r>
          </w:p>
        </w:tc>
        <w:tc>
          <w:tcPr>
            <w:tcW w:w="661" w:type="dxa"/>
            <w:tcBorders>
              <w:tl2br w:val="nil"/>
              <w:tr2bl w:val="nil"/>
            </w:tcBorders>
            <w:vAlign w:val="center"/>
          </w:tcPr>
          <w:p w14:paraId="47B29384">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用水种类</w:t>
            </w:r>
          </w:p>
        </w:tc>
        <w:tc>
          <w:tcPr>
            <w:tcW w:w="1602" w:type="dxa"/>
            <w:tcBorders>
              <w:tl2br w:val="nil"/>
              <w:tr2bl w:val="nil"/>
            </w:tcBorders>
            <w:vAlign w:val="center"/>
          </w:tcPr>
          <w:p w14:paraId="0B90FC5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废水种类</w:t>
            </w:r>
          </w:p>
        </w:tc>
      </w:tr>
      <w:tr w14:paraId="1300B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restart"/>
            <w:tcBorders>
              <w:tl2br w:val="nil"/>
              <w:tr2bl w:val="nil"/>
            </w:tcBorders>
            <w:vAlign w:val="center"/>
          </w:tcPr>
          <w:p w14:paraId="1A89C281">
            <w:pPr>
              <w:pStyle w:val="41"/>
              <w:rPr>
                <w:rFonts w:hint="default" w:ascii="Times New Roman" w:hAnsi="Times New Roman" w:cs="Times New Roman"/>
                <w:color w:val="auto"/>
                <w:u w:val="none"/>
              </w:rPr>
            </w:pPr>
            <w:r>
              <w:rPr>
                <w:rFonts w:hint="default" w:ascii="Times New Roman" w:hAnsi="Times New Roman" w:cs="Times New Roman"/>
                <w:color w:val="auto"/>
                <w:u w:val="none"/>
              </w:rPr>
              <w:t>大</w:t>
            </w:r>
            <w:r>
              <w:rPr>
                <w:rFonts w:hint="eastAsia" w:cs="Times New Roman"/>
                <w:color w:val="auto"/>
                <w:u w:val="none"/>
                <w:lang w:val="en-US" w:eastAsia="zh-CN"/>
              </w:rPr>
              <w:t>线氧化</w:t>
            </w:r>
            <w:r>
              <w:rPr>
                <w:rFonts w:hint="default" w:ascii="Times New Roman" w:hAnsi="Times New Roman" w:cs="Times New Roman"/>
                <w:color w:val="auto"/>
                <w:u w:val="none"/>
              </w:rPr>
              <w:t>自动线生产</w:t>
            </w:r>
          </w:p>
        </w:tc>
        <w:tc>
          <w:tcPr>
            <w:tcW w:w="1158" w:type="dxa"/>
            <w:tcBorders>
              <w:tl2br w:val="nil"/>
              <w:tr2bl w:val="nil"/>
            </w:tcBorders>
            <w:vAlign w:val="center"/>
          </w:tcPr>
          <w:p w14:paraId="557CE41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化学除油</w:t>
            </w:r>
          </w:p>
        </w:tc>
        <w:tc>
          <w:tcPr>
            <w:tcW w:w="675" w:type="dxa"/>
            <w:tcBorders>
              <w:tl2br w:val="nil"/>
              <w:tr2bl w:val="nil"/>
            </w:tcBorders>
            <w:vAlign w:val="center"/>
          </w:tcPr>
          <w:p w14:paraId="10305C5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1DF2665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2298F1A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0A3307D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6B2B127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5338187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1EE93A5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5884C62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w:t>
            </w:r>
          </w:p>
        </w:tc>
        <w:tc>
          <w:tcPr>
            <w:tcW w:w="845" w:type="dxa"/>
            <w:tcBorders>
              <w:tl2br w:val="nil"/>
              <w:tr2bl w:val="nil"/>
            </w:tcBorders>
            <w:vAlign w:val="center"/>
          </w:tcPr>
          <w:p w14:paraId="72B6CE6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5E11D0E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314.8</w:t>
            </w:r>
          </w:p>
        </w:tc>
        <w:tc>
          <w:tcPr>
            <w:tcW w:w="958" w:type="dxa"/>
            <w:tcBorders>
              <w:tl2br w:val="nil"/>
              <w:tr2bl w:val="nil"/>
            </w:tcBorders>
            <w:vAlign w:val="center"/>
          </w:tcPr>
          <w:p w14:paraId="538CC19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1F319DE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07ED5C7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含油废液</w:t>
            </w:r>
          </w:p>
        </w:tc>
      </w:tr>
      <w:tr w14:paraId="77C7E9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7F6C5B40">
            <w:pPr>
              <w:pStyle w:val="41"/>
              <w:rPr>
                <w:rFonts w:hint="default" w:ascii="Times New Roman" w:hAnsi="Times New Roman" w:cs="Times New Roman"/>
                <w:color w:val="auto"/>
                <w:u w:val="none"/>
              </w:rPr>
            </w:pPr>
          </w:p>
        </w:tc>
        <w:tc>
          <w:tcPr>
            <w:tcW w:w="1158" w:type="dxa"/>
            <w:tcBorders>
              <w:tl2br w:val="nil"/>
              <w:tr2bl w:val="nil"/>
            </w:tcBorders>
            <w:vAlign w:val="center"/>
          </w:tcPr>
          <w:p w14:paraId="22B5EE0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热水洗</w:t>
            </w:r>
          </w:p>
        </w:tc>
        <w:tc>
          <w:tcPr>
            <w:tcW w:w="675" w:type="dxa"/>
            <w:tcBorders>
              <w:tl2br w:val="nil"/>
              <w:tr2bl w:val="nil"/>
            </w:tcBorders>
            <w:vAlign w:val="center"/>
          </w:tcPr>
          <w:p w14:paraId="2D64746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058CD4B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44BF099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4864DA4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3CCE879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4A07ECF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3FFF1D6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7997A51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w:t>
            </w:r>
          </w:p>
        </w:tc>
        <w:tc>
          <w:tcPr>
            <w:tcW w:w="845" w:type="dxa"/>
            <w:tcBorders>
              <w:tl2br w:val="nil"/>
              <w:tr2bl w:val="nil"/>
            </w:tcBorders>
            <w:vAlign w:val="center"/>
          </w:tcPr>
          <w:p w14:paraId="173B3C1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5AB761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674.5714286</w:t>
            </w:r>
          </w:p>
        </w:tc>
        <w:tc>
          <w:tcPr>
            <w:tcW w:w="958" w:type="dxa"/>
            <w:tcBorders>
              <w:tl2br w:val="nil"/>
              <w:tr2bl w:val="nil"/>
            </w:tcBorders>
            <w:vAlign w:val="center"/>
          </w:tcPr>
          <w:p w14:paraId="5C6CA63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4120F80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tcBorders>
              <w:tl2br w:val="nil"/>
              <w:tr2bl w:val="nil"/>
            </w:tcBorders>
            <w:vAlign w:val="center"/>
          </w:tcPr>
          <w:p w14:paraId="5130FC7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43AECA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50408603">
            <w:pPr>
              <w:pStyle w:val="41"/>
              <w:rPr>
                <w:rFonts w:hint="default" w:ascii="Times New Roman" w:hAnsi="Times New Roman" w:cs="Times New Roman"/>
                <w:color w:val="auto"/>
                <w:u w:val="none"/>
              </w:rPr>
            </w:pPr>
          </w:p>
        </w:tc>
        <w:tc>
          <w:tcPr>
            <w:tcW w:w="1158" w:type="dxa"/>
            <w:tcBorders>
              <w:tl2br w:val="nil"/>
              <w:tr2bl w:val="nil"/>
            </w:tcBorders>
            <w:vAlign w:val="center"/>
          </w:tcPr>
          <w:p w14:paraId="74154BB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0629B74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20DA27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700657A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797D741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22EB644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4E52254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62ADF07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716F877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w:t>
            </w:r>
          </w:p>
        </w:tc>
        <w:tc>
          <w:tcPr>
            <w:tcW w:w="845" w:type="dxa"/>
            <w:tcBorders>
              <w:tl2br w:val="nil"/>
              <w:tr2bl w:val="nil"/>
            </w:tcBorders>
            <w:vAlign w:val="center"/>
          </w:tcPr>
          <w:p w14:paraId="5F86CCE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1089D45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674.5714286</w:t>
            </w:r>
          </w:p>
        </w:tc>
        <w:tc>
          <w:tcPr>
            <w:tcW w:w="958" w:type="dxa"/>
            <w:tcBorders>
              <w:tl2br w:val="nil"/>
              <w:tr2bl w:val="nil"/>
            </w:tcBorders>
            <w:vAlign w:val="center"/>
          </w:tcPr>
          <w:p w14:paraId="442488B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0371820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tcBorders>
              <w:tl2br w:val="nil"/>
              <w:tr2bl w:val="nil"/>
            </w:tcBorders>
            <w:vAlign w:val="center"/>
          </w:tcPr>
          <w:p w14:paraId="76C6EA6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0906D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7DE452A8">
            <w:pPr>
              <w:pStyle w:val="41"/>
              <w:rPr>
                <w:rFonts w:hint="default" w:ascii="Times New Roman" w:hAnsi="Times New Roman" w:cs="Times New Roman"/>
                <w:color w:val="auto"/>
                <w:u w:val="none"/>
              </w:rPr>
            </w:pPr>
          </w:p>
        </w:tc>
        <w:tc>
          <w:tcPr>
            <w:tcW w:w="1158" w:type="dxa"/>
            <w:tcBorders>
              <w:tl2br w:val="nil"/>
              <w:tr2bl w:val="nil"/>
            </w:tcBorders>
            <w:vAlign w:val="center"/>
          </w:tcPr>
          <w:p w14:paraId="1123D03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光亮腐蚀</w:t>
            </w:r>
          </w:p>
        </w:tc>
        <w:tc>
          <w:tcPr>
            <w:tcW w:w="675" w:type="dxa"/>
            <w:tcBorders>
              <w:tl2br w:val="nil"/>
              <w:tr2bl w:val="nil"/>
            </w:tcBorders>
            <w:vAlign w:val="center"/>
          </w:tcPr>
          <w:p w14:paraId="786A850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3E3A657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20009A6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3554055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79B32D8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6830E90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2861B96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0255A8A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w:t>
            </w:r>
          </w:p>
        </w:tc>
        <w:tc>
          <w:tcPr>
            <w:tcW w:w="845" w:type="dxa"/>
            <w:tcBorders>
              <w:tl2br w:val="nil"/>
              <w:tr2bl w:val="nil"/>
            </w:tcBorders>
            <w:vAlign w:val="center"/>
          </w:tcPr>
          <w:p w14:paraId="16DC5D9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0AED479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314.8</w:t>
            </w:r>
          </w:p>
        </w:tc>
        <w:tc>
          <w:tcPr>
            <w:tcW w:w="958" w:type="dxa"/>
            <w:tcBorders>
              <w:tl2br w:val="nil"/>
              <w:tr2bl w:val="nil"/>
            </w:tcBorders>
            <w:vAlign w:val="center"/>
          </w:tcPr>
          <w:p w14:paraId="733E42B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75C0CFD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3E8D8C0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778536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3A1F1805">
            <w:pPr>
              <w:pStyle w:val="41"/>
              <w:rPr>
                <w:rFonts w:hint="default" w:ascii="Times New Roman" w:hAnsi="Times New Roman" w:cs="Times New Roman"/>
                <w:color w:val="auto"/>
                <w:u w:val="none"/>
              </w:rPr>
            </w:pPr>
          </w:p>
        </w:tc>
        <w:tc>
          <w:tcPr>
            <w:tcW w:w="1158" w:type="dxa"/>
            <w:tcBorders>
              <w:tl2br w:val="nil"/>
              <w:tr2bl w:val="nil"/>
            </w:tcBorders>
            <w:vAlign w:val="center"/>
          </w:tcPr>
          <w:p w14:paraId="492B0AC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5D92086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2031BC0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7AE8C74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6B6F19B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0ED310C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69C113F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0F92A86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415D524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w:t>
            </w:r>
          </w:p>
        </w:tc>
        <w:tc>
          <w:tcPr>
            <w:tcW w:w="845" w:type="dxa"/>
            <w:tcBorders>
              <w:tl2br w:val="nil"/>
              <w:tr2bl w:val="nil"/>
            </w:tcBorders>
            <w:vAlign w:val="center"/>
          </w:tcPr>
          <w:p w14:paraId="483E556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21DDFEC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674.5714286</w:t>
            </w:r>
          </w:p>
        </w:tc>
        <w:tc>
          <w:tcPr>
            <w:tcW w:w="958" w:type="dxa"/>
            <w:tcBorders>
              <w:tl2br w:val="nil"/>
              <w:tr2bl w:val="nil"/>
            </w:tcBorders>
            <w:vAlign w:val="center"/>
          </w:tcPr>
          <w:p w14:paraId="469AFA7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3491DF9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tcBorders>
              <w:tl2br w:val="nil"/>
              <w:tr2bl w:val="nil"/>
            </w:tcBorders>
            <w:vAlign w:val="center"/>
          </w:tcPr>
          <w:p w14:paraId="687F8F8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57C69A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585B1358">
            <w:pPr>
              <w:pStyle w:val="41"/>
              <w:rPr>
                <w:rFonts w:hint="default" w:ascii="Times New Roman" w:hAnsi="Times New Roman" w:cs="Times New Roman"/>
                <w:color w:val="auto"/>
                <w:u w:val="none"/>
              </w:rPr>
            </w:pPr>
          </w:p>
        </w:tc>
        <w:tc>
          <w:tcPr>
            <w:tcW w:w="1158" w:type="dxa"/>
            <w:tcBorders>
              <w:tl2br w:val="nil"/>
              <w:tr2bl w:val="nil"/>
            </w:tcBorders>
            <w:vAlign w:val="center"/>
          </w:tcPr>
          <w:p w14:paraId="43C3BDA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碱蚀</w:t>
            </w:r>
          </w:p>
        </w:tc>
        <w:tc>
          <w:tcPr>
            <w:tcW w:w="675" w:type="dxa"/>
            <w:tcBorders>
              <w:tl2br w:val="nil"/>
              <w:tr2bl w:val="nil"/>
            </w:tcBorders>
            <w:vAlign w:val="center"/>
          </w:tcPr>
          <w:p w14:paraId="1BFDA1F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79C2A68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56A66C5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2B5D14E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7BC69F0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7D7C9C6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3AE05B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68269F7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30</w:t>
            </w:r>
          </w:p>
        </w:tc>
        <w:tc>
          <w:tcPr>
            <w:tcW w:w="845" w:type="dxa"/>
            <w:tcBorders>
              <w:tl2br w:val="nil"/>
              <w:tr2bl w:val="nil"/>
            </w:tcBorders>
            <w:vAlign w:val="center"/>
          </w:tcPr>
          <w:p w14:paraId="060B68C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3654859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6CA3FCD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3F9CA8B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7E5917E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碱废液</w:t>
            </w:r>
          </w:p>
        </w:tc>
      </w:tr>
      <w:tr w14:paraId="5BFF2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403B8E62">
            <w:pPr>
              <w:pStyle w:val="41"/>
              <w:rPr>
                <w:rFonts w:hint="default" w:ascii="Times New Roman" w:hAnsi="Times New Roman" w:cs="Times New Roman"/>
                <w:color w:val="auto"/>
                <w:u w:val="none"/>
              </w:rPr>
            </w:pPr>
          </w:p>
        </w:tc>
        <w:tc>
          <w:tcPr>
            <w:tcW w:w="1158" w:type="dxa"/>
            <w:tcBorders>
              <w:tl2br w:val="nil"/>
              <w:tr2bl w:val="nil"/>
            </w:tcBorders>
            <w:vAlign w:val="center"/>
          </w:tcPr>
          <w:p w14:paraId="4F227E7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热水洗</w:t>
            </w:r>
          </w:p>
        </w:tc>
        <w:tc>
          <w:tcPr>
            <w:tcW w:w="675" w:type="dxa"/>
            <w:tcBorders>
              <w:tl2br w:val="nil"/>
              <w:tr2bl w:val="nil"/>
            </w:tcBorders>
            <w:vAlign w:val="center"/>
          </w:tcPr>
          <w:p w14:paraId="460D569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7917DA6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0E3F1AF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6B53AF6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5C0C31F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61D7950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31E669D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29B11FE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590C7DF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21FBDFA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6F10A7A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7F98DB5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tcBorders>
              <w:tl2br w:val="nil"/>
              <w:tr2bl w:val="nil"/>
            </w:tcBorders>
            <w:vAlign w:val="center"/>
          </w:tcPr>
          <w:p w14:paraId="6EAAE3C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碱废水</w:t>
            </w:r>
          </w:p>
        </w:tc>
      </w:tr>
      <w:tr w14:paraId="2FFB90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36B0EAF6">
            <w:pPr>
              <w:pStyle w:val="41"/>
              <w:rPr>
                <w:rFonts w:hint="default" w:ascii="Times New Roman" w:hAnsi="Times New Roman" w:cs="Times New Roman"/>
                <w:color w:val="auto"/>
                <w:u w:val="none"/>
              </w:rPr>
            </w:pPr>
          </w:p>
        </w:tc>
        <w:tc>
          <w:tcPr>
            <w:tcW w:w="1158" w:type="dxa"/>
            <w:tcBorders>
              <w:tl2br w:val="nil"/>
              <w:tr2bl w:val="nil"/>
            </w:tcBorders>
            <w:vAlign w:val="center"/>
          </w:tcPr>
          <w:p w14:paraId="5F29ADCA">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43FBFA1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4E4249A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564AEBC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01A6060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500983F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431D130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4A624F1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1BD12DD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2912488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725BBC1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0DEC113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66A4D0F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tcBorders>
              <w:tl2br w:val="nil"/>
              <w:tr2bl w:val="nil"/>
            </w:tcBorders>
            <w:vAlign w:val="center"/>
          </w:tcPr>
          <w:p w14:paraId="6C0E92B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7C422A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5179619F">
            <w:pPr>
              <w:pStyle w:val="41"/>
              <w:rPr>
                <w:rFonts w:hint="default" w:ascii="Times New Roman" w:hAnsi="Times New Roman" w:cs="Times New Roman"/>
                <w:color w:val="auto"/>
                <w:u w:val="none"/>
              </w:rPr>
            </w:pPr>
          </w:p>
        </w:tc>
        <w:tc>
          <w:tcPr>
            <w:tcW w:w="1158" w:type="dxa"/>
            <w:tcBorders>
              <w:tl2br w:val="nil"/>
              <w:tr2bl w:val="nil"/>
            </w:tcBorders>
            <w:vAlign w:val="center"/>
          </w:tcPr>
          <w:p w14:paraId="209F887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出光</w:t>
            </w:r>
          </w:p>
        </w:tc>
        <w:tc>
          <w:tcPr>
            <w:tcW w:w="675" w:type="dxa"/>
            <w:tcBorders>
              <w:tl2br w:val="nil"/>
              <w:tr2bl w:val="nil"/>
            </w:tcBorders>
            <w:vAlign w:val="center"/>
          </w:tcPr>
          <w:p w14:paraId="0D3C479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137E84C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6D2D905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342D860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137BC13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59A8065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2AE4727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6CE1D57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30</w:t>
            </w:r>
          </w:p>
        </w:tc>
        <w:tc>
          <w:tcPr>
            <w:tcW w:w="845" w:type="dxa"/>
            <w:tcBorders>
              <w:tl2br w:val="nil"/>
              <w:tr2bl w:val="nil"/>
            </w:tcBorders>
            <w:vAlign w:val="center"/>
          </w:tcPr>
          <w:p w14:paraId="21E0008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3DCF36E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67D9BA3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4EFB860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65B28B4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5DC8A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2E2A55E0">
            <w:pPr>
              <w:pStyle w:val="41"/>
              <w:rPr>
                <w:rFonts w:hint="default" w:ascii="Times New Roman" w:hAnsi="Times New Roman" w:cs="Times New Roman"/>
                <w:color w:val="auto"/>
                <w:u w:val="none"/>
              </w:rPr>
            </w:pPr>
          </w:p>
        </w:tc>
        <w:tc>
          <w:tcPr>
            <w:tcW w:w="1158" w:type="dxa"/>
            <w:tcBorders>
              <w:tl2br w:val="nil"/>
              <w:tr2bl w:val="nil"/>
            </w:tcBorders>
            <w:vAlign w:val="center"/>
          </w:tcPr>
          <w:p w14:paraId="54696ED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201A6F8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0C8FCCE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662F66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5F94F4A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5B0CB6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0391C04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w:t>
            </w:r>
          </w:p>
        </w:tc>
        <w:tc>
          <w:tcPr>
            <w:tcW w:w="1017" w:type="dxa"/>
            <w:tcBorders>
              <w:tl2br w:val="nil"/>
              <w:tr2bl w:val="nil"/>
            </w:tcBorders>
            <w:vAlign w:val="center"/>
          </w:tcPr>
          <w:p w14:paraId="3D8EC9A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12.1</w:t>
            </w:r>
          </w:p>
        </w:tc>
        <w:tc>
          <w:tcPr>
            <w:tcW w:w="853" w:type="dxa"/>
            <w:tcBorders>
              <w:tl2br w:val="nil"/>
              <w:tr2bl w:val="nil"/>
            </w:tcBorders>
            <w:vAlign w:val="center"/>
          </w:tcPr>
          <w:p w14:paraId="4E52753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5734844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384738C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529EC31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3630</w:t>
            </w:r>
          </w:p>
        </w:tc>
        <w:tc>
          <w:tcPr>
            <w:tcW w:w="661" w:type="dxa"/>
            <w:tcBorders>
              <w:tl2br w:val="nil"/>
              <w:tr2bl w:val="nil"/>
            </w:tcBorders>
            <w:vAlign w:val="center"/>
          </w:tcPr>
          <w:p w14:paraId="34CD346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tcBorders>
              <w:tl2br w:val="nil"/>
              <w:tr2bl w:val="nil"/>
            </w:tcBorders>
            <w:vAlign w:val="center"/>
          </w:tcPr>
          <w:p w14:paraId="2DBE1EB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0EC16B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46516605">
            <w:pPr>
              <w:pStyle w:val="41"/>
              <w:rPr>
                <w:rFonts w:hint="default" w:ascii="Times New Roman" w:hAnsi="Times New Roman" w:cs="Times New Roman"/>
                <w:color w:val="auto"/>
                <w:u w:val="none"/>
              </w:rPr>
            </w:pPr>
          </w:p>
        </w:tc>
        <w:tc>
          <w:tcPr>
            <w:tcW w:w="1158" w:type="dxa"/>
            <w:tcBorders>
              <w:tl2br w:val="nil"/>
              <w:tr2bl w:val="nil"/>
            </w:tcBorders>
            <w:vAlign w:val="center"/>
          </w:tcPr>
          <w:p w14:paraId="1E03076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氧化槽</w:t>
            </w:r>
            <w:r>
              <w:rPr>
                <w:rFonts w:hint="default" w:ascii="Times New Roman" w:hAnsi="Times New Roman" w:cs="Times New Roman"/>
                <w:color w:val="auto"/>
                <w:u w:val="none"/>
                <w:lang w:val="en-US" w:eastAsia="zh-CN"/>
              </w:rPr>
              <w:t>1</w:t>
            </w:r>
          </w:p>
        </w:tc>
        <w:tc>
          <w:tcPr>
            <w:tcW w:w="675" w:type="dxa"/>
            <w:tcBorders>
              <w:tl2br w:val="nil"/>
              <w:tr2bl w:val="nil"/>
            </w:tcBorders>
            <w:vAlign w:val="center"/>
          </w:tcPr>
          <w:p w14:paraId="788066B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32620AE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1600</w:t>
            </w:r>
          </w:p>
        </w:tc>
        <w:tc>
          <w:tcPr>
            <w:tcW w:w="697" w:type="dxa"/>
            <w:tcBorders>
              <w:tl2br w:val="nil"/>
              <w:tr2bl w:val="nil"/>
            </w:tcBorders>
            <w:vAlign w:val="center"/>
          </w:tcPr>
          <w:p w14:paraId="058D59D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25B6AFD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5F8BF63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22.89</w:t>
            </w:r>
          </w:p>
        </w:tc>
        <w:tc>
          <w:tcPr>
            <w:tcW w:w="1021" w:type="dxa"/>
            <w:tcBorders>
              <w:tl2br w:val="nil"/>
              <w:tr2bl w:val="nil"/>
            </w:tcBorders>
            <w:vAlign w:val="center"/>
          </w:tcPr>
          <w:p w14:paraId="2D1E127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50DB0A0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0.6</w:t>
            </w:r>
          </w:p>
        </w:tc>
        <w:tc>
          <w:tcPr>
            <w:tcW w:w="853" w:type="dxa"/>
            <w:tcBorders>
              <w:tl2br w:val="nil"/>
              <w:tr2bl w:val="nil"/>
            </w:tcBorders>
            <w:vAlign w:val="center"/>
          </w:tcPr>
          <w:p w14:paraId="616721A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845" w:type="dxa"/>
            <w:tcBorders>
              <w:tl2br w:val="nil"/>
              <w:tr2bl w:val="nil"/>
            </w:tcBorders>
            <w:vAlign w:val="center"/>
          </w:tcPr>
          <w:p w14:paraId="41ADB63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22.89</w:t>
            </w:r>
          </w:p>
        </w:tc>
        <w:tc>
          <w:tcPr>
            <w:tcW w:w="1382" w:type="dxa"/>
            <w:tcBorders>
              <w:tl2br w:val="nil"/>
              <w:tr2bl w:val="nil"/>
            </w:tcBorders>
            <w:vAlign w:val="center"/>
          </w:tcPr>
          <w:p w14:paraId="0471B1E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76.3</w:t>
            </w:r>
          </w:p>
        </w:tc>
        <w:tc>
          <w:tcPr>
            <w:tcW w:w="958" w:type="dxa"/>
            <w:tcBorders>
              <w:tl2br w:val="nil"/>
              <w:tr2bl w:val="nil"/>
            </w:tcBorders>
            <w:vAlign w:val="center"/>
          </w:tcPr>
          <w:p w14:paraId="0F6B31B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180</w:t>
            </w:r>
          </w:p>
        </w:tc>
        <w:tc>
          <w:tcPr>
            <w:tcW w:w="661" w:type="dxa"/>
            <w:tcBorders>
              <w:tl2br w:val="nil"/>
              <w:tr2bl w:val="nil"/>
            </w:tcBorders>
            <w:vAlign w:val="center"/>
          </w:tcPr>
          <w:p w14:paraId="7134AB6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1ABE02C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231E2C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11129259">
            <w:pPr>
              <w:pStyle w:val="41"/>
              <w:rPr>
                <w:rFonts w:hint="default" w:ascii="Times New Roman" w:hAnsi="Times New Roman" w:cs="Times New Roman"/>
                <w:color w:val="auto"/>
                <w:u w:val="none"/>
              </w:rPr>
            </w:pPr>
          </w:p>
        </w:tc>
        <w:tc>
          <w:tcPr>
            <w:tcW w:w="1158" w:type="dxa"/>
            <w:tcBorders>
              <w:tl2br w:val="nil"/>
              <w:tr2bl w:val="nil"/>
            </w:tcBorders>
            <w:vAlign w:val="center"/>
          </w:tcPr>
          <w:p w14:paraId="32B8785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氧化槽</w:t>
            </w:r>
            <w:r>
              <w:rPr>
                <w:rFonts w:hint="default" w:ascii="Times New Roman" w:hAnsi="Times New Roman" w:cs="Times New Roman"/>
                <w:color w:val="auto"/>
                <w:u w:val="none"/>
                <w:lang w:val="en-US" w:eastAsia="zh-CN"/>
              </w:rPr>
              <w:t>2</w:t>
            </w:r>
          </w:p>
        </w:tc>
        <w:tc>
          <w:tcPr>
            <w:tcW w:w="675" w:type="dxa"/>
            <w:tcBorders>
              <w:tl2br w:val="nil"/>
              <w:tr2bl w:val="nil"/>
            </w:tcBorders>
            <w:vAlign w:val="center"/>
          </w:tcPr>
          <w:p w14:paraId="0F1AEE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0E5A69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1600</w:t>
            </w:r>
          </w:p>
        </w:tc>
        <w:tc>
          <w:tcPr>
            <w:tcW w:w="697" w:type="dxa"/>
            <w:tcBorders>
              <w:tl2br w:val="nil"/>
              <w:tr2bl w:val="nil"/>
            </w:tcBorders>
            <w:vAlign w:val="center"/>
          </w:tcPr>
          <w:p w14:paraId="2996EFB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60E3EC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716A974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22.89</w:t>
            </w:r>
          </w:p>
        </w:tc>
        <w:tc>
          <w:tcPr>
            <w:tcW w:w="1021" w:type="dxa"/>
            <w:tcBorders>
              <w:tl2br w:val="nil"/>
              <w:tr2bl w:val="nil"/>
            </w:tcBorders>
            <w:vAlign w:val="center"/>
          </w:tcPr>
          <w:p w14:paraId="245CC3E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37972B9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0.6</w:t>
            </w:r>
          </w:p>
        </w:tc>
        <w:tc>
          <w:tcPr>
            <w:tcW w:w="853" w:type="dxa"/>
            <w:tcBorders>
              <w:tl2br w:val="nil"/>
              <w:tr2bl w:val="nil"/>
            </w:tcBorders>
            <w:vAlign w:val="center"/>
          </w:tcPr>
          <w:p w14:paraId="46233CA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845" w:type="dxa"/>
            <w:tcBorders>
              <w:tl2br w:val="nil"/>
              <w:tr2bl w:val="nil"/>
            </w:tcBorders>
            <w:vAlign w:val="center"/>
          </w:tcPr>
          <w:p w14:paraId="550DDB0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22.89</w:t>
            </w:r>
          </w:p>
        </w:tc>
        <w:tc>
          <w:tcPr>
            <w:tcW w:w="1382" w:type="dxa"/>
            <w:tcBorders>
              <w:tl2br w:val="nil"/>
              <w:tr2bl w:val="nil"/>
            </w:tcBorders>
            <w:vAlign w:val="center"/>
          </w:tcPr>
          <w:p w14:paraId="14AA0FB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76.3</w:t>
            </w:r>
          </w:p>
        </w:tc>
        <w:tc>
          <w:tcPr>
            <w:tcW w:w="958" w:type="dxa"/>
            <w:tcBorders>
              <w:tl2br w:val="nil"/>
              <w:tr2bl w:val="nil"/>
            </w:tcBorders>
            <w:vAlign w:val="center"/>
          </w:tcPr>
          <w:p w14:paraId="329CDC9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180</w:t>
            </w:r>
          </w:p>
        </w:tc>
        <w:tc>
          <w:tcPr>
            <w:tcW w:w="661" w:type="dxa"/>
            <w:tcBorders>
              <w:tl2br w:val="nil"/>
              <w:tr2bl w:val="nil"/>
            </w:tcBorders>
            <w:vAlign w:val="center"/>
          </w:tcPr>
          <w:p w14:paraId="1045E54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3EDEA0D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48C911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14CC3588">
            <w:pPr>
              <w:pStyle w:val="41"/>
              <w:rPr>
                <w:rFonts w:hint="default" w:ascii="Times New Roman" w:hAnsi="Times New Roman" w:cs="Times New Roman"/>
                <w:color w:val="auto"/>
                <w:u w:val="none"/>
              </w:rPr>
            </w:pPr>
          </w:p>
        </w:tc>
        <w:tc>
          <w:tcPr>
            <w:tcW w:w="1158" w:type="dxa"/>
            <w:tcBorders>
              <w:tl2br w:val="nil"/>
              <w:tr2bl w:val="nil"/>
            </w:tcBorders>
            <w:vAlign w:val="center"/>
          </w:tcPr>
          <w:p w14:paraId="2A7D30BC">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50F344A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1693982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7E978C2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4CB5C02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47615E1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6A3E46D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04394D5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65E9F1F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6B9CE7D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4F90323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470ED88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40CD430A">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75352E9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61C6DA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25681F72">
            <w:pPr>
              <w:pStyle w:val="41"/>
              <w:rPr>
                <w:rFonts w:hint="default" w:ascii="Times New Roman" w:hAnsi="Times New Roman" w:cs="Times New Roman"/>
                <w:color w:val="auto"/>
                <w:u w:val="none"/>
              </w:rPr>
            </w:pPr>
          </w:p>
        </w:tc>
        <w:tc>
          <w:tcPr>
            <w:tcW w:w="1158" w:type="dxa"/>
            <w:tcBorders>
              <w:tl2br w:val="nil"/>
              <w:tr2bl w:val="nil"/>
            </w:tcBorders>
            <w:vAlign w:val="center"/>
          </w:tcPr>
          <w:p w14:paraId="64C554A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0BDFCC1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7ABB576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5655AB8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78AD931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6655972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066C62E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0FEF4EA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6FCEDAA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7FD3DAE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1283CA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1B85D10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74C1387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64B77B8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1835DC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7429A639">
            <w:pPr>
              <w:pStyle w:val="41"/>
              <w:rPr>
                <w:rFonts w:hint="default" w:ascii="Times New Roman" w:hAnsi="Times New Roman" w:cs="Times New Roman"/>
                <w:color w:val="auto"/>
                <w:u w:val="none"/>
              </w:rPr>
            </w:pPr>
          </w:p>
        </w:tc>
        <w:tc>
          <w:tcPr>
            <w:tcW w:w="1158" w:type="dxa"/>
            <w:tcBorders>
              <w:tl2br w:val="nil"/>
              <w:tr2bl w:val="nil"/>
            </w:tcBorders>
            <w:vAlign w:val="center"/>
          </w:tcPr>
          <w:p w14:paraId="0B70250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铬酸盐封闭</w:t>
            </w:r>
          </w:p>
        </w:tc>
        <w:tc>
          <w:tcPr>
            <w:tcW w:w="675" w:type="dxa"/>
            <w:tcBorders>
              <w:tl2br w:val="nil"/>
              <w:tr2bl w:val="nil"/>
            </w:tcBorders>
            <w:vAlign w:val="center"/>
          </w:tcPr>
          <w:p w14:paraId="08631E6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556ACD8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tcBorders>
              <w:tl2br w:val="nil"/>
              <w:tr2bl w:val="nil"/>
            </w:tcBorders>
            <w:vAlign w:val="center"/>
          </w:tcPr>
          <w:p w14:paraId="47AF643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6D51270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1C434D9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021" w:type="dxa"/>
            <w:tcBorders>
              <w:tl2br w:val="nil"/>
              <w:tr2bl w:val="nil"/>
            </w:tcBorders>
            <w:vAlign w:val="center"/>
          </w:tcPr>
          <w:p w14:paraId="7235E1B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5DD9CB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2DDED46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845" w:type="dxa"/>
            <w:tcBorders>
              <w:tl2br w:val="nil"/>
              <w:tr2bl w:val="nil"/>
            </w:tcBorders>
            <w:vAlign w:val="center"/>
          </w:tcPr>
          <w:p w14:paraId="7309651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382" w:type="dxa"/>
            <w:tcBorders>
              <w:tl2br w:val="nil"/>
              <w:tr2bl w:val="nil"/>
            </w:tcBorders>
            <w:vAlign w:val="center"/>
          </w:tcPr>
          <w:p w14:paraId="4C2A4E2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958" w:type="dxa"/>
            <w:tcBorders>
              <w:tl2br w:val="nil"/>
              <w:tr2bl w:val="nil"/>
            </w:tcBorders>
            <w:vAlign w:val="center"/>
          </w:tcPr>
          <w:p w14:paraId="6132DD2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175A799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2704F3E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重金属废液</w:t>
            </w:r>
          </w:p>
        </w:tc>
      </w:tr>
      <w:tr w14:paraId="2FFC2B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465D4042">
            <w:pPr>
              <w:pStyle w:val="41"/>
              <w:rPr>
                <w:rFonts w:hint="default" w:ascii="Times New Roman" w:hAnsi="Times New Roman" w:cs="Times New Roman"/>
                <w:color w:val="auto"/>
                <w:u w:val="none"/>
              </w:rPr>
            </w:pPr>
          </w:p>
        </w:tc>
        <w:tc>
          <w:tcPr>
            <w:tcW w:w="1158" w:type="dxa"/>
            <w:tcBorders>
              <w:tl2br w:val="nil"/>
              <w:tr2bl w:val="nil"/>
            </w:tcBorders>
            <w:vAlign w:val="center"/>
          </w:tcPr>
          <w:p w14:paraId="4EC9EAD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49BC195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055B49F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7289750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759F436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494AEA6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57243E8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138C66C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6D230A3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2CB85C7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0CEF9E7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352E4BD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13C4667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4E8B938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含铬废水</w:t>
            </w:r>
          </w:p>
        </w:tc>
      </w:tr>
      <w:tr w14:paraId="3DE118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51216AD4">
            <w:pPr>
              <w:pStyle w:val="41"/>
              <w:rPr>
                <w:rFonts w:hint="default" w:ascii="Times New Roman" w:hAnsi="Times New Roman" w:cs="Times New Roman"/>
                <w:color w:val="auto"/>
                <w:u w:val="none"/>
              </w:rPr>
            </w:pPr>
          </w:p>
        </w:tc>
        <w:tc>
          <w:tcPr>
            <w:tcW w:w="1158" w:type="dxa"/>
            <w:tcBorders>
              <w:tl2br w:val="nil"/>
              <w:tr2bl w:val="nil"/>
            </w:tcBorders>
            <w:vAlign w:val="center"/>
          </w:tcPr>
          <w:p w14:paraId="5638622C">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染色</w:t>
            </w:r>
          </w:p>
        </w:tc>
        <w:tc>
          <w:tcPr>
            <w:tcW w:w="675" w:type="dxa"/>
            <w:tcBorders>
              <w:tl2br w:val="nil"/>
              <w:tr2bl w:val="nil"/>
            </w:tcBorders>
            <w:vAlign w:val="center"/>
          </w:tcPr>
          <w:p w14:paraId="19272CE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2B1F102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tcBorders>
              <w:tl2br w:val="nil"/>
              <w:tr2bl w:val="nil"/>
            </w:tcBorders>
            <w:vAlign w:val="center"/>
          </w:tcPr>
          <w:p w14:paraId="392D928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7FA3A10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0430430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021" w:type="dxa"/>
            <w:tcBorders>
              <w:tl2br w:val="nil"/>
              <w:tr2bl w:val="nil"/>
            </w:tcBorders>
            <w:vAlign w:val="center"/>
          </w:tcPr>
          <w:p w14:paraId="26F962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31F48F0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4A15767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845" w:type="dxa"/>
            <w:tcBorders>
              <w:tl2br w:val="nil"/>
              <w:tr2bl w:val="nil"/>
            </w:tcBorders>
            <w:vAlign w:val="center"/>
          </w:tcPr>
          <w:p w14:paraId="3E1FDE9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382" w:type="dxa"/>
            <w:tcBorders>
              <w:tl2br w:val="nil"/>
              <w:tr2bl w:val="nil"/>
            </w:tcBorders>
            <w:vAlign w:val="center"/>
          </w:tcPr>
          <w:p w14:paraId="38053FA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958" w:type="dxa"/>
            <w:tcBorders>
              <w:tl2br w:val="nil"/>
              <w:tr2bl w:val="nil"/>
            </w:tcBorders>
            <w:vAlign w:val="center"/>
          </w:tcPr>
          <w:p w14:paraId="0FEDBF5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0DE36BD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24D0FF4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重金属废液</w:t>
            </w:r>
          </w:p>
        </w:tc>
      </w:tr>
      <w:tr w14:paraId="13AAA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426E099B">
            <w:pPr>
              <w:pStyle w:val="41"/>
              <w:rPr>
                <w:rFonts w:hint="default" w:ascii="Times New Roman" w:hAnsi="Times New Roman" w:cs="Times New Roman"/>
                <w:color w:val="auto"/>
                <w:u w:val="none"/>
              </w:rPr>
            </w:pPr>
          </w:p>
        </w:tc>
        <w:tc>
          <w:tcPr>
            <w:tcW w:w="1158" w:type="dxa"/>
            <w:tcBorders>
              <w:tl2br w:val="nil"/>
              <w:tr2bl w:val="nil"/>
            </w:tcBorders>
            <w:vAlign w:val="center"/>
          </w:tcPr>
          <w:p w14:paraId="0498A2E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tcBorders>
              <w:tl2br w:val="nil"/>
              <w:tr2bl w:val="nil"/>
            </w:tcBorders>
            <w:vAlign w:val="center"/>
          </w:tcPr>
          <w:p w14:paraId="74C0F52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0328CA8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14B965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059BF84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2ECC9AA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08A4313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771BC6D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02D3777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65E3491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02293F5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5D0A3FF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225CE2F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04ED0C4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含铬废水</w:t>
            </w:r>
          </w:p>
        </w:tc>
      </w:tr>
      <w:tr w14:paraId="518AE0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170E2F80">
            <w:pPr>
              <w:pStyle w:val="41"/>
              <w:rPr>
                <w:rFonts w:hint="default" w:ascii="Times New Roman" w:hAnsi="Times New Roman" w:cs="Times New Roman"/>
                <w:color w:val="auto"/>
                <w:u w:val="none"/>
              </w:rPr>
            </w:pPr>
          </w:p>
        </w:tc>
        <w:tc>
          <w:tcPr>
            <w:tcW w:w="1158" w:type="dxa"/>
            <w:tcBorders>
              <w:tl2br w:val="nil"/>
              <w:tr2bl w:val="nil"/>
            </w:tcBorders>
            <w:vAlign w:val="center"/>
          </w:tcPr>
          <w:p w14:paraId="5E1FA75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镍盐封闭</w:t>
            </w:r>
          </w:p>
        </w:tc>
        <w:tc>
          <w:tcPr>
            <w:tcW w:w="675" w:type="dxa"/>
            <w:tcBorders>
              <w:tl2br w:val="nil"/>
              <w:tr2bl w:val="nil"/>
            </w:tcBorders>
            <w:vAlign w:val="center"/>
          </w:tcPr>
          <w:p w14:paraId="40A5C37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7C975F9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tcBorders>
              <w:tl2br w:val="nil"/>
              <w:tr2bl w:val="nil"/>
            </w:tcBorders>
            <w:vAlign w:val="center"/>
          </w:tcPr>
          <w:p w14:paraId="1170C1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0CB1E5B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6EDE07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021" w:type="dxa"/>
            <w:tcBorders>
              <w:tl2br w:val="nil"/>
              <w:tr2bl w:val="nil"/>
            </w:tcBorders>
            <w:vAlign w:val="center"/>
          </w:tcPr>
          <w:p w14:paraId="6774387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tcBorders>
              <w:tl2br w:val="nil"/>
              <w:tr2bl w:val="nil"/>
            </w:tcBorders>
            <w:vAlign w:val="center"/>
          </w:tcPr>
          <w:p w14:paraId="07F60B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tcBorders>
              <w:tl2br w:val="nil"/>
              <w:tr2bl w:val="nil"/>
            </w:tcBorders>
            <w:vAlign w:val="center"/>
          </w:tcPr>
          <w:p w14:paraId="74BA0F5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w:t>
            </w:r>
          </w:p>
        </w:tc>
        <w:tc>
          <w:tcPr>
            <w:tcW w:w="845" w:type="dxa"/>
            <w:tcBorders>
              <w:tl2br w:val="nil"/>
              <w:tr2bl w:val="nil"/>
            </w:tcBorders>
            <w:vAlign w:val="center"/>
          </w:tcPr>
          <w:p w14:paraId="065B6A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382" w:type="dxa"/>
            <w:tcBorders>
              <w:tl2br w:val="nil"/>
              <w:tr2bl w:val="nil"/>
            </w:tcBorders>
            <w:vAlign w:val="center"/>
          </w:tcPr>
          <w:p w14:paraId="6DB7658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343.4</w:t>
            </w:r>
          </w:p>
        </w:tc>
        <w:tc>
          <w:tcPr>
            <w:tcW w:w="958" w:type="dxa"/>
            <w:tcBorders>
              <w:tl2br w:val="nil"/>
              <w:tr2bl w:val="nil"/>
            </w:tcBorders>
            <w:vAlign w:val="center"/>
          </w:tcPr>
          <w:p w14:paraId="668E46A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tcBorders>
              <w:tl2br w:val="nil"/>
              <w:tr2bl w:val="nil"/>
            </w:tcBorders>
            <w:vAlign w:val="center"/>
          </w:tcPr>
          <w:p w14:paraId="2FBED8E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1B62029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含镍废液</w:t>
            </w:r>
          </w:p>
        </w:tc>
      </w:tr>
      <w:tr w14:paraId="728B20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50B49AE1">
            <w:pPr>
              <w:pStyle w:val="41"/>
              <w:rPr>
                <w:rFonts w:hint="default" w:ascii="Times New Roman" w:hAnsi="Times New Roman" w:cs="Times New Roman"/>
                <w:color w:val="auto"/>
                <w:u w:val="none"/>
              </w:rPr>
            </w:pPr>
          </w:p>
        </w:tc>
        <w:tc>
          <w:tcPr>
            <w:tcW w:w="1158" w:type="dxa"/>
            <w:tcBorders>
              <w:tl2br w:val="nil"/>
              <w:tr2bl w:val="nil"/>
            </w:tcBorders>
            <w:vAlign w:val="center"/>
          </w:tcPr>
          <w:p w14:paraId="20F0B52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水洗</w:t>
            </w:r>
          </w:p>
        </w:tc>
        <w:tc>
          <w:tcPr>
            <w:tcW w:w="675" w:type="dxa"/>
            <w:tcBorders>
              <w:tl2br w:val="nil"/>
              <w:tr2bl w:val="nil"/>
            </w:tcBorders>
            <w:vAlign w:val="center"/>
          </w:tcPr>
          <w:p w14:paraId="48B7890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7981035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1100</w:t>
            </w:r>
          </w:p>
        </w:tc>
        <w:tc>
          <w:tcPr>
            <w:tcW w:w="697" w:type="dxa"/>
            <w:tcBorders>
              <w:tl2br w:val="nil"/>
              <w:tr2bl w:val="nil"/>
            </w:tcBorders>
            <w:vAlign w:val="center"/>
          </w:tcPr>
          <w:p w14:paraId="776A1AD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39FEFD3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20B70F0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021" w:type="dxa"/>
            <w:tcBorders>
              <w:tl2br w:val="nil"/>
              <w:tr2bl w:val="nil"/>
            </w:tcBorders>
            <w:vAlign w:val="center"/>
          </w:tcPr>
          <w:p w14:paraId="2139B96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1D643DB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0D0FAB3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27AC60E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1382" w:type="dxa"/>
            <w:tcBorders>
              <w:tl2br w:val="nil"/>
              <w:tr2bl w:val="nil"/>
            </w:tcBorders>
            <w:vAlign w:val="center"/>
          </w:tcPr>
          <w:p w14:paraId="2A7C09E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1574</w:t>
            </w:r>
          </w:p>
        </w:tc>
        <w:tc>
          <w:tcPr>
            <w:tcW w:w="958" w:type="dxa"/>
            <w:tcBorders>
              <w:tl2br w:val="nil"/>
              <w:tr2bl w:val="nil"/>
            </w:tcBorders>
            <w:vAlign w:val="center"/>
          </w:tcPr>
          <w:p w14:paraId="33AF32F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04C968B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42FA3A7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含镍废水</w:t>
            </w:r>
          </w:p>
        </w:tc>
      </w:tr>
      <w:tr w14:paraId="559AA8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tcBorders>
              <w:tl2br w:val="nil"/>
              <w:tr2bl w:val="nil"/>
            </w:tcBorders>
            <w:vAlign w:val="center"/>
          </w:tcPr>
          <w:p w14:paraId="5F6ED142">
            <w:pPr>
              <w:pStyle w:val="41"/>
              <w:rPr>
                <w:rFonts w:hint="default" w:ascii="Times New Roman" w:hAnsi="Times New Roman" w:cs="Times New Roman"/>
                <w:color w:val="auto"/>
                <w:u w:val="none"/>
              </w:rPr>
            </w:pPr>
          </w:p>
        </w:tc>
        <w:tc>
          <w:tcPr>
            <w:tcW w:w="1158" w:type="dxa"/>
            <w:tcBorders>
              <w:tl2br w:val="nil"/>
              <w:tr2bl w:val="nil"/>
            </w:tcBorders>
            <w:vAlign w:val="center"/>
          </w:tcPr>
          <w:p w14:paraId="572DC42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热水封闭</w:t>
            </w:r>
          </w:p>
        </w:tc>
        <w:tc>
          <w:tcPr>
            <w:tcW w:w="675" w:type="dxa"/>
            <w:tcBorders>
              <w:tl2br w:val="nil"/>
              <w:tr2bl w:val="nil"/>
            </w:tcBorders>
            <w:vAlign w:val="center"/>
          </w:tcPr>
          <w:p w14:paraId="567FDFA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5300</w:t>
            </w:r>
          </w:p>
        </w:tc>
        <w:tc>
          <w:tcPr>
            <w:tcW w:w="697" w:type="dxa"/>
            <w:tcBorders>
              <w:tl2br w:val="nil"/>
              <w:tr2bl w:val="nil"/>
            </w:tcBorders>
            <w:vAlign w:val="center"/>
          </w:tcPr>
          <w:p w14:paraId="31C6EF8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tcBorders>
              <w:tl2br w:val="nil"/>
              <w:tr2bl w:val="nil"/>
            </w:tcBorders>
            <w:vAlign w:val="center"/>
          </w:tcPr>
          <w:p w14:paraId="2B62D77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2700</w:t>
            </w:r>
          </w:p>
        </w:tc>
        <w:tc>
          <w:tcPr>
            <w:tcW w:w="759" w:type="dxa"/>
            <w:tcBorders>
              <w:tl2br w:val="nil"/>
              <w:tr2bl w:val="nil"/>
            </w:tcBorders>
            <w:vAlign w:val="center"/>
          </w:tcPr>
          <w:p w14:paraId="4F264EE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tcBorders>
              <w:tl2br w:val="nil"/>
              <w:tr2bl w:val="nil"/>
            </w:tcBorders>
            <w:vAlign w:val="center"/>
          </w:tcPr>
          <w:p w14:paraId="37FBACD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021" w:type="dxa"/>
            <w:tcBorders>
              <w:tl2br w:val="nil"/>
              <w:tr2bl w:val="nil"/>
            </w:tcBorders>
            <w:vAlign w:val="center"/>
          </w:tcPr>
          <w:p w14:paraId="7EBAE8B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1017" w:type="dxa"/>
            <w:tcBorders>
              <w:tl2br w:val="nil"/>
              <w:tr2bl w:val="nil"/>
            </w:tcBorders>
            <w:vAlign w:val="center"/>
          </w:tcPr>
          <w:p w14:paraId="0758B4A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6.2</w:t>
            </w:r>
          </w:p>
        </w:tc>
        <w:tc>
          <w:tcPr>
            <w:tcW w:w="853" w:type="dxa"/>
            <w:tcBorders>
              <w:tl2br w:val="nil"/>
              <w:tr2bl w:val="nil"/>
            </w:tcBorders>
            <w:vAlign w:val="center"/>
          </w:tcPr>
          <w:p w14:paraId="04B954F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tcBorders>
              <w:tl2br w:val="nil"/>
              <w:tr2bl w:val="nil"/>
            </w:tcBorders>
            <w:vAlign w:val="center"/>
          </w:tcPr>
          <w:p w14:paraId="1297A78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1382" w:type="dxa"/>
            <w:tcBorders>
              <w:tl2br w:val="nil"/>
              <w:tr2bl w:val="nil"/>
            </w:tcBorders>
            <w:vAlign w:val="center"/>
          </w:tcPr>
          <w:p w14:paraId="2AF2F33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1717</w:t>
            </w:r>
          </w:p>
        </w:tc>
        <w:tc>
          <w:tcPr>
            <w:tcW w:w="958" w:type="dxa"/>
            <w:tcBorders>
              <w:tl2br w:val="nil"/>
              <w:tr2bl w:val="nil"/>
            </w:tcBorders>
            <w:vAlign w:val="center"/>
          </w:tcPr>
          <w:p w14:paraId="2D6484F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1860</w:t>
            </w:r>
          </w:p>
        </w:tc>
        <w:tc>
          <w:tcPr>
            <w:tcW w:w="661" w:type="dxa"/>
            <w:tcBorders>
              <w:tl2br w:val="nil"/>
              <w:tr2bl w:val="nil"/>
            </w:tcBorders>
            <w:vAlign w:val="center"/>
          </w:tcPr>
          <w:p w14:paraId="14B2EA4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tcBorders>
              <w:tl2br w:val="nil"/>
              <w:tr2bl w:val="nil"/>
            </w:tcBorders>
            <w:vAlign w:val="center"/>
          </w:tcPr>
          <w:p w14:paraId="79B79D5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含镍废水</w:t>
            </w:r>
          </w:p>
        </w:tc>
      </w:tr>
      <w:tr w14:paraId="5A2A8A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restart"/>
            <w:vAlign w:val="center"/>
          </w:tcPr>
          <w:p w14:paraId="3BF71A8A">
            <w:pPr>
              <w:pStyle w:val="41"/>
              <w:rPr>
                <w:rFonts w:hint="default" w:ascii="Times New Roman" w:hAnsi="Times New Roman" w:cs="Times New Roman"/>
                <w:color w:val="auto"/>
                <w:u w:val="none"/>
              </w:rPr>
            </w:pPr>
            <w:r>
              <w:rPr>
                <w:rFonts w:hint="default" w:ascii="Times New Roman" w:hAnsi="Times New Roman" w:cs="Times New Roman"/>
                <w:color w:val="auto"/>
                <w:u w:val="none"/>
              </w:rPr>
              <w:t>小线</w:t>
            </w:r>
            <w:r>
              <w:rPr>
                <w:rFonts w:hint="eastAsia" w:cs="Times New Roman"/>
                <w:color w:val="auto"/>
                <w:u w:val="none"/>
                <w:lang w:val="en-US" w:eastAsia="zh-CN"/>
              </w:rPr>
              <w:t>氧化</w:t>
            </w:r>
            <w:r>
              <w:rPr>
                <w:rFonts w:hint="default" w:ascii="Times New Roman" w:hAnsi="Times New Roman" w:cs="Times New Roman"/>
                <w:color w:val="auto"/>
                <w:u w:val="none"/>
              </w:rPr>
              <w:t>自动化生产线</w:t>
            </w:r>
          </w:p>
        </w:tc>
        <w:tc>
          <w:tcPr>
            <w:tcW w:w="1158" w:type="dxa"/>
            <w:vAlign w:val="center"/>
          </w:tcPr>
          <w:p w14:paraId="31EBD844">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超声波化学除油</w:t>
            </w:r>
          </w:p>
        </w:tc>
        <w:tc>
          <w:tcPr>
            <w:tcW w:w="675" w:type="dxa"/>
            <w:vAlign w:val="center"/>
          </w:tcPr>
          <w:p w14:paraId="60166B0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7A9DDE3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800</w:t>
            </w:r>
          </w:p>
        </w:tc>
        <w:tc>
          <w:tcPr>
            <w:tcW w:w="697" w:type="dxa"/>
            <w:vAlign w:val="center"/>
          </w:tcPr>
          <w:p w14:paraId="3903100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6242F83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59C268C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21" w:type="dxa"/>
            <w:vAlign w:val="center"/>
          </w:tcPr>
          <w:p w14:paraId="11C5991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6EE627B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0.26</w:t>
            </w:r>
          </w:p>
        </w:tc>
        <w:tc>
          <w:tcPr>
            <w:tcW w:w="853" w:type="dxa"/>
            <w:vAlign w:val="center"/>
          </w:tcPr>
          <w:p w14:paraId="2DD4FC3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w:t>
            </w:r>
          </w:p>
        </w:tc>
        <w:tc>
          <w:tcPr>
            <w:tcW w:w="845" w:type="dxa"/>
            <w:vAlign w:val="center"/>
          </w:tcPr>
          <w:p w14:paraId="00CFCD6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382" w:type="dxa"/>
            <w:vAlign w:val="center"/>
          </w:tcPr>
          <w:p w14:paraId="28B8B70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19.2</w:t>
            </w:r>
          </w:p>
        </w:tc>
        <w:tc>
          <w:tcPr>
            <w:tcW w:w="958" w:type="dxa"/>
            <w:vAlign w:val="center"/>
          </w:tcPr>
          <w:p w14:paraId="6DA0020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78</w:t>
            </w:r>
          </w:p>
        </w:tc>
        <w:tc>
          <w:tcPr>
            <w:tcW w:w="661" w:type="dxa"/>
            <w:vAlign w:val="center"/>
          </w:tcPr>
          <w:p w14:paraId="4AB2CF3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3994DB5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含油废液</w:t>
            </w:r>
          </w:p>
        </w:tc>
      </w:tr>
      <w:tr w14:paraId="15DA2A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17A6F6F2">
            <w:pPr>
              <w:pStyle w:val="41"/>
              <w:rPr>
                <w:rFonts w:hint="default" w:ascii="Times New Roman" w:hAnsi="Times New Roman" w:cs="Times New Roman"/>
                <w:color w:val="auto"/>
                <w:u w:val="none"/>
              </w:rPr>
            </w:pPr>
          </w:p>
        </w:tc>
        <w:tc>
          <w:tcPr>
            <w:tcW w:w="1158" w:type="dxa"/>
            <w:vAlign w:val="center"/>
          </w:tcPr>
          <w:p w14:paraId="0B7664C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热水洗</w:t>
            </w:r>
          </w:p>
        </w:tc>
        <w:tc>
          <w:tcPr>
            <w:tcW w:w="675" w:type="dxa"/>
            <w:vAlign w:val="center"/>
          </w:tcPr>
          <w:p w14:paraId="2B377CB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53A9975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1CA500D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2792AC7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7D3F276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518B731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109DF57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0.8</w:t>
            </w:r>
          </w:p>
        </w:tc>
        <w:tc>
          <w:tcPr>
            <w:tcW w:w="853" w:type="dxa"/>
            <w:vAlign w:val="center"/>
          </w:tcPr>
          <w:p w14:paraId="173A962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4BD690D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4412B93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218A0DF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240</w:t>
            </w:r>
          </w:p>
        </w:tc>
        <w:tc>
          <w:tcPr>
            <w:tcW w:w="661" w:type="dxa"/>
            <w:vAlign w:val="center"/>
          </w:tcPr>
          <w:p w14:paraId="711F4E7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vAlign w:val="center"/>
          </w:tcPr>
          <w:p w14:paraId="0B8C97A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5CD463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0A42EFD4">
            <w:pPr>
              <w:pStyle w:val="41"/>
              <w:rPr>
                <w:rFonts w:hint="default" w:ascii="Times New Roman" w:hAnsi="Times New Roman" w:cs="Times New Roman"/>
                <w:color w:val="auto"/>
                <w:u w:val="none"/>
              </w:rPr>
            </w:pPr>
          </w:p>
        </w:tc>
        <w:tc>
          <w:tcPr>
            <w:tcW w:w="1158" w:type="dxa"/>
            <w:vAlign w:val="center"/>
          </w:tcPr>
          <w:p w14:paraId="72D8890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47D230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5926603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16DBA69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3E619D4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5AD939D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616D8CE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23E9907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w:t>
            </w:r>
          </w:p>
        </w:tc>
        <w:tc>
          <w:tcPr>
            <w:tcW w:w="853" w:type="dxa"/>
            <w:vAlign w:val="center"/>
          </w:tcPr>
          <w:p w14:paraId="781029C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19C3505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66DF435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1DAC6E7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210</w:t>
            </w:r>
          </w:p>
        </w:tc>
        <w:tc>
          <w:tcPr>
            <w:tcW w:w="661" w:type="dxa"/>
            <w:vAlign w:val="center"/>
          </w:tcPr>
          <w:p w14:paraId="4EE2A21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vAlign w:val="center"/>
          </w:tcPr>
          <w:p w14:paraId="4C1B555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762994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0B6F693B">
            <w:pPr>
              <w:pStyle w:val="41"/>
              <w:rPr>
                <w:rFonts w:hint="default" w:ascii="Times New Roman" w:hAnsi="Times New Roman" w:cs="Times New Roman"/>
                <w:color w:val="auto"/>
                <w:u w:val="none"/>
              </w:rPr>
            </w:pPr>
          </w:p>
        </w:tc>
        <w:tc>
          <w:tcPr>
            <w:tcW w:w="1158" w:type="dxa"/>
            <w:vAlign w:val="center"/>
          </w:tcPr>
          <w:p w14:paraId="37ABD33A">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碱蚀</w:t>
            </w:r>
          </w:p>
        </w:tc>
        <w:tc>
          <w:tcPr>
            <w:tcW w:w="675" w:type="dxa"/>
            <w:vAlign w:val="center"/>
          </w:tcPr>
          <w:p w14:paraId="1C9A977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6CEED0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6E487AD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39DDDD6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0BA5A57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54BD1D0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0.4</w:t>
            </w:r>
          </w:p>
        </w:tc>
        <w:tc>
          <w:tcPr>
            <w:tcW w:w="1017" w:type="dxa"/>
            <w:vAlign w:val="center"/>
          </w:tcPr>
          <w:p w14:paraId="03963DA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w:t>
            </w:r>
          </w:p>
        </w:tc>
        <w:tc>
          <w:tcPr>
            <w:tcW w:w="853" w:type="dxa"/>
            <w:vAlign w:val="center"/>
          </w:tcPr>
          <w:p w14:paraId="62E57E9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30</w:t>
            </w:r>
          </w:p>
        </w:tc>
        <w:tc>
          <w:tcPr>
            <w:tcW w:w="845" w:type="dxa"/>
            <w:vAlign w:val="center"/>
          </w:tcPr>
          <w:p w14:paraId="00812D9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4BF2676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w:t>
            </w:r>
          </w:p>
        </w:tc>
        <w:tc>
          <w:tcPr>
            <w:tcW w:w="958" w:type="dxa"/>
            <w:vAlign w:val="center"/>
          </w:tcPr>
          <w:p w14:paraId="283F692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280</w:t>
            </w:r>
          </w:p>
        </w:tc>
        <w:tc>
          <w:tcPr>
            <w:tcW w:w="661" w:type="dxa"/>
            <w:vAlign w:val="center"/>
          </w:tcPr>
          <w:p w14:paraId="56B6B42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098CEC2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碱废液</w:t>
            </w:r>
          </w:p>
        </w:tc>
      </w:tr>
      <w:tr w14:paraId="4623BD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19836FAD">
            <w:pPr>
              <w:pStyle w:val="41"/>
              <w:rPr>
                <w:rFonts w:hint="default" w:ascii="Times New Roman" w:hAnsi="Times New Roman" w:cs="Times New Roman"/>
                <w:color w:val="auto"/>
                <w:u w:val="none"/>
              </w:rPr>
            </w:pPr>
          </w:p>
        </w:tc>
        <w:tc>
          <w:tcPr>
            <w:tcW w:w="1158" w:type="dxa"/>
            <w:vAlign w:val="center"/>
          </w:tcPr>
          <w:p w14:paraId="31B3E2DC">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热水洗</w:t>
            </w:r>
          </w:p>
        </w:tc>
        <w:tc>
          <w:tcPr>
            <w:tcW w:w="675" w:type="dxa"/>
            <w:vAlign w:val="center"/>
          </w:tcPr>
          <w:p w14:paraId="5C090C6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6B0185A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779E13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3AE15ED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07F3033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3DAD3B8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0.32</w:t>
            </w:r>
          </w:p>
        </w:tc>
        <w:tc>
          <w:tcPr>
            <w:tcW w:w="1017" w:type="dxa"/>
            <w:vAlign w:val="center"/>
          </w:tcPr>
          <w:p w14:paraId="1FD2FD5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w:t>
            </w:r>
          </w:p>
        </w:tc>
        <w:tc>
          <w:tcPr>
            <w:tcW w:w="853" w:type="dxa"/>
            <w:vAlign w:val="center"/>
          </w:tcPr>
          <w:p w14:paraId="56CC95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600BA11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48D63E2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96</w:t>
            </w:r>
          </w:p>
        </w:tc>
        <w:tc>
          <w:tcPr>
            <w:tcW w:w="958" w:type="dxa"/>
            <w:vAlign w:val="center"/>
          </w:tcPr>
          <w:p w14:paraId="2BEEEEB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210</w:t>
            </w:r>
          </w:p>
        </w:tc>
        <w:tc>
          <w:tcPr>
            <w:tcW w:w="661" w:type="dxa"/>
            <w:vAlign w:val="center"/>
          </w:tcPr>
          <w:p w14:paraId="679A030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vAlign w:val="center"/>
          </w:tcPr>
          <w:p w14:paraId="5E794B8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碱废水</w:t>
            </w:r>
          </w:p>
        </w:tc>
      </w:tr>
      <w:tr w14:paraId="6AC13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0001EAFF">
            <w:pPr>
              <w:pStyle w:val="41"/>
              <w:rPr>
                <w:rFonts w:hint="default" w:ascii="Times New Roman" w:hAnsi="Times New Roman" w:cs="Times New Roman"/>
                <w:color w:val="auto"/>
                <w:u w:val="none"/>
              </w:rPr>
            </w:pPr>
          </w:p>
        </w:tc>
        <w:tc>
          <w:tcPr>
            <w:tcW w:w="1158" w:type="dxa"/>
            <w:vAlign w:val="center"/>
          </w:tcPr>
          <w:p w14:paraId="58921D5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7D805B3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78A280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2E5B282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7B5B641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13C2A4C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186A8E5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1D0DC2A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w:t>
            </w:r>
          </w:p>
        </w:tc>
        <w:tc>
          <w:tcPr>
            <w:tcW w:w="853" w:type="dxa"/>
            <w:vAlign w:val="center"/>
          </w:tcPr>
          <w:p w14:paraId="74D447F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7DDD4C1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389CE5F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14FC4CC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210</w:t>
            </w:r>
          </w:p>
        </w:tc>
        <w:tc>
          <w:tcPr>
            <w:tcW w:w="661" w:type="dxa"/>
            <w:vAlign w:val="center"/>
          </w:tcPr>
          <w:p w14:paraId="2270DD8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vAlign w:val="center"/>
          </w:tcPr>
          <w:p w14:paraId="4DC5D34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碱废水</w:t>
            </w:r>
          </w:p>
        </w:tc>
      </w:tr>
      <w:tr w14:paraId="54CFB6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71F27369">
            <w:pPr>
              <w:pStyle w:val="41"/>
              <w:rPr>
                <w:rFonts w:hint="default" w:ascii="Times New Roman" w:hAnsi="Times New Roman" w:cs="Times New Roman"/>
                <w:color w:val="auto"/>
                <w:u w:val="none"/>
              </w:rPr>
            </w:pPr>
          </w:p>
        </w:tc>
        <w:tc>
          <w:tcPr>
            <w:tcW w:w="1158" w:type="dxa"/>
            <w:vAlign w:val="center"/>
          </w:tcPr>
          <w:p w14:paraId="6C2BBD3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化学研磨</w:t>
            </w:r>
          </w:p>
        </w:tc>
        <w:tc>
          <w:tcPr>
            <w:tcW w:w="675" w:type="dxa"/>
            <w:vAlign w:val="center"/>
          </w:tcPr>
          <w:p w14:paraId="016B506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5FCE16A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59E7290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0ED01E4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3364B1B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19E8D16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42CD332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w:t>
            </w:r>
          </w:p>
        </w:tc>
        <w:tc>
          <w:tcPr>
            <w:tcW w:w="853" w:type="dxa"/>
            <w:vAlign w:val="center"/>
          </w:tcPr>
          <w:p w14:paraId="2549BD7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845" w:type="dxa"/>
            <w:vAlign w:val="center"/>
          </w:tcPr>
          <w:p w14:paraId="02F2FD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3376BD2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2.4</w:t>
            </w:r>
          </w:p>
        </w:tc>
        <w:tc>
          <w:tcPr>
            <w:tcW w:w="958" w:type="dxa"/>
            <w:vAlign w:val="center"/>
          </w:tcPr>
          <w:p w14:paraId="313B8D4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w:t>
            </w:r>
          </w:p>
        </w:tc>
        <w:tc>
          <w:tcPr>
            <w:tcW w:w="661" w:type="dxa"/>
            <w:vAlign w:val="center"/>
          </w:tcPr>
          <w:p w14:paraId="70A40F1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6D7D89BC">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含磷废液</w:t>
            </w:r>
          </w:p>
        </w:tc>
      </w:tr>
      <w:tr w14:paraId="709D5C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358A5C04">
            <w:pPr>
              <w:pStyle w:val="41"/>
              <w:rPr>
                <w:rFonts w:hint="default" w:ascii="Times New Roman" w:hAnsi="Times New Roman" w:cs="Times New Roman"/>
                <w:color w:val="auto"/>
                <w:u w:val="none"/>
              </w:rPr>
            </w:pPr>
          </w:p>
        </w:tc>
        <w:tc>
          <w:tcPr>
            <w:tcW w:w="1158" w:type="dxa"/>
            <w:vAlign w:val="center"/>
          </w:tcPr>
          <w:p w14:paraId="530CBCC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热水洗</w:t>
            </w:r>
          </w:p>
        </w:tc>
        <w:tc>
          <w:tcPr>
            <w:tcW w:w="675" w:type="dxa"/>
            <w:vAlign w:val="center"/>
          </w:tcPr>
          <w:p w14:paraId="7450D01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2D47F3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596ED05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71EC69A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5F712FE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32DA6E9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1.44</w:t>
            </w:r>
          </w:p>
        </w:tc>
        <w:tc>
          <w:tcPr>
            <w:tcW w:w="1017" w:type="dxa"/>
            <w:vAlign w:val="center"/>
          </w:tcPr>
          <w:p w14:paraId="34CD29D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w:t>
            </w:r>
          </w:p>
        </w:tc>
        <w:tc>
          <w:tcPr>
            <w:tcW w:w="853" w:type="dxa"/>
            <w:vAlign w:val="center"/>
          </w:tcPr>
          <w:p w14:paraId="67B1BF4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6E57A4E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3128AD8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504</w:t>
            </w:r>
          </w:p>
        </w:tc>
        <w:tc>
          <w:tcPr>
            <w:tcW w:w="958" w:type="dxa"/>
            <w:vAlign w:val="center"/>
          </w:tcPr>
          <w:p w14:paraId="077AB29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540</w:t>
            </w:r>
          </w:p>
        </w:tc>
        <w:tc>
          <w:tcPr>
            <w:tcW w:w="661" w:type="dxa"/>
            <w:vAlign w:val="center"/>
          </w:tcPr>
          <w:p w14:paraId="27F49B9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vAlign w:val="center"/>
          </w:tcPr>
          <w:p w14:paraId="3774C98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含磷废水</w:t>
            </w:r>
          </w:p>
        </w:tc>
      </w:tr>
      <w:tr w14:paraId="742573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2BB55474">
            <w:pPr>
              <w:pStyle w:val="41"/>
              <w:rPr>
                <w:rFonts w:hint="default" w:ascii="Times New Roman" w:hAnsi="Times New Roman" w:cs="Times New Roman"/>
                <w:color w:val="auto"/>
                <w:u w:val="none"/>
              </w:rPr>
            </w:pPr>
          </w:p>
        </w:tc>
        <w:tc>
          <w:tcPr>
            <w:tcW w:w="1158" w:type="dxa"/>
            <w:vAlign w:val="center"/>
          </w:tcPr>
          <w:p w14:paraId="42EC803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2EBB054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1AE6F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4D08E08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1462A0A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4F584BB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55F778C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3E3F414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0.6</w:t>
            </w:r>
          </w:p>
        </w:tc>
        <w:tc>
          <w:tcPr>
            <w:tcW w:w="853" w:type="dxa"/>
            <w:vAlign w:val="center"/>
          </w:tcPr>
          <w:p w14:paraId="6ADAEFF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048C6D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108</w:t>
            </w:r>
          </w:p>
        </w:tc>
        <w:tc>
          <w:tcPr>
            <w:tcW w:w="1382" w:type="dxa"/>
            <w:vAlign w:val="center"/>
          </w:tcPr>
          <w:p w14:paraId="0EC0CF4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5E08801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180</w:t>
            </w:r>
          </w:p>
        </w:tc>
        <w:tc>
          <w:tcPr>
            <w:tcW w:w="661" w:type="dxa"/>
            <w:vAlign w:val="center"/>
          </w:tcPr>
          <w:p w14:paraId="6C39DB1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自来水</w:t>
            </w:r>
          </w:p>
        </w:tc>
        <w:tc>
          <w:tcPr>
            <w:tcW w:w="1602" w:type="dxa"/>
            <w:vAlign w:val="center"/>
          </w:tcPr>
          <w:p w14:paraId="47E00BD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含磷废水</w:t>
            </w:r>
          </w:p>
        </w:tc>
      </w:tr>
      <w:tr w14:paraId="5628A4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7D744EA7">
            <w:pPr>
              <w:pStyle w:val="41"/>
              <w:rPr>
                <w:rFonts w:hint="default" w:ascii="Times New Roman" w:hAnsi="Times New Roman" w:cs="Times New Roman"/>
                <w:color w:val="auto"/>
                <w:u w:val="none"/>
              </w:rPr>
            </w:pPr>
          </w:p>
        </w:tc>
        <w:tc>
          <w:tcPr>
            <w:tcW w:w="1158" w:type="dxa"/>
            <w:vAlign w:val="center"/>
          </w:tcPr>
          <w:p w14:paraId="1C53408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出光</w:t>
            </w:r>
          </w:p>
        </w:tc>
        <w:tc>
          <w:tcPr>
            <w:tcW w:w="675" w:type="dxa"/>
            <w:vAlign w:val="center"/>
          </w:tcPr>
          <w:p w14:paraId="26A2DF1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3A72912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800</w:t>
            </w:r>
          </w:p>
        </w:tc>
        <w:tc>
          <w:tcPr>
            <w:tcW w:w="697" w:type="dxa"/>
            <w:vAlign w:val="center"/>
          </w:tcPr>
          <w:p w14:paraId="3B61A53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3777D78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12BABDA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21" w:type="dxa"/>
            <w:vAlign w:val="center"/>
          </w:tcPr>
          <w:p w14:paraId="2FECED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4622653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0.26</w:t>
            </w:r>
          </w:p>
        </w:tc>
        <w:tc>
          <w:tcPr>
            <w:tcW w:w="853" w:type="dxa"/>
            <w:vAlign w:val="center"/>
          </w:tcPr>
          <w:p w14:paraId="07066B2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30</w:t>
            </w:r>
          </w:p>
        </w:tc>
        <w:tc>
          <w:tcPr>
            <w:tcW w:w="845" w:type="dxa"/>
            <w:vAlign w:val="center"/>
          </w:tcPr>
          <w:p w14:paraId="6942ECD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w:t>
            </w:r>
          </w:p>
        </w:tc>
        <w:tc>
          <w:tcPr>
            <w:tcW w:w="1382" w:type="dxa"/>
            <w:vAlign w:val="center"/>
          </w:tcPr>
          <w:p w14:paraId="58F1870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9.6</w:t>
            </w:r>
          </w:p>
        </w:tc>
        <w:tc>
          <w:tcPr>
            <w:tcW w:w="958" w:type="dxa"/>
            <w:vAlign w:val="center"/>
          </w:tcPr>
          <w:p w14:paraId="78B0D50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78</w:t>
            </w:r>
          </w:p>
        </w:tc>
        <w:tc>
          <w:tcPr>
            <w:tcW w:w="661" w:type="dxa"/>
            <w:vAlign w:val="center"/>
          </w:tcPr>
          <w:p w14:paraId="233D656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784D4B5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17AECB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46B186E2">
            <w:pPr>
              <w:pStyle w:val="41"/>
              <w:rPr>
                <w:rFonts w:hint="default" w:ascii="Times New Roman" w:hAnsi="Times New Roman" w:cs="Times New Roman"/>
                <w:color w:val="auto"/>
                <w:u w:val="none"/>
              </w:rPr>
            </w:pPr>
          </w:p>
        </w:tc>
        <w:tc>
          <w:tcPr>
            <w:tcW w:w="1158" w:type="dxa"/>
            <w:vAlign w:val="center"/>
          </w:tcPr>
          <w:p w14:paraId="0C6F88F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47228C0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23E18F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329ED7C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687F4D5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738E049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76C54A7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1.44</w:t>
            </w:r>
          </w:p>
        </w:tc>
        <w:tc>
          <w:tcPr>
            <w:tcW w:w="1017" w:type="dxa"/>
            <w:vAlign w:val="center"/>
          </w:tcPr>
          <w:p w14:paraId="0C444CA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w:t>
            </w:r>
          </w:p>
        </w:tc>
        <w:tc>
          <w:tcPr>
            <w:tcW w:w="853" w:type="dxa"/>
            <w:vAlign w:val="center"/>
          </w:tcPr>
          <w:p w14:paraId="73298EB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017431E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3F515AB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504</w:t>
            </w:r>
          </w:p>
        </w:tc>
        <w:tc>
          <w:tcPr>
            <w:tcW w:w="958" w:type="dxa"/>
            <w:vAlign w:val="center"/>
          </w:tcPr>
          <w:p w14:paraId="448840D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61" w:type="dxa"/>
            <w:vAlign w:val="center"/>
          </w:tcPr>
          <w:p w14:paraId="3F5E8B8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652BCF8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62B95C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392E7E5D">
            <w:pPr>
              <w:pStyle w:val="41"/>
              <w:rPr>
                <w:rFonts w:hint="default" w:ascii="Times New Roman" w:hAnsi="Times New Roman" w:cs="Times New Roman"/>
                <w:color w:val="auto"/>
                <w:u w:val="none"/>
              </w:rPr>
            </w:pPr>
          </w:p>
        </w:tc>
        <w:tc>
          <w:tcPr>
            <w:tcW w:w="1158" w:type="dxa"/>
            <w:vAlign w:val="center"/>
          </w:tcPr>
          <w:p w14:paraId="14FB685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4424C19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7DB96B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08384BA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54FABF1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1B4A266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0783A16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338735D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0.8</w:t>
            </w:r>
          </w:p>
        </w:tc>
        <w:tc>
          <w:tcPr>
            <w:tcW w:w="853" w:type="dxa"/>
            <w:vAlign w:val="center"/>
          </w:tcPr>
          <w:p w14:paraId="3A2C3F8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18D20CF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49EF60F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093F665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240</w:t>
            </w:r>
          </w:p>
        </w:tc>
        <w:tc>
          <w:tcPr>
            <w:tcW w:w="661" w:type="dxa"/>
            <w:vAlign w:val="center"/>
          </w:tcPr>
          <w:p w14:paraId="5C7DD6B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7146CA5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64A0A3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3E15A2A1">
            <w:pPr>
              <w:pStyle w:val="41"/>
              <w:rPr>
                <w:rFonts w:hint="default" w:ascii="Times New Roman" w:hAnsi="Times New Roman" w:cs="Times New Roman"/>
                <w:color w:val="auto"/>
                <w:u w:val="none"/>
              </w:rPr>
            </w:pPr>
          </w:p>
        </w:tc>
        <w:tc>
          <w:tcPr>
            <w:tcW w:w="1158" w:type="dxa"/>
            <w:vAlign w:val="center"/>
          </w:tcPr>
          <w:p w14:paraId="188B057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氧化槽</w:t>
            </w:r>
            <w:r>
              <w:rPr>
                <w:rFonts w:hint="default" w:ascii="Times New Roman" w:hAnsi="Times New Roman" w:cs="Times New Roman"/>
                <w:color w:val="auto"/>
                <w:u w:val="none"/>
                <w:lang w:val="en-US" w:eastAsia="zh-CN"/>
              </w:rPr>
              <w:t>1</w:t>
            </w:r>
          </w:p>
        </w:tc>
        <w:tc>
          <w:tcPr>
            <w:tcW w:w="675" w:type="dxa"/>
            <w:vAlign w:val="center"/>
          </w:tcPr>
          <w:p w14:paraId="6D50444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3AF8222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697" w:type="dxa"/>
            <w:vAlign w:val="center"/>
          </w:tcPr>
          <w:p w14:paraId="3EFC095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67285DB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7CFDD20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1021" w:type="dxa"/>
            <w:vAlign w:val="center"/>
          </w:tcPr>
          <w:p w14:paraId="45EA68D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69ADB1B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0.3</w:t>
            </w:r>
          </w:p>
        </w:tc>
        <w:tc>
          <w:tcPr>
            <w:tcW w:w="853" w:type="dxa"/>
            <w:vAlign w:val="center"/>
          </w:tcPr>
          <w:p w14:paraId="65FC6BE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845" w:type="dxa"/>
            <w:vAlign w:val="center"/>
          </w:tcPr>
          <w:p w14:paraId="3A02829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1382" w:type="dxa"/>
            <w:vAlign w:val="center"/>
          </w:tcPr>
          <w:p w14:paraId="5AE75A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4</w:t>
            </w:r>
          </w:p>
        </w:tc>
        <w:tc>
          <w:tcPr>
            <w:tcW w:w="958" w:type="dxa"/>
            <w:vAlign w:val="center"/>
          </w:tcPr>
          <w:p w14:paraId="18138E4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661" w:type="dxa"/>
            <w:vAlign w:val="center"/>
          </w:tcPr>
          <w:p w14:paraId="228088E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7ECC154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6A4176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18B35946">
            <w:pPr>
              <w:pStyle w:val="41"/>
              <w:rPr>
                <w:rFonts w:hint="default" w:ascii="Times New Roman" w:hAnsi="Times New Roman" w:cs="Times New Roman"/>
                <w:color w:val="auto"/>
                <w:u w:val="none"/>
              </w:rPr>
            </w:pPr>
          </w:p>
        </w:tc>
        <w:tc>
          <w:tcPr>
            <w:tcW w:w="1158" w:type="dxa"/>
            <w:vAlign w:val="center"/>
          </w:tcPr>
          <w:p w14:paraId="2FE4584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氧化槽</w:t>
            </w:r>
            <w:r>
              <w:rPr>
                <w:rFonts w:hint="default" w:ascii="Times New Roman" w:hAnsi="Times New Roman" w:cs="Times New Roman"/>
                <w:color w:val="auto"/>
                <w:u w:val="none"/>
                <w:lang w:val="en-US" w:eastAsia="zh-CN"/>
              </w:rPr>
              <w:t>2</w:t>
            </w:r>
          </w:p>
        </w:tc>
        <w:tc>
          <w:tcPr>
            <w:tcW w:w="675" w:type="dxa"/>
            <w:vAlign w:val="center"/>
          </w:tcPr>
          <w:p w14:paraId="2AEFD9B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55C3CEF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697" w:type="dxa"/>
            <w:vAlign w:val="center"/>
          </w:tcPr>
          <w:p w14:paraId="740EA42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7EA0A3E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23EA47A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1021" w:type="dxa"/>
            <w:vAlign w:val="center"/>
          </w:tcPr>
          <w:p w14:paraId="1B26BDD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1.4</w:t>
            </w:r>
          </w:p>
        </w:tc>
        <w:tc>
          <w:tcPr>
            <w:tcW w:w="1017" w:type="dxa"/>
            <w:vAlign w:val="center"/>
          </w:tcPr>
          <w:p w14:paraId="28B67A6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w:t>
            </w:r>
          </w:p>
        </w:tc>
        <w:tc>
          <w:tcPr>
            <w:tcW w:w="853" w:type="dxa"/>
            <w:vAlign w:val="center"/>
          </w:tcPr>
          <w:p w14:paraId="094885B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845" w:type="dxa"/>
            <w:vAlign w:val="center"/>
          </w:tcPr>
          <w:p w14:paraId="68DF4AB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1382" w:type="dxa"/>
            <w:vAlign w:val="center"/>
          </w:tcPr>
          <w:p w14:paraId="6BAF81C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420</w:t>
            </w:r>
          </w:p>
        </w:tc>
        <w:tc>
          <w:tcPr>
            <w:tcW w:w="958" w:type="dxa"/>
            <w:vAlign w:val="center"/>
          </w:tcPr>
          <w:p w14:paraId="0385F1D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540</w:t>
            </w:r>
          </w:p>
        </w:tc>
        <w:tc>
          <w:tcPr>
            <w:tcW w:w="661" w:type="dxa"/>
            <w:vAlign w:val="center"/>
          </w:tcPr>
          <w:p w14:paraId="1E191F1C">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5511A7C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1B63C1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77C41B6E">
            <w:pPr>
              <w:pStyle w:val="41"/>
              <w:rPr>
                <w:rFonts w:hint="default" w:ascii="Times New Roman" w:hAnsi="Times New Roman" w:cs="Times New Roman"/>
                <w:color w:val="auto"/>
                <w:u w:val="none"/>
              </w:rPr>
            </w:pPr>
          </w:p>
        </w:tc>
        <w:tc>
          <w:tcPr>
            <w:tcW w:w="1158" w:type="dxa"/>
            <w:vAlign w:val="center"/>
          </w:tcPr>
          <w:p w14:paraId="61A4ABE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1A8F63E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1AF8E7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4346AB3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2784C0A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138CCBD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7CA9269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28B3F27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0.8</w:t>
            </w:r>
          </w:p>
        </w:tc>
        <w:tc>
          <w:tcPr>
            <w:tcW w:w="853" w:type="dxa"/>
            <w:vAlign w:val="center"/>
          </w:tcPr>
          <w:p w14:paraId="690F5D7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3683A6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11EEE0C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0C01279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240</w:t>
            </w:r>
          </w:p>
        </w:tc>
        <w:tc>
          <w:tcPr>
            <w:tcW w:w="661" w:type="dxa"/>
            <w:vAlign w:val="center"/>
          </w:tcPr>
          <w:p w14:paraId="6C8061D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7265C93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19274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77C44C07">
            <w:pPr>
              <w:pStyle w:val="41"/>
              <w:rPr>
                <w:rFonts w:hint="default" w:ascii="Times New Roman" w:hAnsi="Times New Roman" w:cs="Times New Roman"/>
                <w:color w:val="auto"/>
                <w:u w:val="none"/>
              </w:rPr>
            </w:pPr>
          </w:p>
        </w:tc>
        <w:tc>
          <w:tcPr>
            <w:tcW w:w="1158" w:type="dxa"/>
            <w:vAlign w:val="center"/>
          </w:tcPr>
          <w:p w14:paraId="267716D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6B5C8B2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D6FDDA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6A8C0A9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5E5B4B5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22FA554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3449FEB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081002D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0.8</w:t>
            </w:r>
          </w:p>
        </w:tc>
        <w:tc>
          <w:tcPr>
            <w:tcW w:w="853" w:type="dxa"/>
            <w:vAlign w:val="center"/>
          </w:tcPr>
          <w:p w14:paraId="193862E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407385B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2F16268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72</w:t>
            </w:r>
          </w:p>
        </w:tc>
        <w:tc>
          <w:tcPr>
            <w:tcW w:w="958" w:type="dxa"/>
            <w:vAlign w:val="center"/>
          </w:tcPr>
          <w:p w14:paraId="0A0BD25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240</w:t>
            </w:r>
          </w:p>
        </w:tc>
        <w:tc>
          <w:tcPr>
            <w:tcW w:w="661" w:type="dxa"/>
            <w:vAlign w:val="center"/>
          </w:tcPr>
          <w:p w14:paraId="56B97BD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7A8E6F8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61A85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73CAC220">
            <w:pPr>
              <w:pStyle w:val="41"/>
              <w:rPr>
                <w:rFonts w:hint="default" w:ascii="Times New Roman" w:hAnsi="Times New Roman" w:cs="Times New Roman"/>
                <w:color w:val="auto"/>
                <w:u w:val="none"/>
              </w:rPr>
            </w:pPr>
          </w:p>
        </w:tc>
        <w:tc>
          <w:tcPr>
            <w:tcW w:w="1158" w:type="dxa"/>
            <w:vAlign w:val="center"/>
          </w:tcPr>
          <w:p w14:paraId="7A7E02C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0DD4AC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47B18A3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800</w:t>
            </w:r>
          </w:p>
        </w:tc>
        <w:tc>
          <w:tcPr>
            <w:tcW w:w="697" w:type="dxa"/>
            <w:vAlign w:val="center"/>
          </w:tcPr>
          <w:p w14:paraId="3AFF80B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16EA8AE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6148202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21" w:type="dxa"/>
            <w:vAlign w:val="center"/>
          </w:tcPr>
          <w:p w14:paraId="3FB296D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4542E47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vAlign w:val="center"/>
          </w:tcPr>
          <w:p w14:paraId="6C63712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3E9924C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382" w:type="dxa"/>
            <w:vAlign w:val="center"/>
          </w:tcPr>
          <w:p w14:paraId="30BD035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288</w:t>
            </w:r>
          </w:p>
        </w:tc>
        <w:tc>
          <w:tcPr>
            <w:tcW w:w="958" w:type="dxa"/>
            <w:vAlign w:val="center"/>
          </w:tcPr>
          <w:p w14:paraId="360D481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vAlign w:val="center"/>
          </w:tcPr>
          <w:p w14:paraId="0A8A1AFA">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292C7E2A">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439FF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00BBEFC3">
            <w:pPr>
              <w:pStyle w:val="41"/>
              <w:rPr>
                <w:rFonts w:hint="default" w:ascii="Times New Roman" w:hAnsi="Times New Roman" w:cs="Times New Roman"/>
                <w:color w:val="auto"/>
                <w:u w:val="none"/>
              </w:rPr>
            </w:pPr>
          </w:p>
        </w:tc>
        <w:tc>
          <w:tcPr>
            <w:tcW w:w="1158" w:type="dxa"/>
            <w:vAlign w:val="center"/>
          </w:tcPr>
          <w:p w14:paraId="56BB2F2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超声波表调</w:t>
            </w:r>
          </w:p>
        </w:tc>
        <w:tc>
          <w:tcPr>
            <w:tcW w:w="675" w:type="dxa"/>
            <w:vAlign w:val="center"/>
          </w:tcPr>
          <w:p w14:paraId="7DD6FE9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F844EC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800</w:t>
            </w:r>
          </w:p>
        </w:tc>
        <w:tc>
          <w:tcPr>
            <w:tcW w:w="697" w:type="dxa"/>
            <w:vAlign w:val="center"/>
          </w:tcPr>
          <w:p w14:paraId="3487416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3A165D8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6AAA9BA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21" w:type="dxa"/>
            <w:vAlign w:val="center"/>
          </w:tcPr>
          <w:p w14:paraId="582FF10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6BA56A6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0.3</w:t>
            </w:r>
          </w:p>
        </w:tc>
        <w:tc>
          <w:tcPr>
            <w:tcW w:w="853" w:type="dxa"/>
            <w:vAlign w:val="center"/>
          </w:tcPr>
          <w:p w14:paraId="2933DC6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30</w:t>
            </w:r>
          </w:p>
        </w:tc>
        <w:tc>
          <w:tcPr>
            <w:tcW w:w="845" w:type="dxa"/>
            <w:vAlign w:val="center"/>
          </w:tcPr>
          <w:p w14:paraId="15B3721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382" w:type="dxa"/>
            <w:vAlign w:val="center"/>
          </w:tcPr>
          <w:p w14:paraId="4F47296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9.6</w:t>
            </w:r>
          </w:p>
        </w:tc>
        <w:tc>
          <w:tcPr>
            <w:tcW w:w="958" w:type="dxa"/>
            <w:vAlign w:val="center"/>
          </w:tcPr>
          <w:p w14:paraId="61BD243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661" w:type="dxa"/>
            <w:vAlign w:val="center"/>
          </w:tcPr>
          <w:p w14:paraId="49396EE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538F024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714A1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60F967C2">
            <w:pPr>
              <w:pStyle w:val="41"/>
              <w:rPr>
                <w:rFonts w:hint="default" w:ascii="Times New Roman" w:hAnsi="Times New Roman" w:cs="Times New Roman"/>
                <w:color w:val="auto"/>
                <w:u w:val="none"/>
              </w:rPr>
            </w:pPr>
          </w:p>
        </w:tc>
        <w:tc>
          <w:tcPr>
            <w:tcW w:w="1158" w:type="dxa"/>
            <w:vAlign w:val="center"/>
          </w:tcPr>
          <w:p w14:paraId="2267D10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3BFABB9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7C8C93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800</w:t>
            </w:r>
          </w:p>
        </w:tc>
        <w:tc>
          <w:tcPr>
            <w:tcW w:w="697" w:type="dxa"/>
            <w:vAlign w:val="center"/>
          </w:tcPr>
          <w:p w14:paraId="5DFF633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697D212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3F73A2D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21" w:type="dxa"/>
            <w:vAlign w:val="center"/>
          </w:tcPr>
          <w:p w14:paraId="4114DE3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1.92</w:t>
            </w:r>
          </w:p>
        </w:tc>
        <w:tc>
          <w:tcPr>
            <w:tcW w:w="1017" w:type="dxa"/>
            <w:vAlign w:val="center"/>
          </w:tcPr>
          <w:p w14:paraId="572C452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2.3</w:t>
            </w:r>
          </w:p>
        </w:tc>
        <w:tc>
          <w:tcPr>
            <w:tcW w:w="853" w:type="dxa"/>
            <w:vAlign w:val="center"/>
          </w:tcPr>
          <w:p w14:paraId="6C06C37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2895D67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382" w:type="dxa"/>
            <w:vAlign w:val="center"/>
          </w:tcPr>
          <w:p w14:paraId="4DBD4A3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576</w:t>
            </w:r>
          </w:p>
        </w:tc>
        <w:tc>
          <w:tcPr>
            <w:tcW w:w="958" w:type="dxa"/>
            <w:vAlign w:val="center"/>
          </w:tcPr>
          <w:p w14:paraId="54758BB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690</w:t>
            </w:r>
          </w:p>
        </w:tc>
        <w:tc>
          <w:tcPr>
            <w:tcW w:w="661" w:type="dxa"/>
            <w:vAlign w:val="center"/>
          </w:tcPr>
          <w:p w14:paraId="7E52BE1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1094BEA0">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00F5B3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3260F710">
            <w:pPr>
              <w:pStyle w:val="41"/>
              <w:rPr>
                <w:rFonts w:hint="default" w:ascii="Times New Roman" w:hAnsi="Times New Roman" w:cs="Times New Roman"/>
                <w:color w:val="auto"/>
                <w:u w:val="none"/>
              </w:rPr>
            </w:pPr>
          </w:p>
        </w:tc>
        <w:tc>
          <w:tcPr>
            <w:tcW w:w="1158" w:type="dxa"/>
            <w:vAlign w:val="center"/>
          </w:tcPr>
          <w:p w14:paraId="09E0305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铬酸盐封闭</w:t>
            </w:r>
          </w:p>
        </w:tc>
        <w:tc>
          <w:tcPr>
            <w:tcW w:w="675" w:type="dxa"/>
            <w:vAlign w:val="center"/>
          </w:tcPr>
          <w:p w14:paraId="2BFA280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208841F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6BFC475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7CC1B6A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78B0191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0DF2CED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6EF8392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0.3</w:t>
            </w:r>
          </w:p>
        </w:tc>
        <w:tc>
          <w:tcPr>
            <w:tcW w:w="853" w:type="dxa"/>
            <w:vAlign w:val="center"/>
          </w:tcPr>
          <w:p w14:paraId="5E4965E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845" w:type="dxa"/>
            <w:vAlign w:val="center"/>
          </w:tcPr>
          <w:p w14:paraId="31785D8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3B56373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958" w:type="dxa"/>
            <w:vAlign w:val="center"/>
          </w:tcPr>
          <w:p w14:paraId="03BA645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90</w:t>
            </w:r>
          </w:p>
        </w:tc>
        <w:tc>
          <w:tcPr>
            <w:tcW w:w="661" w:type="dxa"/>
            <w:vAlign w:val="center"/>
          </w:tcPr>
          <w:p w14:paraId="2A359419">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47507CF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重金属废液</w:t>
            </w:r>
          </w:p>
        </w:tc>
      </w:tr>
      <w:tr w14:paraId="52BC4D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48F9402B">
            <w:pPr>
              <w:pStyle w:val="41"/>
              <w:rPr>
                <w:rFonts w:hint="default" w:ascii="Times New Roman" w:hAnsi="Times New Roman" w:cs="Times New Roman"/>
                <w:color w:val="auto"/>
                <w:u w:val="none"/>
              </w:rPr>
            </w:pPr>
          </w:p>
        </w:tc>
        <w:tc>
          <w:tcPr>
            <w:tcW w:w="1158" w:type="dxa"/>
            <w:vAlign w:val="center"/>
          </w:tcPr>
          <w:p w14:paraId="7BF317D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7587025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B96F12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650</w:t>
            </w:r>
          </w:p>
        </w:tc>
        <w:tc>
          <w:tcPr>
            <w:tcW w:w="697" w:type="dxa"/>
            <w:vAlign w:val="center"/>
          </w:tcPr>
          <w:p w14:paraId="376EED4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5930779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1D790CA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0.78</w:t>
            </w:r>
          </w:p>
        </w:tc>
        <w:tc>
          <w:tcPr>
            <w:tcW w:w="1021" w:type="dxa"/>
            <w:vAlign w:val="center"/>
          </w:tcPr>
          <w:p w14:paraId="59ABB5A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17" w:type="dxa"/>
            <w:vAlign w:val="center"/>
          </w:tcPr>
          <w:p w14:paraId="116D4F8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1.3</w:t>
            </w:r>
          </w:p>
        </w:tc>
        <w:tc>
          <w:tcPr>
            <w:tcW w:w="853" w:type="dxa"/>
            <w:vAlign w:val="center"/>
          </w:tcPr>
          <w:p w14:paraId="6AFD885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w:t>
            </w:r>
          </w:p>
        </w:tc>
        <w:tc>
          <w:tcPr>
            <w:tcW w:w="845" w:type="dxa"/>
            <w:vAlign w:val="center"/>
          </w:tcPr>
          <w:p w14:paraId="7DEB31E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0.78</w:t>
            </w:r>
          </w:p>
        </w:tc>
        <w:tc>
          <w:tcPr>
            <w:tcW w:w="1382" w:type="dxa"/>
            <w:vAlign w:val="center"/>
          </w:tcPr>
          <w:p w14:paraId="07B2634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288</w:t>
            </w:r>
          </w:p>
        </w:tc>
        <w:tc>
          <w:tcPr>
            <w:tcW w:w="958" w:type="dxa"/>
            <w:vAlign w:val="center"/>
          </w:tcPr>
          <w:p w14:paraId="3E48F85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390</w:t>
            </w:r>
          </w:p>
        </w:tc>
        <w:tc>
          <w:tcPr>
            <w:tcW w:w="661" w:type="dxa"/>
            <w:vAlign w:val="center"/>
          </w:tcPr>
          <w:p w14:paraId="49769D1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1F9000AA">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含铬废水</w:t>
            </w:r>
          </w:p>
        </w:tc>
      </w:tr>
      <w:tr w14:paraId="7AA455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5BD465B1">
            <w:pPr>
              <w:pStyle w:val="41"/>
              <w:rPr>
                <w:rFonts w:hint="default" w:ascii="Times New Roman" w:hAnsi="Times New Roman" w:cs="Times New Roman"/>
                <w:color w:val="auto"/>
                <w:u w:val="none"/>
              </w:rPr>
            </w:pPr>
          </w:p>
        </w:tc>
        <w:tc>
          <w:tcPr>
            <w:tcW w:w="1158" w:type="dxa"/>
            <w:vAlign w:val="center"/>
          </w:tcPr>
          <w:p w14:paraId="0A3771D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7E5FF19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72633C5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650</w:t>
            </w:r>
          </w:p>
        </w:tc>
        <w:tc>
          <w:tcPr>
            <w:tcW w:w="697" w:type="dxa"/>
            <w:vAlign w:val="center"/>
          </w:tcPr>
          <w:p w14:paraId="4D93007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53482F6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1D31914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0.78</w:t>
            </w:r>
          </w:p>
        </w:tc>
        <w:tc>
          <w:tcPr>
            <w:tcW w:w="1021" w:type="dxa"/>
            <w:vAlign w:val="center"/>
          </w:tcPr>
          <w:p w14:paraId="70812F0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7401E6A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0.21</w:t>
            </w:r>
          </w:p>
        </w:tc>
        <w:tc>
          <w:tcPr>
            <w:tcW w:w="853" w:type="dxa"/>
            <w:vAlign w:val="center"/>
          </w:tcPr>
          <w:p w14:paraId="7448906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w:t>
            </w:r>
          </w:p>
        </w:tc>
        <w:tc>
          <w:tcPr>
            <w:tcW w:w="845" w:type="dxa"/>
            <w:vAlign w:val="center"/>
          </w:tcPr>
          <w:p w14:paraId="1447DBE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0.78</w:t>
            </w:r>
          </w:p>
        </w:tc>
        <w:tc>
          <w:tcPr>
            <w:tcW w:w="1382" w:type="dxa"/>
            <w:vAlign w:val="center"/>
          </w:tcPr>
          <w:p w14:paraId="10C640B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23.4</w:t>
            </w:r>
          </w:p>
        </w:tc>
        <w:tc>
          <w:tcPr>
            <w:tcW w:w="958" w:type="dxa"/>
            <w:vAlign w:val="center"/>
          </w:tcPr>
          <w:p w14:paraId="45DFA36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63</w:t>
            </w:r>
          </w:p>
        </w:tc>
        <w:tc>
          <w:tcPr>
            <w:tcW w:w="661" w:type="dxa"/>
            <w:vAlign w:val="center"/>
          </w:tcPr>
          <w:p w14:paraId="31E2B55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47F4C117">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r w14:paraId="5923F4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629EE35C">
            <w:pPr>
              <w:pStyle w:val="41"/>
              <w:rPr>
                <w:rFonts w:hint="default" w:ascii="Times New Roman" w:hAnsi="Times New Roman" w:cs="Times New Roman"/>
                <w:color w:val="auto"/>
                <w:u w:val="none"/>
              </w:rPr>
            </w:pPr>
          </w:p>
        </w:tc>
        <w:tc>
          <w:tcPr>
            <w:tcW w:w="1158" w:type="dxa"/>
            <w:vAlign w:val="center"/>
          </w:tcPr>
          <w:p w14:paraId="61EEE372">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染色</w:t>
            </w:r>
          </w:p>
        </w:tc>
        <w:tc>
          <w:tcPr>
            <w:tcW w:w="675" w:type="dxa"/>
            <w:vAlign w:val="center"/>
          </w:tcPr>
          <w:p w14:paraId="3231F9A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6236C7A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26FEE3B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47A38F5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00D29CC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6D34795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71899055">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w:t>
            </w:r>
          </w:p>
        </w:tc>
        <w:tc>
          <w:tcPr>
            <w:tcW w:w="853" w:type="dxa"/>
            <w:vAlign w:val="center"/>
          </w:tcPr>
          <w:p w14:paraId="049760B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w:t>
            </w:r>
          </w:p>
        </w:tc>
        <w:tc>
          <w:tcPr>
            <w:tcW w:w="845" w:type="dxa"/>
            <w:vAlign w:val="center"/>
          </w:tcPr>
          <w:p w14:paraId="5A637E0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6156366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958" w:type="dxa"/>
            <w:vAlign w:val="center"/>
          </w:tcPr>
          <w:p w14:paraId="1A740D1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w:t>
            </w:r>
          </w:p>
        </w:tc>
        <w:tc>
          <w:tcPr>
            <w:tcW w:w="661" w:type="dxa"/>
            <w:vAlign w:val="center"/>
          </w:tcPr>
          <w:p w14:paraId="0902B35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57671F5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重金属废液</w:t>
            </w:r>
          </w:p>
        </w:tc>
      </w:tr>
      <w:tr w14:paraId="0B3820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16C34723">
            <w:pPr>
              <w:pStyle w:val="41"/>
              <w:rPr>
                <w:rFonts w:hint="default" w:ascii="Times New Roman" w:hAnsi="Times New Roman" w:cs="Times New Roman"/>
                <w:color w:val="auto"/>
                <w:u w:val="none"/>
              </w:rPr>
            </w:pPr>
          </w:p>
        </w:tc>
        <w:tc>
          <w:tcPr>
            <w:tcW w:w="1158" w:type="dxa"/>
            <w:vAlign w:val="center"/>
          </w:tcPr>
          <w:p w14:paraId="43672845">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55FB79F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59EFF55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726AE47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67A0A00B">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65A623C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2443AD1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1.56</w:t>
            </w:r>
          </w:p>
        </w:tc>
        <w:tc>
          <w:tcPr>
            <w:tcW w:w="1017" w:type="dxa"/>
            <w:vAlign w:val="center"/>
          </w:tcPr>
          <w:p w14:paraId="28120FE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1.8</w:t>
            </w:r>
          </w:p>
        </w:tc>
        <w:tc>
          <w:tcPr>
            <w:tcW w:w="853" w:type="dxa"/>
            <w:vAlign w:val="center"/>
          </w:tcPr>
          <w:p w14:paraId="5F71A63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7D1BA7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7682F11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468</w:t>
            </w:r>
          </w:p>
        </w:tc>
        <w:tc>
          <w:tcPr>
            <w:tcW w:w="958" w:type="dxa"/>
            <w:vAlign w:val="center"/>
          </w:tcPr>
          <w:p w14:paraId="021C8BA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540</w:t>
            </w:r>
          </w:p>
        </w:tc>
        <w:tc>
          <w:tcPr>
            <w:tcW w:w="661" w:type="dxa"/>
            <w:vAlign w:val="center"/>
          </w:tcPr>
          <w:p w14:paraId="02FF54B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55B2545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重金属废水</w:t>
            </w:r>
          </w:p>
        </w:tc>
      </w:tr>
      <w:tr w14:paraId="34BC3F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21A87693">
            <w:pPr>
              <w:pStyle w:val="41"/>
              <w:rPr>
                <w:rFonts w:hint="default" w:ascii="Times New Roman" w:hAnsi="Times New Roman" w:cs="Times New Roman"/>
                <w:color w:val="auto"/>
                <w:u w:val="none"/>
              </w:rPr>
            </w:pPr>
          </w:p>
        </w:tc>
        <w:tc>
          <w:tcPr>
            <w:tcW w:w="1158" w:type="dxa"/>
            <w:vAlign w:val="center"/>
          </w:tcPr>
          <w:p w14:paraId="744CBC6D">
            <w:pPr>
              <w:pStyle w:val="41"/>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封孔槽</w:t>
            </w:r>
          </w:p>
        </w:tc>
        <w:tc>
          <w:tcPr>
            <w:tcW w:w="675" w:type="dxa"/>
            <w:vAlign w:val="center"/>
          </w:tcPr>
          <w:p w14:paraId="3601B5BD">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91CE2B8">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21818921">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6DFE8AD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333A740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253E55D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7150EEE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w:t>
            </w:r>
          </w:p>
        </w:tc>
        <w:tc>
          <w:tcPr>
            <w:tcW w:w="853" w:type="dxa"/>
            <w:vAlign w:val="center"/>
          </w:tcPr>
          <w:p w14:paraId="5D50E18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15</w:t>
            </w:r>
          </w:p>
        </w:tc>
        <w:tc>
          <w:tcPr>
            <w:tcW w:w="845" w:type="dxa"/>
            <w:vAlign w:val="center"/>
          </w:tcPr>
          <w:p w14:paraId="57353A6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419FB55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14.4</w:t>
            </w:r>
          </w:p>
        </w:tc>
        <w:tc>
          <w:tcPr>
            <w:tcW w:w="958" w:type="dxa"/>
            <w:vAlign w:val="center"/>
          </w:tcPr>
          <w:p w14:paraId="17A392A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w:t>
            </w:r>
          </w:p>
        </w:tc>
        <w:tc>
          <w:tcPr>
            <w:tcW w:w="661" w:type="dxa"/>
            <w:vAlign w:val="center"/>
          </w:tcPr>
          <w:p w14:paraId="474F68D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093AE24F">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含镍废液</w:t>
            </w:r>
          </w:p>
        </w:tc>
      </w:tr>
      <w:tr w14:paraId="3FB760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6E5FC632">
            <w:pPr>
              <w:pStyle w:val="41"/>
              <w:rPr>
                <w:rFonts w:hint="default" w:ascii="Times New Roman" w:hAnsi="Times New Roman" w:cs="Times New Roman"/>
                <w:color w:val="auto"/>
                <w:u w:val="none"/>
              </w:rPr>
            </w:pPr>
          </w:p>
        </w:tc>
        <w:tc>
          <w:tcPr>
            <w:tcW w:w="1158" w:type="dxa"/>
            <w:vAlign w:val="center"/>
          </w:tcPr>
          <w:p w14:paraId="58F7A485">
            <w:pPr>
              <w:pStyle w:val="41"/>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07513AB1">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7CDE724">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12B4F33D">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7616B21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481EB2C0">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0744897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1.44</w:t>
            </w:r>
          </w:p>
        </w:tc>
        <w:tc>
          <w:tcPr>
            <w:tcW w:w="1017" w:type="dxa"/>
            <w:vAlign w:val="center"/>
          </w:tcPr>
          <w:p w14:paraId="3EACEC6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2.1</w:t>
            </w:r>
          </w:p>
        </w:tc>
        <w:tc>
          <w:tcPr>
            <w:tcW w:w="853" w:type="dxa"/>
            <w:vAlign w:val="center"/>
          </w:tcPr>
          <w:p w14:paraId="57D11C5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845" w:type="dxa"/>
            <w:vAlign w:val="center"/>
          </w:tcPr>
          <w:p w14:paraId="751FF2A4">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7C3D0B9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504</w:t>
            </w:r>
          </w:p>
        </w:tc>
        <w:tc>
          <w:tcPr>
            <w:tcW w:w="958" w:type="dxa"/>
            <w:vAlign w:val="center"/>
          </w:tcPr>
          <w:p w14:paraId="64B5B00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630</w:t>
            </w:r>
          </w:p>
        </w:tc>
        <w:tc>
          <w:tcPr>
            <w:tcW w:w="661" w:type="dxa"/>
            <w:vAlign w:val="center"/>
          </w:tcPr>
          <w:p w14:paraId="49B87C1E">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04C6B043">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含镍废水</w:t>
            </w:r>
          </w:p>
        </w:tc>
      </w:tr>
      <w:tr w14:paraId="6AF0E6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234B1BEC">
            <w:pPr>
              <w:pStyle w:val="41"/>
              <w:rPr>
                <w:rFonts w:hint="default" w:ascii="Times New Roman" w:hAnsi="Times New Roman" w:cs="Times New Roman"/>
                <w:color w:val="auto"/>
                <w:u w:val="none"/>
              </w:rPr>
            </w:pPr>
          </w:p>
        </w:tc>
        <w:tc>
          <w:tcPr>
            <w:tcW w:w="1158" w:type="dxa"/>
            <w:vAlign w:val="center"/>
          </w:tcPr>
          <w:p w14:paraId="660016A5">
            <w:pPr>
              <w:pStyle w:val="41"/>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冷水洗</w:t>
            </w:r>
          </w:p>
        </w:tc>
        <w:tc>
          <w:tcPr>
            <w:tcW w:w="675" w:type="dxa"/>
            <w:vAlign w:val="center"/>
          </w:tcPr>
          <w:p w14:paraId="09668529">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0FDF9B9A">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600</w:t>
            </w:r>
          </w:p>
        </w:tc>
        <w:tc>
          <w:tcPr>
            <w:tcW w:w="697" w:type="dxa"/>
            <w:vAlign w:val="center"/>
          </w:tcPr>
          <w:p w14:paraId="17D40E51">
            <w:pPr>
              <w:pStyle w:val="41"/>
              <w:rPr>
                <w:rFonts w:hint="eastAsia"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5D7D6333">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5D8D31AA">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021" w:type="dxa"/>
            <w:vAlign w:val="center"/>
          </w:tcPr>
          <w:p w14:paraId="2C20EED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7FCF5A1E">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w:t>
            </w:r>
          </w:p>
        </w:tc>
        <w:tc>
          <w:tcPr>
            <w:tcW w:w="853" w:type="dxa"/>
            <w:vAlign w:val="center"/>
          </w:tcPr>
          <w:p w14:paraId="7472E4E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642776C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0.72</w:t>
            </w:r>
          </w:p>
        </w:tc>
        <w:tc>
          <w:tcPr>
            <w:tcW w:w="1382" w:type="dxa"/>
            <w:vAlign w:val="center"/>
          </w:tcPr>
          <w:p w14:paraId="7C056C4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216</w:t>
            </w:r>
          </w:p>
        </w:tc>
        <w:tc>
          <w:tcPr>
            <w:tcW w:w="958" w:type="dxa"/>
            <w:vAlign w:val="center"/>
          </w:tcPr>
          <w:p w14:paraId="11071F5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360</w:t>
            </w:r>
          </w:p>
        </w:tc>
        <w:tc>
          <w:tcPr>
            <w:tcW w:w="661" w:type="dxa"/>
            <w:vAlign w:val="center"/>
          </w:tcPr>
          <w:p w14:paraId="62BC107B">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3CE10D56">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含镍废水</w:t>
            </w:r>
          </w:p>
        </w:tc>
      </w:tr>
      <w:tr w14:paraId="405EBA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415" w:type="dxa"/>
            <w:vMerge w:val="continue"/>
            <w:vAlign w:val="center"/>
          </w:tcPr>
          <w:p w14:paraId="6A033667">
            <w:pPr>
              <w:pStyle w:val="41"/>
              <w:rPr>
                <w:rFonts w:hint="default" w:ascii="Times New Roman" w:hAnsi="Times New Roman" w:cs="Times New Roman"/>
                <w:color w:val="auto"/>
                <w:u w:val="none"/>
              </w:rPr>
            </w:pPr>
          </w:p>
        </w:tc>
        <w:tc>
          <w:tcPr>
            <w:tcW w:w="1158" w:type="dxa"/>
            <w:vAlign w:val="center"/>
          </w:tcPr>
          <w:p w14:paraId="3C7A1D0D">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热水洗</w:t>
            </w:r>
          </w:p>
        </w:tc>
        <w:tc>
          <w:tcPr>
            <w:tcW w:w="675" w:type="dxa"/>
            <w:vAlign w:val="center"/>
          </w:tcPr>
          <w:p w14:paraId="13DAD2D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1200</w:t>
            </w:r>
          </w:p>
        </w:tc>
        <w:tc>
          <w:tcPr>
            <w:tcW w:w="697" w:type="dxa"/>
            <w:vAlign w:val="center"/>
          </w:tcPr>
          <w:p w14:paraId="187A4B7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800</w:t>
            </w:r>
          </w:p>
        </w:tc>
        <w:tc>
          <w:tcPr>
            <w:tcW w:w="697" w:type="dxa"/>
            <w:vAlign w:val="center"/>
          </w:tcPr>
          <w:p w14:paraId="7F16FDB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1000</w:t>
            </w:r>
          </w:p>
        </w:tc>
        <w:tc>
          <w:tcPr>
            <w:tcW w:w="759" w:type="dxa"/>
            <w:vAlign w:val="center"/>
          </w:tcPr>
          <w:p w14:paraId="12F34509">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6C638CF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021" w:type="dxa"/>
            <w:vAlign w:val="center"/>
          </w:tcPr>
          <w:p w14:paraId="3DF760B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w:t>
            </w:r>
          </w:p>
        </w:tc>
        <w:tc>
          <w:tcPr>
            <w:tcW w:w="1017" w:type="dxa"/>
            <w:vAlign w:val="center"/>
          </w:tcPr>
          <w:p w14:paraId="52AB40C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1.4</w:t>
            </w:r>
          </w:p>
        </w:tc>
        <w:tc>
          <w:tcPr>
            <w:tcW w:w="853" w:type="dxa"/>
            <w:vAlign w:val="center"/>
          </w:tcPr>
          <w:p w14:paraId="1B0DDE48">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845" w:type="dxa"/>
            <w:vAlign w:val="center"/>
          </w:tcPr>
          <w:p w14:paraId="48883612">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0.96</w:t>
            </w:r>
          </w:p>
        </w:tc>
        <w:tc>
          <w:tcPr>
            <w:tcW w:w="1382" w:type="dxa"/>
            <w:vAlign w:val="center"/>
          </w:tcPr>
          <w:p w14:paraId="7304D50D">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288</w:t>
            </w:r>
          </w:p>
        </w:tc>
        <w:tc>
          <w:tcPr>
            <w:tcW w:w="958" w:type="dxa"/>
            <w:vAlign w:val="center"/>
          </w:tcPr>
          <w:p w14:paraId="3AF477D6">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320</w:t>
            </w:r>
          </w:p>
        </w:tc>
        <w:tc>
          <w:tcPr>
            <w:tcW w:w="661" w:type="dxa"/>
            <w:vAlign w:val="center"/>
          </w:tcPr>
          <w:p w14:paraId="2FAD7F48">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纯水</w:t>
            </w:r>
          </w:p>
        </w:tc>
        <w:tc>
          <w:tcPr>
            <w:tcW w:w="1602" w:type="dxa"/>
            <w:vAlign w:val="center"/>
          </w:tcPr>
          <w:p w14:paraId="3066A3F1">
            <w:pPr>
              <w:pStyle w:val="41"/>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一般废水</w:t>
            </w:r>
          </w:p>
        </w:tc>
      </w:tr>
    </w:tbl>
    <w:p w14:paraId="09EDE086">
      <w:pPr>
        <w:ind w:firstLine="0" w:firstLineChars="0"/>
        <w:rPr>
          <w:rFonts w:hint="default" w:ascii="Times New Roman" w:hAnsi="Times New Roman" w:cs="Times New Roman"/>
          <w:color w:val="FF0000"/>
          <w:u w:val="none"/>
        </w:rPr>
      </w:pPr>
    </w:p>
    <w:p w14:paraId="5396AC6C">
      <w:pPr>
        <w:pStyle w:val="42"/>
        <w:rPr>
          <w:rFonts w:hint="default" w:ascii="Times New Roman" w:hAnsi="Times New Roman" w:cs="Times New Roman"/>
          <w:b w:val="0"/>
          <w:color w:val="auto"/>
          <w:u w:val="none"/>
        </w:rPr>
        <w:sectPr>
          <w:pgSz w:w="16838" w:h="11906" w:orient="landscape"/>
          <w:pgMar w:top="1077" w:right="1134" w:bottom="1077" w:left="1134" w:header="851" w:footer="850" w:gutter="0"/>
          <w:pgBorders>
            <w:top w:val="none" w:sz="0" w:space="0"/>
            <w:left w:val="none" w:sz="0" w:space="0"/>
            <w:bottom w:val="none" w:sz="0" w:space="0"/>
            <w:right w:val="none" w:sz="0" w:space="0"/>
          </w:pgBorders>
          <w:pgNumType w:fmt="decimal"/>
          <w:cols w:space="0" w:num="1"/>
          <w:docGrid w:linePitch="312" w:charSpace="0"/>
        </w:sectPr>
      </w:pPr>
    </w:p>
    <w:p w14:paraId="05C734F5">
      <w:pPr>
        <w:ind w:left="0" w:leftChars="0" w:firstLine="0" w:firstLineChars="0"/>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drawing>
          <wp:inline distT="0" distB="0" distL="114300" distR="114300">
            <wp:extent cx="5324475" cy="6626860"/>
            <wp:effectExtent l="0" t="0" r="9525" b="2540"/>
            <wp:docPr id="12" name="图片 12" descr="1111111111111111111位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111111111111111111位置_01"/>
                    <pic:cNvPicPr>
                      <a:picLocks noChangeAspect="1"/>
                    </pic:cNvPicPr>
                  </pic:nvPicPr>
                  <pic:blipFill>
                    <a:blip r:embed="rId20"/>
                    <a:stretch>
                      <a:fillRect/>
                    </a:stretch>
                  </pic:blipFill>
                  <pic:spPr>
                    <a:xfrm>
                      <a:off x="0" y="0"/>
                      <a:ext cx="5324475" cy="6626860"/>
                    </a:xfrm>
                    <a:prstGeom prst="rect">
                      <a:avLst/>
                    </a:prstGeom>
                  </pic:spPr>
                </pic:pic>
              </a:graphicData>
            </a:graphic>
          </wp:inline>
        </w:drawing>
      </w:r>
    </w:p>
    <w:p w14:paraId="5FA3CB1E">
      <w:pPr>
        <w:ind w:left="0" w:leftChars="0" w:firstLine="0" w:firstLineChars="0"/>
        <w:jc w:val="center"/>
        <w:rPr>
          <w:rFonts w:hint="default" w:ascii="Times New Roman" w:hAnsi="Times New Roman" w:cs="Times New Roman"/>
          <w:b/>
          <w:bCs/>
          <w:color w:val="auto"/>
          <w:u w:val="none"/>
        </w:rPr>
      </w:pPr>
      <w:r>
        <w:rPr>
          <w:rFonts w:hint="default" w:ascii="Times New Roman" w:hAnsi="Times New Roman" w:cs="Times New Roman"/>
          <w:b/>
          <w:bCs/>
        </w:rPr>
        <w:t xml:space="preserve">图4.3-1  </w:t>
      </w:r>
      <w:r>
        <w:rPr>
          <w:rFonts w:hint="default" w:ascii="Times New Roman" w:hAnsi="Times New Roman" w:cs="Times New Roman"/>
          <w:b/>
          <w:bCs/>
          <w:color w:val="auto"/>
          <w:u w:val="none"/>
        </w:rPr>
        <w:t>大</w:t>
      </w:r>
      <w:r>
        <w:rPr>
          <w:rFonts w:hint="default" w:ascii="Times New Roman" w:hAnsi="Times New Roman" w:cs="Times New Roman"/>
          <w:b/>
          <w:bCs/>
          <w:color w:val="auto"/>
          <w:u w:val="none"/>
          <w:lang w:val="en-US" w:eastAsia="zh-CN"/>
        </w:rPr>
        <w:t>线氧化</w:t>
      </w:r>
      <w:r>
        <w:rPr>
          <w:rFonts w:hint="default" w:ascii="Times New Roman" w:hAnsi="Times New Roman" w:cs="Times New Roman"/>
          <w:b/>
          <w:bCs/>
          <w:color w:val="auto"/>
          <w:u w:val="none"/>
        </w:rPr>
        <w:t>自动线生产</w:t>
      </w:r>
      <w:r>
        <w:rPr>
          <w:rFonts w:hint="default" w:ascii="Times New Roman" w:hAnsi="Times New Roman" w:cs="Times New Roman"/>
          <w:b/>
          <w:bCs/>
        </w:rPr>
        <w:t>（非含铬线）水平衡图（t/a）</w:t>
      </w:r>
    </w:p>
    <w:p w14:paraId="4797012A">
      <w:pPr>
        <w:ind w:firstLine="480"/>
        <w:rPr>
          <w:rFonts w:hint="default" w:ascii="Times New Roman" w:hAnsi="Times New Roman" w:cs="Times New Roman"/>
          <w:color w:val="auto"/>
          <w:u w:val="none"/>
        </w:rPr>
      </w:pPr>
    </w:p>
    <w:p w14:paraId="706D8500">
      <w:pPr>
        <w:ind w:firstLine="480"/>
        <w:rPr>
          <w:rFonts w:hint="default" w:ascii="Times New Roman" w:hAnsi="Times New Roman" w:cs="Times New Roman"/>
          <w:color w:val="auto"/>
          <w:u w:val="none"/>
        </w:rPr>
      </w:pPr>
    </w:p>
    <w:p w14:paraId="259C642D">
      <w:pPr>
        <w:ind w:firstLine="480"/>
        <w:rPr>
          <w:rFonts w:hint="default" w:ascii="Times New Roman" w:hAnsi="Times New Roman" w:cs="Times New Roman"/>
          <w:color w:val="auto"/>
          <w:u w:val="none"/>
        </w:rPr>
      </w:pPr>
    </w:p>
    <w:p w14:paraId="18179DBF">
      <w:pPr>
        <w:ind w:firstLine="480"/>
        <w:rPr>
          <w:rFonts w:hint="default" w:ascii="Times New Roman" w:hAnsi="Times New Roman" w:cs="Times New Roman"/>
          <w:color w:val="auto"/>
          <w:u w:val="none"/>
        </w:rPr>
      </w:pPr>
    </w:p>
    <w:p w14:paraId="0B538A8E">
      <w:pPr>
        <w:ind w:left="0" w:leftChars="0" w:firstLine="0" w:firstLineChars="0"/>
        <w:rPr>
          <w:rFonts w:hint="eastAsia" w:ascii="Times New Roman" w:hAnsi="Times New Roman" w:eastAsia="宋体" w:cs="Times New Roman"/>
          <w:color w:val="auto"/>
          <w:u w:val="none"/>
          <w:lang w:eastAsia="zh-CN"/>
        </w:rPr>
      </w:pPr>
      <w:r>
        <w:rPr>
          <w:rFonts w:hint="eastAsia" w:ascii="Times New Roman" w:hAnsi="Times New Roman" w:eastAsia="宋体" w:cs="Times New Roman"/>
          <w:color w:val="auto"/>
          <w:u w:val="none"/>
          <w:lang w:eastAsia="zh-CN"/>
        </w:rPr>
        <w:drawing>
          <wp:inline distT="0" distB="0" distL="114300" distR="114300">
            <wp:extent cx="5320030" cy="7938770"/>
            <wp:effectExtent l="0" t="0" r="13970" b="5080"/>
            <wp:docPr id="22" name="图片 22" descr="1111111111111111111位置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11111111111111111位置_01(1)"/>
                    <pic:cNvPicPr>
                      <a:picLocks noChangeAspect="1"/>
                    </pic:cNvPicPr>
                  </pic:nvPicPr>
                  <pic:blipFill>
                    <a:blip r:embed="rId21"/>
                    <a:stretch>
                      <a:fillRect/>
                    </a:stretch>
                  </pic:blipFill>
                  <pic:spPr>
                    <a:xfrm>
                      <a:off x="0" y="0"/>
                      <a:ext cx="5320030" cy="7938770"/>
                    </a:xfrm>
                    <a:prstGeom prst="rect">
                      <a:avLst/>
                    </a:prstGeom>
                  </pic:spPr>
                </pic:pic>
              </a:graphicData>
            </a:graphic>
          </wp:inline>
        </w:drawing>
      </w:r>
    </w:p>
    <w:p w14:paraId="1D8E5BFC">
      <w:pPr>
        <w:ind w:left="0" w:leftChars="0" w:firstLine="0" w:firstLineChars="0"/>
        <w:jc w:val="center"/>
        <w:rPr>
          <w:rFonts w:hint="default" w:ascii="Times New Roman" w:hAnsi="Times New Roman" w:cs="Times New Roman"/>
          <w:b/>
          <w:bCs/>
          <w:color w:val="auto"/>
          <w:u w:val="none"/>
        </w:rPr>
      </w:pPr>
      <w:r>
        <w:rPr>
          <w:rFonts w:hint="default" w:ascii="Times New Roman" w:hAnsi="Times New Roman" w:cs="Times New Roman"/>
          <w:b/>
          <w:bCs/>
        </w:rPr>
        <w:t>图4.3-</w:t>
      </w:r>
      <w:r>
        <w:rPr>
          <w:rFonts w:hint="eastAsia" w:ascii="Times New Roman" w:hAnsi="Times New Roman" w:cs="Times New Roman"/>
          <w:b/>
          <w:bCs/>
          <w:lang w:val="en-US" w:eastAsia="zh-CN"/>
        </w:rPr>
        <w:t>2</w:t>
      </w:r>
      <w:r>
        <w:rPr>
          <w:rFonts w:hint="default" w:ascii="Times New Roman" w:hAnsi="Times New Roman" w:cs="Times New Roman"/>
          <w:b/>
          <w:bCs/>
        </w:rPr>
        <w:t xml:space="preserve">  </w:t>
      </w:r>
      <w:r>
        <w:rPr>
          <w:rFonts w:hint="default" w:ascii="Times New Roman" w:hAnsi="Times New Roman" w:cs="Times New Roman"/>
          <w:b/>
          <w:bCs/>
          <w:color w:val="auto"/>
          <w:u w:val="none"/>
        </w:rPr>
        <w:t>小线</w:t>
      </w:r>
      <w:r>
        <w:rPr>
          <w:rFonts w:hint="default" w:ascii="Times New Roman" w:hAnsi="Times New Roman" w:cs="Times New Roman"/>
          <w:b/>
          <w:bCs/>
          <w:color w:val="auto"/>
          <w:u w:val="none"/>
          <w:lang w:val="en-US" w:eastAsia="zh-CN"/>
        </w:rPr>
        <w:t>氧化</w:t>
      </w:r>
      <w:r>
        <w:rPr>
          <w:rFonts w:hint="default" w:ascii="Times New Roman" w:hAnsi="Times New Roman" w:cs="Times New Roman"/>
          <w:b/>
          <w:bCs/>
          <w:color w:val="auto"/>
          <w:u w:val="none"/>
        </w:rPr>
        <w:t>自动化生产线</w:t>
      </w:r>
      <w:r>
        <w:rPr>
          <w:rFonts w:hint="default" w:ascii="Times New Roman" w:hAnsi="Times New Roman" w:cs="Times New Roman"/>
          <w:b/>
          <w:bCs/>
        </w:rPr>
        <w:t>（非含铬线）水平衡图（t/a）</w:t>
      </w:r>
    </w:p>
    <w:p w14:paraId="4F943C6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本项目设置阳极氧化线</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条，总用排水情况见下表：</w:t>
      </w:r>
    </w:p>
    <w:p w14:paraId="63EE3F8E">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表4.3-2  项目铝阳极氧化线用排水情况一览表</w:t>
      </w:r>
    </w:p>
    <w:tbl>
      <w:tblPr>
        <w:tblStyle w:val="30"/>
        <w:tblW w:w="502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545"/>
        <w:gridCol w:w="1857"/>
        <w:gridCol w:w="2278"/>
        <w:gridCol w:w="2780"/>
      </w:tblGrid>
      <w:tr w14:paraId="571923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7AA4717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序号</w:t>
            </w:r>
          </w:p>
        </w:tc>
        <w:tc>
          <w:tcPr>
            <w:tcW w:w="2443" w:type="pct"/>
            <w:gridSpan w:val="2"/>
            <w:tcBorders>
              <w:tl2br w:val="nil"/>
              <w:tr2bl w:val="nil"/>
            </w:tcBorders>
            <w:vAlign w:val="center"/>
          </w:tcPr>
          <w:p w14:paraId="109BF39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名称</w:t>
            </w:r>
          </w:p>
        </w:tc>
        <w:tc>
          <w:tcPr>
            <w:tcW w:w="1642" w:type="pct"/>
            <w:tcBorders>
              <w:right w:val="single" w:color="auto" w:sz="4" w:space="0"/>
              <w:tl2br w:val="nil"/>
              <w:tr2bl w:val="nil"/>
            </w:tcBorders>
            <w:vAlign w:val="center"/>
          </w:tcPr>
          <w:p w14:paraId="57D966A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阳极氧化生产线</w:t>
            </w:r>
          </w:p>
        </w:tc>
      </w:tr>
      <w:tr w14:paraId="605FCB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3C547583">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97" w:type="pct"/>
            <w:vMerge w:val="restart"/>
            <w:tcBorders>
              <w:right w:val="single" w:color="auto" w:sz="4" w:space="0"/>
              <w:tl2br w:val="nil"/>
              <w:tr2bl w:val="nil"/>
            </w:tcBorders>
            <w:vAlign w:val="center"/>
          </w:tcPr>
          <w:p w14:paraId="0E3F4547">
            <w:pPr>
              <w:pStyle w:val="41"/>
              <w:rPr>
                <w:rFonts w:hint="default" w:ascii="Times New Roman" w:hAnsi="Times New Roman" w:cs="Times New Roman"/>
                <w:color w:val="auto"/>
                <w:u w:val="none"/>
              </w:rPr>
            </w:pPr>
            <w:r>
              <w:rPr>
                <w:rFonts w:hint="default" w:ascii="Times New Roman" w:hAnsi="Times New Roman" w:cs="Times New Roman"/>
                <w:color w:val="auto"/>
                <w:u w:val="none"/>
              </w:rPr>
              <w:t>用水</w:t>
            </w:r>
          </w:p>
        </w:tc>
        <w:tc>
          <w:tcPr>
            <w:tcW w:w="1346" w:type="pct"/>
            <w:tcBorders>
              <w:left w:val="single" w:color="auto" w:sz="4" w:space="0"/>
              <w:tl2br w:val="nil"/>
              <w:tr2bl w:val="nil"/>
            </w:tcBorders>
            <w:vAlign w:val="center"/>
          </w:tcPr>
          <w:p w14:paraId="5489D025">
            <w:pPr>
              <w:pStyle w:val="41"/>
              <w:rPr>
                <w:rFonts w:hint="default" w:ascii="Times New Roman" w:hAnsi="Times New Roman" w:cs="Times New Roman"/>
                <w:color w:val="auto"/>
                <w:u w:val="none"/>
              </w:rPr>
            </w:pPr>
            <w:r>
              <w:rPr>
                <w:rFonts w:hint="default" w:ascii="Times New Roman" w:hAnsi="Times New Roman" w:cs="Times New Roman"/>
                <w:color w:val="auto"/>
                <w:u w:val="none"/>
              </w:rPr>
              <w:t>新鲜水（t/a）</w:t>
            </w:r>
          </w:p>
        </w:tc>
        <w:tc>
          <w:tcPr>
            <w:tcW w:w="1642" w:type="pct"/>
            <w:tcBorders>
              <w:tl2br w:val="nil"/>
              <w:tr2bl w:val="nil"/>
            </w:tcBorders>
            <w:vAlign w:val="center"/>
          </w:tcPr>
          <w:p w14:paraId="6A587B2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26155.922</w:t>
            </w:r>
          </w:p>
        </w:tc>
      </w:tr>
      <w:tr w14:paraId="7BC3DC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38FB4A94">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097" w:type="pct"/>
            <w:vMerge w:val="continue"/>
            <w:tcBorders>
              <w:right w:val="single" w:color="auto" w:sz="4" w:space="0"/>
              <w:tl2br w:val="nil"/>
              <w:tr2bl w:val="nil"/>
            </w:tcBorders>
            <w:vAlign w:val="center"/>
          </w:tcPr>
          <w:p w14:paraId="21F3057A">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0C2EE4FB">
            <w:pPr>
              <w:pStyle w:val="41"/>
              <w:rPr>
                <w:rFonts w:hint="default" w:ascii="Times New Roman" w:hAnsi="Times New Roman" w:cs="Times New Roman"/>
                <w:color w:val="auto"/>
                <w:u w:val="none"/>
              </w:rPr>
            </w:pPr>
            <w:r>
              <w:rPr>
                <w:rFonts w:hint="default" w:ascii="Times New Roman" w:hAnsi="Times New Roman" w:cs="Times New Roman"/>
                <w:color w:val="auto"/>
                <w:u w:val="none"/>
              </w:rPr>
              <w:t>回用水（t/a）</w:t>
            </w:r>
          </w:p>
        </w:tc>
        <w:tc>
          <w:tcPr>
            <w:tcW w:w="1642" w:type="pct"/>
            <w:tcBorders>
              <w:tl2br w:val="nil"/>
              <w:tr2bl w:val="nil"/>
            </w:tcBorders>
            <w:vAlign w:val="center"/>
          </w:tcPr>
          <w:p w14:paraId="1B2B538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8503.078</w:t>
            </w:r>
          </w:p>
        </w:tc>
      </w:tr>
      <w:tr w14:paraId="2EE48B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5FF4B520">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1097" w:type="pct"/>
            <w:vMerge w:val="continue"/>
            <w:tcBorders>
              <w:right w:val="single" w:color="auto" w:sz="4" w:space="0"/>
              <w:tl2br w:val="nil"/>
              <w:tr2bl w:val="nil"/>
            </w:tcBorders>
            <w:vAlign w:val="center"/>
          </w:tcPr>
          <w:p w14:paraId="48499376">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36B1B989">
            <w:pPr>
              <w:pStyle w:val="41"/>
              <w:rPr>
                <w:rFonts w:hint="default" w:ascii="Times New Roman" w:hAnsi="Times New Roman" w:cs="Times New Roman"/>
                <w:color w:val="auto"/>
                <w:u w:val="none"/>
              </w:rPr>
            </w:pPr>
            <w:r>
              <w:rPr>
                <w:rFonts w:hint="default" w:ascii="Times New Roman" w:hAnsi="Times New Roman" w:cs="Times New Roman"/>
                <w:color w:val="auto"/>
                <w:u w:val="none"/>
              </w:rPr>
              <w:t>合计（t/a）</w:t>
            </w:r>
          </w:p>
        </w:tc>
        <w:tc>
          <w:tcPr>
            <w:tcW w:w="1642" w:type="pct"/>
            <w:tcBorders>
              <w:tl2br w:val="nil"/>
              <w:tr2bl w:val="nil"/>
            </w:tcBorders>
            <w:shd w:val="clear" w:color="auto" w:fill="auto"/>
            <w:vAlign w:val="bottom"/>
          </w:tcPr>
          <w:p w14:paraId="6377BE6E">
            <w:pPr>
              <w:pStyle w:val="41"/>
              <w:rPr>
                <w:rFonts w:hint="default" w:cs="Times New Roman"/>
                <w:color w:val="auto"/>
                <w:u w:val="none"/>
                <w:lang w:val="en-US" w:eastAsia="zh-CN"/>
              </w:rPr>
            </w:pPr>
            <w:r>
              <w:rPr>
                <w:rFonts w:hint="eastAsia" w:cs="Times New Roman"/>
                <w:color w:val="auto"/>
                <w:u w:val="none"/>
                <w:lang w:val="en-US" w:eastAsia="zh-CN"/>
              </w:rPr>
              <w:t>34659</w:t>
            </w:r>
          </w:p>
        </w:tc>
      </w:tr>
      <w:tr w14:paraId="1CD5F3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36EE8124">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097" w:type="pct"/>
            <w:vMerge w:val="restart"/>
            <w:tcBorders>
              <w:right w:val="single" w:color="auto" w:sz="4" w:space="0"/>
              <w:tl2br w:val="nil"/>
              <w:tr2bl w:val="nil"/>
            </w:tcBorders>
            <w:vAlign w:val="center"/>
          </w:tcPr>
          <w:p w14:paraId="52B5DE9D">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w:t>
            </w:r>
          </w:p>
        </w:tc>
        <w:tc>
          <w:tcPr>
            <w:tcW w:w="1346" w:type="pct"/>
            <w:tcBorders>
              <w:left w:val="single" w:color="auto" w:sz="4" w:space="0"/>
              <w:tl2br w:val="nil"/>
              <w:tr2bl w:val="nil"/>
            </w:tcBorders>
            <w:vAlign w:val="center"/>
          </w:tcPr>
          <w:p w14:paraId="4C81A22F">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含油废水（t/a）</w:t>
            </w:r>
          </w:p>
        </w:tc>
        <w:tc>
          <w:tcPr>
            <w:tcW w:w="1642" w:type="pct"/>
            <w:tcBorders>
              <w:tl2br w:val="nil"/>
              <w:tr2bl w:val="nil"/>
            </w:tcBorders>
            <w:vAlign w:val="center"/>
          </w:tcPr>
          <w:p w14:paraId="14674766">
            <w:pPr>
              <w:pStyle w:val="41"/>
              <w:rPr>
                <w:rFonts w:hint="default" w:cs="Times New Roman"/>
                <w:color w:val="auto"/>
                <w:u w:val="none"/>
                <w:lang w:val="en-US" w:eastAsia="zh-CN"/>
              </w:rPr>
            </w:pPr>
            <w:r>
              <w:rPr>
                <w:rFonts w:hint="eastAsia" w:cs="Times New Roman"/>
                <w:color w:val="auto"/>
                <w:u w:val="none"/>
                <w:lang w:val="en-US" w:eastAsia="zh-CN"/>
              </w:rPr>
              <w:t>334</w:t>
            </w:r>
          </w:p>
        </w:tc>
      </w:tr>
      <w:tr w14:paraId="009BCF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24A6236F">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097" w:type="pct"/>
            <w:vMerge w:val="continue"/>
            <w:tcBorders>
              <w:right w:val="single" w:color="auto" w:sz="4" w:space="0"/>
              <w:tl2br w:val="nil"/>
              <w:tr2bl w:val="nil"/>
            </w:tcBorders>
            <w:vAlign w:val="center"/>
          </w:tcPr>
          <w:p w14:paraId="2B9F4C07">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3CC781A1">
            <w:pPr>
              <w:pStyle w:val="41"/>
              <w:rPr>
                <w:rFonts w:hint="default" w:ascii="Times New Roman" w:hAnsi="Times New Roman" w:cs="Times New Roman"/>
                <w:color w:val="auto"/>
                <w:u w:val="none"/>
              </w:rPr>
            </w:pPr>
            <w:r>
              <w:rPr>
                <w:rFonts w:hint="default" w:ascii="Times New Roman" w:hAnsi="Times New Roman" w:cs="Times New Roman"/>
                <w:color w:val="auto"/>
                <w:u w:val="none"/>
              </w:rPr>
              <w:t>碱废液（t/a）</w:t>
            </w:r>
          </w:p>
        </w:tc>
        <w:tc>
          <w:tcPr>
            <w:tcW w:w="1642" w:type="pct"/>
            <w:tcBorders>
              <w:tl2br w:val="nil"/>
              <w:tr2bl w:val="nil"/>
            </w:tcBorders>
            <w:vAlign w:val="center"/>
          </w:tcPr>
          <w:p w14:paraId="7DA4D15E">
            <w:pPr>
              <w:pStyle w:val="41"/>
              <w:rPr>
                <w:rFonts w:hint="default" w:cs="Times New Roman"/>
                <w:color w:val="auto"/>
                <w:u w:val="none"/>
                <w:lang w:val="en-US" w:eastAsia="zh-CN"/>
              </w:rPr>
            </w:pPr>
            <w:r>
              <w:rPr>
                <w:rFonts w:hint="eastAsia" w:cs="Times New Roman"/>
                <w:color w:val="auto"/>
                <w:u w:val="none"/>
                <w:lang w:val="en-US" w:eastAsia="zh-CN"/>
              </w:rPr>
              <w:t>2019.4</w:t>
            </w:r>
          </w:p>
        </w:tc>
      </w:tr>
      <w:tr w14:paraId="2A4B5B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44B187D8">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097" w:type="pct"/>
            <w:vMerge w:val="continue"/>
            <w:tcBorders>
              <w:right w:val="single" w:color="auto" w:sz="4" w:space="0"/>
              <w:tl2br w:val="nil"/>
              <w:tr2bl w:val="nil"/>
            </w:tcBorders>
            <w:vAlign w:val="center"/>
          </w:tcPr>
          <w:p w14:paraId="2548F23B">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577E7F09">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含磷废水（液）（t/a）</w:t>
            </w:r>
          </w:p>
        </w:tc>
        <w:tc>
          <w:tcPr>
            <w:tcW w:w="1642" w:type="pct"/>
            <w:tcBorders>
              <w:tl2br w:val="nil"/>
              <w:tr2bl w:val="nil"/>
            </w:tcBorders>
            <w:vAlign w:val="center"/>
          </w:tcPr>
          <w:p w14:paraId="04E826A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578.4</w:t>
            </w:r>
          </w:p>
        </w:tc>
      </w:tr>
      <w:tr w14:paraId="0B9057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4FCADB12">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1097" w:type="pct"/>
            <w:vMerge w:val="continue"/>
            <w:tcBorders>
              <w:right w:val="single" w:color="auto" w:sz="4" w:space="0"/>
              <w:tl2br w:val="nil"/>
              <w:tr2bl w:val="nil"/>
            </w:tcBorders>
            <w:vAlign w:val="center"/>
          </w:tcPr>
          <w:p w14:paraId="20392A3A">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5C3D9309">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含镍废液（t/a）</w:t>
            </w:r>
          </w:p>
        </w:tc>
        <w:tc>
          <w:tcPr>
            <w:tcW w:w="1642" w:type="pct"/>
            <w:tcBorders>
              <w:tl2br w:val="nil"/>
              <w:tr2bl w:val="nil"/>
            </w:tcBorders>
            <w:vAlign w:val="center"/>
          </w:tcPr>
          <w:p w14:paraId="4D5233A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357.8</w:t>
            </w:r>
          </w:p>
        </w:tc>
      </w:tr>
      <w:tr w14:paraId="44F965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49B519A2">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1097" w:type="pct"/>
            <w:vMerge w:val="continue"/>
            <w:tcBorders>
              <w:right w:val="single" w:color="auto" w:sz="4" w:space="0"/>
              <w:tl2br w:val="nil"/>
              <w:tr2bl w:val="nil"/>
            </w:tcBorders>
            <w:vAlign w:val="center"/>
          </w:tcPr>
          <w:p w14:paraId="488C7705">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01B1A472">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含镍废水（t/a）</w:t>
            </w:r>
          </w:p>
        </w:tc>
        <w:tc>
          <w:tcPr>
            <w:tcW w:w="1642" w:type="pct"/>
            <w:tcBorders>
              <w:tl2br w:val="nil"/>
              <w:tr2bl w:val="nil"/>
            </w:tcBorders>
            <w:vAlign w:val="center"/>
          </w:tcPr>
          <w:p w14:paraId="05BFFA4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3795</w:t>
            </w:r>
          </w:p>
        </w:tc>
      </w:tr>
      <w:tr w14:paraId="0A2DD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28182F38">
            <w:pPr>
              <w:pStyle w:val="41"/>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1097" w:type="pct"/>
            <w:vMerge w:val="continue"/>
            <w:tcBorders>
              <w:right w:val="single" w:color="auto" w:sz="4" w:space="0"/>
              <w:tl2br w:val="nil"/>
              <w:tr2bl w:val="nil"/>
            </w:tcBorders>
            <w:vAlign w:val="center"/>
          </w:tcPr>
          <w:p w14:paraId="384E77EB">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17B615F6">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含铬废水（t/a）</w:t>
            </w:r>
          </w:p>
        </w:tc>
        <w:tc>
          <w:tcPr>
            <w:tcW w:w="1642" w:type="pct"/>
            <w:tcBorders>
              <w:tl2br w:val="nil"/>
              <w:tr2bl w:val="nil"/>
            </w:tcBorders>
            <w:vAlign w:val="center"/>
          </w:tcPr>
          <w:p w14:paraId="34EA347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3436</w:t>
            </w:r>
          </w:p>
        </w:tc>
      </w:tr>
      <w:tr w14:paraId="3C7F34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44AEBD4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w:t>
            </w:r>
          </w:p>
        </w:tc>
        <w:tc>
          <w:tcPr>
            <w:tcW w:w="1097" w:type="pct"/>
            <w:vMerge w:val="continue"/>
            <w:tcBorders>
              <w:right w:val="single" w:color="auto" w:sz="4" w:space="0"/>
              <w:tl2br w:val="nil"/>
              <w:tr2bl w:val="nil"/>
            </w:tcBorders>
            <w:vAlign w:val="center"/>
          </w:tcPr>
          <w:p w14:paraId="21E84B73">
            <w:pPr>
              <w:pStyle w:val="41"/>
              <w:rPr>
                <w:rFonts w:hint="default" w:ascii="Times New Roman" w:hAnsi="Times New Roman" w:cs="Times New Roman"/>
                <w:color w:val="auto"/>
                <w:u w:val="none"/>
              </w:rPr>
            </w:pPr>
          </w:p>
        </w:tc>
        <w:tc>
          <w:tcPr>
            <w:tcW w:w="1346" w:type="pct"/>
            <w:tcBorders>
              <w:left w:val="single" w:color="auto" w:sz="4" w:space="0"/>
              <w:tl2br w:val="nil"/>
              <w:tr2bl w:val="nil"/>
            </w:tcBorders>
            <w:vAlign w:val="center"/>
          </w:tcPr>
          <w:p w14:paraId="41E6796B">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一般废水（t/a）</w:t>
            </w:r>
          </w:p>
        </w:tc>
        <w:tc>
          <w:tcPr>
            <w:tcW w:w="1642" w:type="pct"/>
            <w:tcBorders>
              <w:tl2br w:val="nil"/>
              <w:tr2bl w:val="nil"/>
            </w:tcBorders>
            <w:vAlign w:val="center"/>
          </w:tcPr>
          <w:p w14:paraId="5B3FDF7E">
            <w:pPr>
              <w:pStyle w:val="41"/>
              <w:rPr>
                <w:rFonts w:hint="default" w:cs="Times New Roman"/>
                <w:color w:val="auto"/>
                <w:u w:val="none"/>
                <w:lang w:val="en-US" w:eastAsia="zh-CN"/>
              </w:rPr>
            </w:pPr>
            <w:r>
              <w:rPr>
                <w:rFonts w:hint="eastAsia" w:cs="Times New Roman"/>
                <w:color w:val="auto"/>
                <w:u w:val="none"/>
                <w:lang w:val="en-US" w:eastAsia="zh-CN"/>
              </w:rPr>
              <w:t>11162.51429</w:t>
            </w:r>
          </w:p>
        </w:tc>
      </w:tr>
      <w:tr w14:paraId="26BC8E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13" w:type="pct"/>
            <w:tcBorders>
              <w:tl2br w:val="nil"/>
              <w:tr2bl w:val="nil"/>
            </w:tcBorders>
            <w:vAlign w:val="center"/>
          </w:tcPr>
          <w:p w14:paraId="42770AB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w:t>
            </w:r>
          </w:p>
        </w:tc>
        <w:tc>
          <w:tcPr>
            <w:tcW w:w="2443" w:type="pct"/>
            <w:gridSpan w:val="2"/>
            <w:tcBorders>
              <w:tl2br w:val="nil"/>
              <w:tr2bl w:val="nil"/>
            </w:tcBorders>
            <w:vAlign w:val="center"/>
          </w:tcPr>
          <w:p w14:paraId="369321C8">
            <w:pPr>
              <w:pStyle w:val="41"/>
              <w:rPr>
                <w:rFonts w:hint="default" w:ascii="Times New Roman" w:hAnsi="Times New Roman" w:cs="Times New Roman"/>
                <w:color w:val="auto"/>
                <w:u w:val="none"/>
              </w:rPr>
            </w:pPr>
            <w:r>
              <w:rPr>
                <w:rFonts w:hint="default" w:ascii="Times New Roman" w:hAnsi="Times New Roman" w:cs="Times New Roman"/>
                <w:color w:val="auto"/>
                <w:u w:val="none"/>
              </w:rPr>
              <w:t>损耗</w:t>
            </w:r>
          </w:p>
        </w:tc>
        <w:tc>
          <w:tcPr>
            <w:tcW w:w="1642" w:type="pct"/>
            <w:tcBorders>
              <w:tl2br w:val="nil"/>
              <w:tr2bl w:val="nil"/>
            </w:tcBorders>
            <w:vAlign w:val="center"/>
          </w:tcPr>
          <w:p w14:paraId="68E0EEE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11157.28571</w:t>
            </w:r>
          </w:p>
        </w:tc>
      </w:tr>
    </w:tbl>
    <w:p w14:paraId="35755532">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②</w:t>
      </w:r>
      <w:r>
        <w:rPr>
          <w:rFonts w:hint="default" w:ascii="Times New Roman" w:hAnsi="Times New Roman" w:cs="Times New Roman"/>
          <w:color w:val="auto"/>
          <w:u w:val="none"/>
        </w:rPr>
        <w:t>喷淋用水</w:t>
      </w:r>
    </w:p>
    <w:p w14:paraId="3E0C728B">
      <w:pPr>
        <w:ind w:firstLine="480"/>
        <w:rPr>
          <w:rFonts w:hint="default" w:ascii="Times New Roman" w:hAnsi="Times New Roman" w:cs="Times New Roman"/>
          <w:color w:val="FF0000"/>
          <w:u w:val="none"/>
        </w:rPr>
        <w:sectPr>
          <w:pgSz w:w="11905" w:h="16838"/>
          <w:pgMar w:top="1757" w:right="1757" w:bottom="1757" w:left="1757" w:header="851" w:footer="850" w:gutter="0"/>
          <w:pgBorders>
            <w:top w:val="none" w:sz="0" w:space="0"/>
            <w:left w:val="none" w:sz="0" w:space="0"/>
            <w:bottom w:val="none" w:sz="0" w:space="0"/>
            <w:right w:val="none" w:sz="0" w:space="0"/>
          </w:pgBorders>
          <w:pgNumType w:fmt="decimal"/>
          <w:cols w:space="0" w:num="1"/>
          <w:rtlGutter w:val="0"/>
          <w:docGrid w:linePitch="312" w:charSpace="0"/>
        </w:sectPr>
      </w:pPr>
      <w:r>
        <w:rPr>
          <w:rFonts w:hint="default" w:ascii="Times New Roman" w:hAnsi="Times New Roman" w:cs="Times New Roman"/>
          <w:color w:val="auto"/>
          <w:u w:val="none"/>
        </w:rPr>
        <w:t>项目酸性废气使用</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台碱液喷淋塔喷淋净化处理，其中喷淋水流量为</w:t>
      </w:r>
      <w:r>
        <w:rPr>
          <w:rFonts w:hint="eastAsia" w:ascii="Times New Roman" w:hAnsi="Times New Roman" w:cs="Times New Roman"/>
          <w:color w:val="auto"/>
          <w:u w:val="none"/>
          <w:lang w:val="en-US" w:eastAsia="zh-CN"/>
        </w:rPr>
        <w:t>24</w:t>
      </w:r>
      <w:r>
        <w:rPr>
          <w:rFonts w:hint="default" w:ascii="Times New Roman" w:hAnsi="Times New Roman" w:cs="Times New Roman"/>
          <w:color w:val="auto"/>
          <w:u w:val="none"/>
        </w:rPr>
        <w:t>t/h（</w:t>
      </w:r>
      <w:r>
        <w:rPr>
          <w:rFonts w:hint="eastAsia" w:ascii="Times New Roman" w:hAnsi="Times New Roman" w:cs="Times New Roman"/>
          <w:color w:val="auto"/>
          <w:u w:val="none"/>
          <w:lang w:val="en-US" w:eastAsia="zh-CN"/>
        </w:rPr>
        <w:t>172800</w:t>
      </w:r>
      <w:r>
        <w:rPr>
          <w:rFonts w:hint="default" w:ascii="Times New Roman" w:hAnsi="Times New Roman" w:cs="Times New Roman"/>
          <w:color w:val="auto"/>
          <w:u w:val="none"/>
        </w:rPr>
        <w:t>t/a），定期补充损耗量，补充水（自来水）量约为循环</w:t>
      </w:r>
      <w:r>
        <w:rPr>
          <w:rFonts w:hint="eastAsia" w:ascii="Times New Roman" w:hAnsi="Times New Roman" w:cs="Times New Roman"/>
          <w:color w:val="auto"/>
          <w:u w:val="none"/>
          <w:lang w:val="en-US" w:eastAsia="zh-CN"/>
        </w:rPr>
        <w:t xml:space="preserve"> </w:t>
      </w:r>
      <w:r>
        <w:rPr>
          <w:rFonts w:hint="default" w:ascii="Times New Roman" w:hAnsi="Times New Roman" w:cs="Times New Roman"/>
          <w:color w:val="auto"/>
          <w:u w:val="none"/>
        </w:rPr>
        <w:t>水量的1-2%，项目取1</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%，则喷淋塔损耗水补充量约为</w:t>
      </w:r>
      <w:r>
        <w:rPr>
          <w:rFonts w:hint="eastAsia" w:ascii="Times New Roman" w:hAnsi="Times New Roman" w:cs="Times New Roman"/>
          <w:color w:val="auto"/>
          <w:u w:val="none"/>
          <w:lang w:val="en-US" w:eastAsia="zh-CN"/>
        </w:rPr>
        <w:t>2592</w:t>
      </w:r>
      <w:r>
        <w:rPr>
          <w:rFonts w:hint="default" w:ascii="Times New Roman" w:hAnsi="Times New Roman" w:cs="Times New Roman"/>
          <w:color w:val="auto"/>
          <w:u w:val="none"/>
        </w:rPr>
        <w:t>t/a。喷淋塔内在线水需定期更换，依据项目设计资料，</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台喷淋塔在线水量分别为</w:t>
      </w: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t，每台每季度更换1次，则项目喷淋塔废水产生量为</w:t>
      </w:r>
      <w:r>
        <w:rPr>
          <w:rFonts w:hint="eastAsia" w:ascii="Times New Roman" w:hAnsi="Times New Roman" w:cs="Times New Roman"/>
          <w:color w:val="auto"/>
          <w:u w:val="none"/>
          <w:lang w:val="en-US" w:eastAsia="zh-CN"/>
        </w:rPr>
        <w:t>24</w:t>
      </w:r>
      <w:r>
        <w:rPr>
          <w:rFonts w:hint="default" w:ascii="Times New Roman" w:hAnsi="Times New Roman" w:cs="Times New Roman"/>
          <w:color w:val="auto"/>
          <w:u w:val="none"/>
        </w:rPr>
        <w:t>t/a，主要污染物为COD、SS等，排入中和池预处理后，进入综合废水处理站集中处理。</w:t>
      </w:r>
    </w:p>
    <w:p w14:paraId="4C9BDA35">
      <w:pPr>
        <w:pStyle w:val="4"/>
        <w:ind w:left="0" w:leftChars="0" w:firstLineChars="0"/>
        <w:rPr>
          <w:rFonts w:hint="default" w:ascii="Times New Roman" w:hAnsi="Times New Roman" w:cs="Times New Roman"/>
          <w:color w:val="auto"/>
          <w:u w:val="none"/>
        </w:rPr>
      </w:pPr>
      <w:bookmarkStart w:id="94" w:name="_Toc12507"/>
      <w:r>
        <w:rPr>
          <w:rFonts w:hint="default" w:ascii="Times New Roman" w:hAnsi="Times New Roman" w:cs="Times New Roman"/>
          <w:color w:val="auto"/>
          <w:u w:val="none"/>
        </w:rPr>
        <w:t>物料平衡</w:t>
      </w:r>
      <w:bookmarkEnd w:id="94"/>
    </w:p>
    <w:p w14:paraId="16B8526F">
      <w:pPr>
        <w:pStyle w:val="5"/>
        <w:rPr>
          <w:rFonts w:hint="default" w:ascii="Times New Roman" w:hAnsi="Times New Roman" w:cs="Times New Roman"/>
          <w:color w:val="auto"/>
          <w:u w:val="none"/>
        </w:rPr>
      </w:pPr>
      <w:r>
        <w:rPr>
          <w:rFonts w:hint="default" w:ascii="Times New Roman" w:hAnsi="Times New Roman" w:cs="Times New Roman"/>
          <w:color w:val="auto"/>
          <w:u w:val="none"/>
        </w:rPr>
        <w:t>镍平衡</w:t>
      </w:r>
    </w:p>
    <w:p w14:paraId="440AE83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项目含镍封孔剂用量约</w:t>
      </w:r>
      <w:r>
        <w:rPr>
          <w:rFonts w:hint="eastAsia" w:ascii="Times New Roman" w:hAnsi="Times New Roman" w:cs="Times New Roman"/>
          <w:color w:val="auto"/>
          <w:u w:val="none"/>
          <w:lang w:val="en-US" w:eastAsia="zh-CN"/>
        </w:rPr>
        <w:t>18.4</w:t>
      </w:r>
      <w:r>
        <w:rPr>
          <w:rFonts w:hint="default" w:ascii="Times New Roman" w:hAnsi="Times New Roman" w:cs="Times New Roman"/>
          <w:color w:val="auto"/>
          <w:u w:val="none"/>
        </w:rPr>
        <w:t>t/a，其中C</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rPr>
        <w:t>H</w:t>
      </w:r>
      <w:r>
        <w:rPr>
          <w:rFonts w:hint="default" w:ascii="Times New Roman" w:hAnsi="Times New Roman" w:cs="Times New Roman"/>
          <w:color w:val="auto"/>
          <w:u w:val="none"/>
          <w:vertAlign w:val="subscript"/>
        </w:rPr>
        <w:t>6</w:t>
      </w:r>
      <w:r>
        <w:rPr>
          <w:rFonts w:hint="default" w:ascii="Times New Roman" w:hAnsi="Times New Roman" w:cs="Times New Roman"/>
          <w:color w:val="auto"/>
          <w:u w:val="none"/>
        </w:rPr>
        <w:t>O</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rPr>
        <w:t>Ni含量</w:t>
      </w:r>
      <w:r>
        <w:rPr>
          <w:rFonts w:hint="eastAsia" w:ascii="Times New Roman" w:hAnsi="Times New Roman" w:cs="Times New Roman"/>
          <w:color w:val="auto"/>
          <w:u w:val="none"/>
          <w:lang w:val="en-US" w:eastAsia="zh-CN"/>
        </w:rPr>
        <w:t>55</w:t>
      </w:r>
      <w:r>
        <w:rPr>
          <w:rFonts w:hint="default" w:ascii="Times New Roman" w:hAnsi="Times New Roman" w:cs="Times New Roman"/>
          <w:color w:val="auto"/>
          <w:u w:val="none"/>
        </w:rPr>
        <w:t>%，折镍用量为：</w:t>
      </w:r>
      <w:r>
        <w:rPr>
          <w:rFonts w:hint="eastAsia" w:ascii="Times New Roman" w:hAnsi="Times New Roman" w:cs="Times New Roman"/>
          <w:color w:val="auto"/>
          <w:u w:val="none"/>
          <w:lang w:val="en-US" w:eastAsia="zh-CN"/>
        </w:rPr>
        <w:t>10.12</w:t>
      </w:r>
      <w:r>
        <w:rPr>
          <w:rFonts w:hint="default" w:ascii="Times New Roman" w:hAnsi="Times New Roman" w:cs="Times New Roman"/>
          <w:color w:val="auto"/>
          <w:u w:val="none"/>
        </w:rPr>
        <w:t>t/a。项目镍平衡见表4.4-1。</w:t>
      </w:r>
    </w:p>
    <w:p w14:paraId="408ACE2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表4.4-1</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本项目镍平衡表</w:t>
      </w:r>
    </w:p>
    <w:tbl>
      <w:tblPr>
        <w:tblStyle w:val="30"/>
        <w:tblW w:w="501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68"/>
        <w:gridCol w:w="1398"/>
        <w:gridCol w:w="2667"/>
        <w:gridCol w:w="1453"/>
        <w:gridCol w:w="1507"/>
      </w:tblGrid>
      <w:tr w14:paraId="1B9AED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trPr>
        <w:tc>
          <w:tcPr>
            <w:tcW w:w="2097" w:type="pct"/>
            <w:gridSpan w:val="2"/>
            <w:tcBorders>
              <w:tl2br w:val="nil"/>
              <w:tr2bl w:val="nil"/>
            </w:tcBorders>
            <w:vAlign w:val="center"/>
          </w:tcPr>
          <w:p w14:paraId="0C4912E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带入量(t/a)</w:t>
            </w:r>
          </w:p>
        </w:tc>
        <w:tc>
          <w:tcPr>
            <w:tcW w:w="2124" w:type="pct"/>
            <w:gridSpan w:val="2"/>
            <w:tcBorders>
              <w:tl2br w:val="nil"/>
              <w:tr2bl w:val="nil"/>
            </w:tcBorders>
            <w:vAlign w:val="center"/>
          </w:tcPr>
          <w:p w14:paraId="513F69A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带出量(t/a)</w:t>
            </w:r>
          </w:p>
        </w:tc>
        <w:tc>
          <w:tcPr>
            <w:tcW w:w="777" w:type="pct"/>
            <w:vMerge w:val="restart"/>
            <w:tcBorders>
              <w:tl2br w:val="nil"/>
              <w:tr2bl w:val="nil"/>
            </w:tcBorders>
            <w:vAlign w:val="center"/>
          </w:tcPr>
          <w:p w14:paraId="520681CD">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备注</w:t>
            </w:r>
          </w:p>
        </w:tc>
      </w:tr>
      <w:tr w14:paraId="1BE3EA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6" w:type="pct"/>
            <w:tcBorders>
              <w:tl2br w:val="nil"/>
              <w:tr2bl w:val="nil"/>
            </w:tcBorders>
            <w:vAlign w:val="center"/>
          </w:tcPr>
          <w:p w14:paraId="4823818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721" w:type="pct"/>
            <w:tcBorders>
              <w:tl2br w:val="nil"/>
              <w:tr2bl w:val="nil"/>
            </w:tcBorders>
            <w:vAlign w:val="center"/>
          </w:tcPr>
          <w:p w14:paraId="0A7D463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1375" w:type="pct"/>
            <w:tcBorders>
              <w:tl2br w:val="nil"/>
              <w:tr2bl w:val="nil"/>
            </w:tcBorders>
            <w:vAlign w:val="center"/>
          </w:tcPr>
          <w:p w14:paraId="2646AC7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749" w:type="pct"/>
            <w:tcBorders>
              <w:tl2br w:val="nil"/>
              <w:tr2bl w:val="nil"/>
            </w:tcBorders>
            <w:vAlign w:val="center"/>
          </w:tcPr>
          <w:p w14:paraId="4692895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777" w:type="pct"/>
            <w:vMerge w:val="continue"/>
            <w:tcBorders>
              <w:tl2br w:val="nil"/>
              <w:tr2bl w:val="nil"/>
            </w:tcBorders>
            <w:vAlign w:val="center"/>
          </w:tcPr>
          <w:p w14:paraId="70451462">
            <w:pPr>
              <w:pStyle w:val="41"/>
              <w:rPr>
                <w:rFonts w:hint="default" w:ascii="Times New Roman" w:hAnsi="Times New Roman" w:cs="Times New Roman"/>
                <w:color w:val="auto"/>
                <w:u w:val="none"/>
              </w:rPr>
            </w:pPr>
          </w:p>
        </w:tc>
      </w:tr>
      <w:tr w14:paraId="5381C5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6" w:type="pct"/>
            <w:tcBorders>
              <w:tl2br w:val="nil"/>
              <w:tr2bl w:val="nil"/>
            </w:tcBorders>
            <w:vAlign w:val="center"/>
          </w:tcPr>
          <w:p w14:paraId="223A2C38">
            <w:pPr>
              <w:pStyle w:val="41"/>
              <w:rPr>
                <w:rFonts w:hint="default" w:ascii="Times New Roman" w:hAnsi="Times New Roman" w:cs="Times New Roman"/>
                <w:color w:val="auto"/>
                <w:u w:val="none"/>
              </w:rPr>
            </w:pPr>
            <w:r>
              <w:rPr>
                <w:rFonts w:hint="default" w:ascii="Times New Roman" w:hAnsi="Times New Roman" w:cs="Times New Roman"/>
                <w:color w:val="auto"/>
                <w:u w:val="none"/>
              </w:rPr>
              <w:t>封孔剂带入镍量</w:t>
            </w:r>
          </w:p>
        </w:tc>
        <w:tc>
          <w:tcPr>
            <w:tcW w:w="721" w:type="pct"/>
            <w:tcBorders>
              <w:tl2br w:val="nil"/>
              <w:tr2bl w:val="nil"/>
            </w:tcBorders>
            <w:vAlign w:val="center"/>
          </w:tcPr>
          <w:p w14:paraId="560B26F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10.12</w:t>
            </w:r>
          </w:p>
        </w:tc>
        <w:tc>
          <w:tcPr>
            <w:tcW w:w="1375" w:type="pct"/>
            <w:tcBorders>
              <w:tl2br w:val="nil"/>
              <w:tr2bl w:val="nil"/>
            </w:tcBorders>
            <w:vAlign w:val="center"/>
          </w:tcPr>
          <w:p w14:paraId="1F3A33A2">
            <w:pPr>
              <w:pStyle w:val="41"/>
              <w:rPr>
                <w:rFonts w:hint="default" w:ascii="Times New Roman" w:hAnsi="Times New Roman" w:cs="Times New Roman"/>
                <w:color w:val="auto"/>
                <w:u w:val="none"/>
              </w:rPr>
            </w:pPr>
            <w:r>
              <w:rPr>
                <w:rFonts w:hint="default" w:ascii="Times New Roman" w:hAnsi="Times New Roman" w:cs="Times New Roman"/>
                <w:color w:val="auto"/>
                <w:u w:val="none"/>
              </w:rPr>
              <w:t>产品带走镍量</w:t>
            </w:r>
          </w:p>
        </w:tc>
        <w:tc>
          <w:tcPr>
            <w:tcW w:w="749" w:type="pct"/>
            <w:tcBorders>
              <w:tl2br w:val="nil"/>
              <w:tr2bl w:val="nil"/>
            </w:tcBorders>
            <w:vAlign w:val="center"/>
          </w:tcPr>
          <w:p w14:paraId="1574DB1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1.212</w:t>
            </w:r>
          </w:p>
        </w:tc>
        <w:tc>
          <w:tcPr>
            <w:tcW w:w="777" w:type="pct"/>
            <w:tcBorders>
              <w:tl2br w:val="nil"/>
              <w:tr2bl w:val="nil"/>
            </w:tcBorders>
            <w:vAlign w:val="center"/>
          </w:tcPr>
          <w:p w14:paraId="4FE0FC8F">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2577EE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76" w:type="pct"/>
            <w:tcBorders>
              <w:tl2br w:val="nil"/>
              <w:tr2bl w:val="nil"/>
            </w:tcBorders>
            <w:vAlign w:val="center"/>
          </w:tcPr>
          <w:p w14:paraId="02AE5917">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21" w:type="pct"/>
            <w:tcBorders>
              <w:tl2br w:val="nil"/>
              <w:tr2bl w:val="nil"/>
            </w:tcBorders>
            <w:vAlign w:val="center"/>
          </w:tcPr>
          <w:p w14:paraId="2CE3B69A">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375" w:type="pct"/>
            <w:tcBorders>
              <w:tl2br w:val="nil"/>
              <w:tr2bl w:val="nil"/>
            </w:tcBorders>
            <w:vAlign w:val="center"/>
          </w:tcPr>
          <w:p w14:paraId="41D195C5">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废水处理结晶盐、污泥含镍量</w:t>
            </w:r>
          </w:p>
        </w:tc>
        <w:tc>
          <w:tcPr>
            <w:tcW w:w="749" w:type="pct"/>
            <w:tcBorders>
              <w:tl2br w:val="nil"/>
              <w:tr2bl w:val="nil"/>
            </w:tcBorders>
            <w:vAlign w:val="center"/>
          </w:tcPr>
          <w:p w14:paraId="5774100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8.908</w:t>
            </w:r>
          </w:p>
        </w:tc>
        <w:tc>
          <w:tcPr>
            <w:tcW w:w="777" w:type="pct"/>
            <w:tcBorders>
              <w:tl2br w:val="nil"/>
              <w:tr2bl w:val="nil"/>
            </w:tcBorders>
            <w:vAlign w:val="center"/>
          </w:tcPr>
          <w:p w14:paraId="3175058B">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32A47B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76" w:type="pct"/>
            <w:tcBorders>
              <w:tl2br w:val="nil"/>
              <w:tr2bl w:val="nil"/>
            </w:tcBorders>
            <w:vAlign w:val="center"/>
          </w:tcPr>
          <w:p w14:paraId="61DCE5F3">
            <w:pPr>
              <w:pStyle w:val="41"/>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721" w:type="pct"/>
            <w:tcBorders>
              <w:tl2br w:val="nil"/>
              <w:tr2bl w:val="nil"/>
            </w:tcBorders>
            <w:vAlign w:val="center"/>
          </w:tcPr>
          <w:p w14:paraId="6A8595C7">
            <w:pPr>
              <w:pStyle w:val="41"/>
              <w:rPr>
                <w:rFonts w:hint="default" w:ascii="Times New Roman" w:hAnsi="Times New Roman" w:cs="Times New Roman"/>
                <w:color w:val="auto"/>
                <w:u w:val="none"/>
              </w:rPr>
            </w:pPr>
            <w:r>
              <w:rPr>
                <w:rFonts w:hint="eastAsia" w:cs="Times New Roman"/>
                <w:color w:val="auto"/>
                <w:u w:val="none"/>
                <w:lang w:val="en-US" w:eastAsia="zh-CN"/>
              </w:rPr>
              <w:t>10.12</w:t>
            </w:r>
          </w:p>
        </w:tc>
        <w:tc>
          <w:tcPr>
            <w:tcW w:w="1375" w:type="pct"/>
            <w:tcBorders>
              <w:tl2br w:val="nil"/>
              <w:tr2bl w:val="nil"/>
            </w:tcBorders>
            <w:vAlign w:val="center"/>
          </w:tcPr>
          <w:p w14:paraId="07E2CA2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49" w:type="pct"/>
            <w:tcBorders>
              <w:tl2br w:val="nil"/>
              <w:tr2bl w:val="nil"/>
            </w:tcBorders>
            <w:vAlign w:val="center"/>
          </w:tcPr>
          <w:p w14:paraId="198BB43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10.12</w:t>
            </w:r>
          </w:p>
        </w:tc>
        <w:tc>
          <w:tcPr>
            <w:tcW w:w="777" w:type="pct"/>
            <w:tcBorders>
              <w:tl2br w:val="nil"/>
              <w:tr2bl w:val="nil"/>
            </w:tcBorders>
            <w:vAlign w:val="center"/>
          </w:tcPr>
          <w:p w14:paraId="412D0639">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7E2E6B52">
      <w:pPr>
        <w:pStyle w:val="5"/>
        <w:rPr>
          <w:rFonts w:hint="default" w:ascii="Times New Roman" w:hAnsi="Times New Roman" w:cs="Times New Roman"/>
          <w:color w:val="auto"/>
          <w:u w:val="none"/>
        </w:rPr>
      </w:pPr>
      <w:r>
        <w:rPr>
          <w:rFonts w:hint="default" w:ascii="Times New Roman" w:hAnsi="Times New Roman" w:cs="Times New Roman"/>
          <w:color w:val="auto"/>
          <w:u w:val="none"/>
        </w:rPr>
        <w:t>铬平衡</w:t>
      </w:r>
    </w:p>
    <w:p w14:paraId="6FB86880">
      <w:pPr>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建设项目含铬染料用量约</w:t>
      </w:r>
      <w:r>
        <w:rPr>
          <w:rFonts w:hint="eastAsia" w:ascii="Times New Roman" w:hAnsi="Times New Roman" w:cs="Times New Roman"/>
          <w:color w:val="auto"/>
          <w:u w:val="none"/>
          <w:lang w:val="en-US" w:eastAsia="zh-CN"/>
        </w:rPr>
        <w:t>18.81</w:t>
      </w:r>
      <w:r>
        <w:rPr>
          <w:rFonts w:hint="default" w:ascii="Times New Roman" w:hAnsi="Times New Roman" w:cs="Times New Roman"/>
          <w:color w:val="auto"/>
          <w:u w:val="none"/>
        </w:rPr>
        <w:t>t/a，项目主要使用水溶性染料，该染料含铬配位偶氮系酸性染料44.5%，(二[6-氨基-4-羟基-3-[(2-羟基-3,5-二硝基苯基)偶氮]萘-2-磺酸根合(3-)]铬酸(3-)三钠，折算后含铬量约2.5%)，则折算染料带入铬量为</w:t>
      </w:r>
      <w:r>
        <w:rPr>
          <w:rFonts w:hint="eastAsia" w:ascii="Times New Roman" w:hAnsi="Times New Roman" w:cs="Times New Roman"/>
          <w:color w:val="auto"/>
          <w:u w:val="none"/>
          <w:lang w:val="en-US" w:eastAsia="zh-CN"/>
        </w:rPr>
        <w:t>0.20926</w:t>
      </w:r>
      <w:r>
        <w:rPr>
          <w:rFonts w:hint="default" w:ascii="Times New Roman" w:hAnsi="Times New Roman" w:cs="Times New Roman"/>
          <w:color w:val="auto"/>
          <w:u w:val="none"/>
        </w:rPr>
        <w:t>t/a。建设项目铬平衡见表4.4-2</w:t>
      </w:r>
      <w:r>
        <w:rPr>
          <w:rFonts w:hint="eastAsia" w:ascii="Times New Roman" w:hAnsi="Times New Roman" w:cs="Times New Roman"/>
          <w:color w:val="auto"/>
          <w:u w:val="none"/>
          <w:lang w:eastAsia="zh-CN"/>
        </w:rPr>
        <w:t>。</w:t>
      </w:r>
    </w:p>
    <w:p w14:paraId="39A09FC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表4.4-2  建设项目铬平衡表</w:t>
      </w:r>
    </w:p>
    <w:tbl>
      <w:tblPr>
        <w:tblStyle w:val="59"/>
        <w:tblW w:w="5014"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672"/>
        <w:gridCol w:w="1408"/>
        <w:gridCol w:w="2473"/>
        <w:gridCol w:w="1412"/>
        <w:gridCol w:w="1730"/>
      </w:tblGrid>
      <w:tr w14:paraId="39622B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2104" w:type="pct"/>
            <w:gridSpan w:val="2"/>
            <w:tcBorders>
              <w:tl2br w:val="nil"/>
              <w:tr2bl w:val="nil"/>
            </w:tcBorders>
          </w:tcPr>
          <w:p w14:paraId="58B00E4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带入量(t/a)</w:t>
            </w:r>
          </w:p>
        </w:tc>
        <w:tc>
          <w:tcPr>
            <w:tcW w:w="2003" w:type="pct"/>
            <w:gridSpan w:val="2"/>
            <w:tcBorders>
              <w:tl2br w:val="nil"/>
              <w:tr2bl w:val="nil"/>
            </w:tcBorders>
          </w:tcPr>
          <w:p w14:paraId="57C80D8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带出量(t/a)</w:t>
            </w:r>
          </w:p>
        </w:tc>
        <w:tc>
          <w:tcPr>
            <w:tcW w:w="892" w:type="pct"/>
            <w:vMerge w:val="restart"/>
            <w:tcBorders>
              <w:tl2br w:val="nil"/>
              <w:tr2bl w:val="nil"/>
            </w:tcBorders>
          </w:tcPr>
          <w:p w14:paraId="1C45EED6">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备注</w:t>
            </w:r>
          </w:p>
        </w:tc>
      </w:tr>
      <w:tr w14:paraId="00F94F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378" w:type="pct"/>
            <w:tcBorders>
              <w:tl2br w:val="nil"/>
              <w:tr2bl w:val="nil"/>
            </w:tcBorders>
          </w:tcPr>
          <w:p w14:paraId="5820A1E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726" w:type="pct"/>
            <w:tcBorders>
              <w:tl2br w:val="nil"/>
              <w:tr2bl w:val="nil"/>
            </w:tcBorders>
          </w:tcPr>
          <w:p w14:paraId="00DCF7C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1275" w:type="pct"/>
            <w:tcBorders>
              <w:tl2br w:val="nil"/>
              <w:tr2bl w:val="nil"/>
            </w:tcBorders>
          </w:tcPr>
          <w:p w14:paraId="333CEDD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728" w:type="pct"/>
            <w:tcBorders>
              <w:tl2br w:val="nil"/>
              <w:tr2bl w:val="nil"/>
            </w:tcBorders>
          </w:tcPr>
          <w:p w14:paraId="1731EDE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892" w:type="pct"/>
            <w:vMerge w:val="continue"/>
            <w:tcBorders>
              <w:tl2br w:val="nil"/>
              <w:tr2bl w:val="nil"/>
            </w:tcBorders>
          </w:tcPr>
          <w:p w14:paraId="127983BE">
            <w:pPr>
              <w:pStyle w:val="41"/>
              <w:rPr>
                <w:rFonts w:hint="default" w:ascii="Times New Roman" w:hAnsi="Times New Roman" w:cs="Times New Roman"/>
                <w:color w:val="auto"/>
                <w:u w:val="none"/>
              </w:rPr>
            </w:pPr>
          </w:p>
        </w:tc>
      </w:tr>
      <w:tr w14:paraId="20CA61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378" w:type="pct"/>
            <w:tcBorders>
              <w:tl2br w:val="nil"/>
              <w:tr2bl w:val="nil"/>
            </w:tcBorders>
          </w:tcPr>
          <w:p w14:paraId="6F4D79A0">
            <w:pPr>
              <w:pStyle w:val="41"/>
              <w:rPr>
                <w:rFonts w:hint="default" w:ascii="Times New Roman" w:hAnsi="Times New Roman" w:cs="Times New Roman"/>
                <w:color w:val="auto"/>
                <w:u w:val="none"/>
              </w:rPr>
            </w:pPr>
            <w:r>
              <w:rPr>
                <w:rFonts w:hint="default" w:ascii="Times New Roman" w:hAnsi="Times New Roman" w:cs="Times New Roman"/>
                <w:color w:val="auto"/>
                <w:u w:val="none"/>
              </w:rPr>
              <w:t>染料带入铬量</w:t>
            </w:r>
          </w:p>
        </w:tc>
        <w:tc>
          <w:tcPr>
            <w:tcW w:w="726" w:type="pct"/>
            <w:tcBorders>
              <w:tl2br w:val="nil"/>
              <w:tr2bl w:val="nil"/>
            </w:tcBorders>
          </w:tcPr>
          <w:p w14:paraId="66C563F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0.20926</w:t>
            </w:r>
          </w:p>
        </w:tc>
        <w:tc>
          <w:tcPr>
            <w:tcW w:w="1275" w:type="pct"/>
            <w:tcBorders>
              <w:tl2br w:val="nil"/>
              <w:tr2bl w:val="nil"/>
            </w:tcBorders>
          </w:tcPr>
          <w:p w14:paraId="17E8B2E3">
            <w:pPr>
              <w:pStyle w:val="41"/>
              <w:rPr>
                <w:rFonts w:hint="default" w:ascii="Times New Roman" w:hAnsi="Times New Roman" w:cs="Times New Roman"/>
                <w:color w:val="auto"/>
                <w:u w:val="none"/>
              </w:rPr>
            </w:pPr>
            <w:r>
              <w:rPr>
                <w:rFonts w:hint="default" w:ascii="Times New Roman" w:hAnsi="Times New Roman" w:cs="Times New Roman"/>
                <w:color w:val="auto"/>
                <w:u w:val="none"/>
              </w:rPr>
              <w:t>产品带走铬量</w:t>
            </w:r>
          </w:p>
        </w:tc>
        <w:tc>
          <w:tcPr>
            <w:tcW w:w="728" w:type="pct"/>
            <w:tcBorders>
              <w:tl2br w:val="nil"/>
              <w:tr2bl w:val="nil"/>
            </w:tcBorders>
          </w:tcPr>
          <w:p w14:paraId="1D2BA0B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0.03156</w:t>
            </w:r>
          </w:p>
        </w:tc>
        <w:tc>
          <w:tcPr>
            <w:tcW w:w="892" w:type="pct"/>
            <w:tcBorders>
              <w:tl2br w:val="nil"/>
              <w:tr2bl w:val="nil"/>
            </w:tcBorders>
          </w:tcPr>
          <w:p w14:paraId="798F6E5E">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696238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378" w:type="pct"/>
            <w:tcBorders>
              <w:tl2br w:val="nil"/>
              <w:tr2bl w:val="nil"/>
            </w:tcBorders>
          </w:tcPr>
          <w:p w14:paraId="0688A31B">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26" w:type="pct"/>
            <w:tcBorders>
              <w:tl2br w:val="nil"/>
              <w:tr2bl w:val="nil"/>
            </w:tcBorders>
          </w:tcPr>
          <w:p w14:paraId="0ADDDD5A">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275" w:type="pct"/>
            <w:tcBorders>
              <w:tl2br w:val="nil"/>
              <w:tr2bl w:val="nil"/>
            </w:tcBorders>
          </w:tcPr>
          <w:p w14:paraId="584F8A47">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废水处理结晶盐、污泥含铬量</w:t>
            </w:r>
          </w:p>
        </w:tc>
        <w:tc>
          <w:tcPr>
            <w:tcW w:w="728" w:type="pct"/>
            <w:tcBorders>
              <w:tl2br w:val="nil"/>
              <w:tr2bl w:val="nil"/>
            </w:tcBorders>
          </w:tcPr>
          <w:p w14:paraId="7222952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0.177701</w:t>
            </w:r>
          </w:p>
        </w:tc>
        <w:tc>
          <w:tcPr>
            <w:tcW w:w="892" w:type="pct"/>
            <w:tcBorders>
              <w:tl2br w:val="nil"/>
              <w:tr2bl w:val="nil"/>
            </w:tcBorders>
          </w:tcPr>
          <w:p w14:paraId="5B14A56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4B1EC8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2" w:hRule="atLeast"/>
        </w:trPr>
        <w:tc>
          <w:tcPr>
            <w:tcW w:w="1378" w:type="pct"/>
            <w:tcBorders>
              <w:tl2br w:val="nil"/>
              <w:tr2bl w:val="nil"/>
            </w:tcBorders>
          </w:tcPr>
          <w:p w14:paraId="04DDFC9C">
            <w:pPr>
              <w:pStyle w:val="41"/>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726" w:type="pct"/>
            <w:tcBorders>
              <w:tl2br w:val="nil"/>
              <w:tr2bl w:val="nil"/>
            </w:tcBorders>
          </w:tcPr>
          <w:p w14:paraId="1DB3BE08">
            <w:pPr>
              <w:pStyle w:val="41"/>
              <w:rPr>
                <w:rFonts w:hint="default" w:ascii="Times New Roman" w:hAnsi="Times New Roman" w:cs="Times New Roman"/>
                <w:color w:val="auto"/>
                <w:u w:val="none"/>
              </w:rPr>
            </w:pPr>
            <w:r>
              <w:rPr>
                <w:rFonts w:hint="eastAsia" w:cs="Times New Roman"/>
                <w:color w:val="auto"/>
                <w:u w:val="none"/>
                <w:lang w:val="en-US" w:eastAsia="zh-CN"/>
              </w:rPr>
              <w:t>0.20926</w:t>
            </w:r>
          </w:p>
        </w:tc>
        <w:tc>
          <w:tcPr>
            <w:tcW w:w="1275" w:type="pct"/>
            <w:tcBorders>
              <w:tl2br w:val="nil"/>
              <w:tr2bl w:val="nil"/>
            </w:tcBorders>
          </w:tcPr>
          <w:p w14:paraId="4BB15D3E">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28" w:type="pct"/>
            <w:tcBorders>
              <w:tl2br w:val="nil"/>
              <w:tr2bl w:val="nil"/>
            </w:tcBorders>
          </w:tcPr>
          <w:p w14:paraId="1BE12F8D">
            <w:pPr>
              <w:pStyle w:val="41"/>
              <w:rPr>
                <w:rFonts w:hint="default" w:ascii="Times New Roman" w:hAnsi="Times New Roman" w:cs="Times New Roman"/>
                <w:color w:val="auto"/>
                <w:u w:val="none"/>
              </w:rPr>
            </w:pPr>
            <w:r>
              <w:rPr>
                <w:rFonts w:hint="eastAsia" w:cs="Times New Roman"/>
                <w:color w:val="auto"/>
                <w:u w:val="none"/>
                <w:lang w:val="en-US" w:eastAsia="zh-CN"/>
              </w:rPr>
              <w:t>0.20926</w:t>
            </w:r>
          </w:p>
        </w:tc>
        <w:tc>
          <w:tcPr>
            <w:tcW w:w="892" w:type="pct"/>
            <w:tcBorders>
              <w:tl2br w:val="nil"/>
              <w:tr2bl w:val="nil"/>
            </w:tcBorders>
          </w:tcPr>
          <w:p w14:paraId="57A52496">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bookmarkEnd w:id="90"/>
      <w:bookmarkEnd w:id="91"/>
    </w:tbl>
    <w:p w14:paraId="7EB62D41">
      <w:pPr>
        <w:pStyle w:val="4"/>
        <w:ind w:left="0" w:leftChars="0" w:firstLineChars="0"/>
        <w:rPr>
          <w:rFonts w:hint="default" w:ascii="Times New Roman" w:hAnsi="Times New Roman" w:cs="Times New Roman"/>
          <w:color w:val="auto"/>
          <w:u w:val="none"/>
        </w:rPr>
      </w:pPr>
      <w:bookmarkStart w:id="95" w:name="_Toc8310"/>
      <w:bookmarkStart w:id="96" w:name="_Toc15341"/>
      <w:r>
        <w:rPr>
          <w:rFonts w:hint="default" w:ascii="Times New Roman" w:hAnsi="Times New Roman" w:cs="Times New Roman"/>
          <w:color w:val="auto"/>
          <w:u w:val="none"/>
        </w:rPr>
        <w:t>施工期污染源分析</w:t>
      </w:r>
      <w:bookmarkEnd w:id="95"/>
      <w:bookmarkEnd w:id="96"/>
    </w:p>
    <w:p w14:paraId="05C335B7">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本项目使用现有厂房进行建设，施工期阶段主要是室内基础装修、设备安装及装修垃圾清扫等工作。由于施工期简单且时间较短，污染将随着施工期结束而消失，因此施工期对周围环境的影响较小。</w:t>
      </w:r>
    </w:p>
    <w:p w14:paraId="3B08A76F">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（1）施工废气</w:t>
      </w:r>
    </w:p>
    <w:p w14:paraId="07F83C23">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本项目施工范围集中在现有厂房内，施工扬尘来自于房屋内部装修及清扫、灰料拌和装修材料和设备的装卸、车辆运输等。</w:t>
      </w:r>
    </w:p>
    <w:p w14:paraId="5EF86059">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（2）施工噪声</w:t>
      </w:r>
    </w:p>
    <w:p w14:paraId="0DD78E07">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施工噪声主要来自厂区装修、设备安装、以及运输车辆产生的噪声，主要设备为电锯、电刨及运输车辆等。这些设备的噪声源强约为</w:t>
      </w:r>
      <w:r>
        <w:rPr>
          <w:rFonts w:hint="default" w:ascii="Times New Roman" w:hAnsi="Times New Roman" w:eastAsia="TimesNewRomanPSMT" w:cs="Times New Roman"/>
          <w:color w:val="auto"/>
          <w:kern w:val="0"/>
          <w:u w:val="none"/>
          <w:lang w:bidi="ar"/>
        </w:rPr>
        <w:t>80~90dB(A)</w:t>
      </w:r>
      <w:r>
        <w:rPr>
          <w:rFonts w:hint="default" w:ascii="Times New Roman" w:hAnsi="Times New Roman" w:cs="Times New Roman"/>
          <w:color w:val="auto"/>
          <w:kern w:val="0"/>
          <w:u w:val="none"/>
          <w:lang w:bidi="ar"/>
        </w:rPr>
        <w:t>不等。这种影响是短暂的，随工程的建成而消失。</w:t>
      </w:r>
    </w:p>
    <w:p w14:paraId="5EEBDE8C">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（3）</w:t>
      </w:r>
      <w:r>
        <w:rPr>
          <w:rFonts w:hint="default" w:ascii="Times New Roman" w:hAnsi="Times New Roman" w:cs="Times New Roman"/>
          <w:color w:val="auto"/>
          <w:u w:val="none"/>
        </w:rPr>
        <w:t>施工废水</w:t>
      </w:r>
    </w:p>
    <w:p w14:paraId="72428624">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施工期废水主要包括施工人员的生活污水。因条件有限，施工人员用水标准较低，故生活污水量小。施工期生活污水排入市政污水管网，不会对周围环境造成明显影响。</w:t>
      </w:r>
    </w:p>
    <w:p w14:paraId="1D2494E9">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（4）</w:t>
      </w:r>
      <w:r>
        <w:rPr>
          <w:rFonts w:hint="default" w:ascii="Times New Roman" w:hAnsi="Times New Roman" w:cs="Times New Roman"/>
          <w:color w:val="auto"/>
          <w:u w:val="none"/>
        </w:rPr>
        <w:t>固体废物</w:t>
      </w:r>
    </w:p>
    <w:p w14:paraId="3A6A370A">
      <w:pPr>
        <w:ind w:firstLine="480"/>
        <w:rPr>
          <w:rFonts w:hint="default" w:ascii="Times New Roman" w:hAnsi="Times New Roman" w:cs="Times New Roman"/>
          <w:color w:val="auto"/>
          <w:kern w:val="0"/>
          <w:u w:val="none"/>
        </w:rPr>
      </w:pPr>
      <w:r>
        <w:rPr>
          <w:rFonts w:hint="default" w:ascii="Times New Roman" w:hAnsi="Times New Roman" w:cs="Times New Roman"/>
          <w:color w:val="auto"/>
          <w:u w:val="none"/>
        </w:rPr>
        <w:t>固体废物主要包括施工产生的建筑垃圾和施工人员产生的生活垃圾。建筑垃圾如废砂石料、清理现场杂物等属于无毒无害垃圾，根据《中华人民共和国固体废弃物污染环境防治法》第十六条和第十七条的规定，建设单位必须对建筑垃圾、弃土妥善收集、合理处置，减少对环境的不利影响。施工人员的生活垃圾也及时收集到指定的垃圾箱（桶）内，由当地环卫部门统一及时清运处理。</w:t>
      </w:r>
    </w:p>
    <w:p w14:paraId="25CC84F0">
      <w:pPr>
        <w:pStyle w:val="4"/>
        <w:ind w:left="0" w:leftChars="0" w:firstLineChars="0"/>
        <w:rPr>
          <w:rFonts w:hint="default" w:ascii="Times New Roman" w:hAnsi="Times New Roman" w:cs="Times New Roman"/>
          <w:color w:val="auto"/>
          <w:u w:val="none"/>
        </w:rPr>
      </w:pPr>
      <w:bookmarkStart w:id="97" w:name="_Toc26565"/>
      <w:r>
        <w:rPr>
          <w:rFonts w:hint="default" w:ascii="Times New Roman" w:hAnsi="Times New Roman" w:cs="Times New Roman"/>
          <w:color w:val="auto"/>
          <w:u w:val="none"/>
        </w:rPr>
        <w:t>营运期污染源分析</w:t>
      </w:r>
      <w:bookmarkEnd w:id="97"/>
    </w:p>
    <w:p w14:paraId="55239C5B">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营运期废气污染源分析</w:t>
      </w:r>
    </w:p>
    <w:p w14:paraId="0B460B50">
      <w:pPr>
        <w:ind w:firstLine="480"/>
        <w:rPr>
          <w:rFonts w:hint="default" w:ascii="Times New Roman" w:hAnsi="Times New Roman" w:cs="Times New Roman"/>
          <w:color w:val="auto"/>
          <w:u w:val="none"/>
        </w:rPr>
      </w:pPr>
      <w:bookmarkStart w:id="98" w:name="_Toc10855"/>
      <w:bookmarkStart w:id="99" w:name="_Toc17962"/>
      <w:r>
        <w:rPr>
          <w:rFonts w:hint="default" w:ascii="Times New Roman" w:hAnsi="Times New Roman" w:cs="Times New Roman"/>
          <w:color w:val="auto"/>
          <w:u w:val="none"/>
        </w:rPr>
        <w:t>拟建项目工艺废气主要</w:t>
      </w:r>
      <w:r>
        <w:rPr>
          <w:rFonts w:hint="eastAsia" w:ascii="Times New Roman" w:hAnsi="Times New Roman" w:cs="Times New Roman"/>
          <w:color w:val="auto"/>
          <w:u w:val="none"/>
          <w:lang w:val="en-US" w:eastAsia="zh-CN"/>
        </w:rPr>
        <w:t>为</w:t>
      </w:r>
      <w:r>
        <w:rPr>
          <w:rFonts w:hint="default" w:ascii="Times New Roman" w:hAnsi="Times New Roman" w:cs="Times New Roman"/>
          <w:color w:val="auto"/>
          <w:u w:val="none"/>
        </w:rPr>
        <w:t>酸性废气</w:t>
      </w:r>
      <w:r>
        <w:rPr>
          <w:rFonts w:hint="eastAsia" w:ascii="Times New Roman" w:hAnsi="Times New Roman" w:cs="Times New Roman"/>
          <w:color w:val="auto"/>
          <w:u w:val="none"/>
          <w:lang w:val="en-US" w:eastAsia="zh-CN"/>
        </w:rPr>
        <w:t>及铬酸雾</w:t>
      </w:r>
      <w:r>
        <w:rPr>
          <w:rFonts w:hint="default" w:ascii="Times New Roman" w:hAnsi="Times New Roman" w:cs="Times New Roman"/>
          <w:color w:val="auto"/>
          <w:u w:val="none"/>
        </w:rPr>
        <w:t>。</w:t>
      </w:r>
    </w:p>
    <w:p w14:paraId="4517C9DD">
      <w:pPr>
        <w:ind w:firstLine="480"/>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）酸性废气</w:t>
      </w:r>
      <w:r>
        <w:rPr>
          <w:rFonts w:hint="eastAsia" w:ascii="Times New Roman" w:hAnsi="Times New Roman" w:cs="Times New Roman"/>
          <w:color w:val="auto"/>
          <w:u w:val="none"/>
          <w:lang w:val="en-US" w:eastAsia="zh-CN"/>
        </w:rPr>
        <w:t>及铬酸雾</w:t>
      </w:r>
    </w:p>
    <w:p w14:paraId="54A658B0">
      <w:pPr>
        <w:ind w:firstLine="480"/>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本项目需配套实施</w:t>
      </w:r>
      <w:r>
        <w:rPr>
          <w:rFonts w:hint="eastAsia" w:ascii="Times New Roman" w:hAnsi="Times New Roman" w:cs="Times New Roman"/>
          <w:color w:val="auto"/>
          <w:kern w:val="0"/>
          <w:u w:val="none"/>
          <w:lang w:val="en-US" w:eastAsia="zh-CN" w:bidi="ar"/>
        </w:rPr>
        <w:t>2</w:t>
      </w:r>
      <w:r>
        <w:rPr>
          <w:rFonts w:hint="default" w:ascii="Times New Roman" w:hAnsi="Times New Roman" w:cs="Times New Roman"/>
          <w:color w:val="auto"/>
          <w:kern w:val="0"/>
          <w:u w:val="none"/>
          <w:lang w:bidi="ar"/>
        </w:rPr>
        <w:t>条阳极氧化生产线</w:t>
      </w:r>
      <w:r>
        <w:rPr>
          <w:rFonts w:hint="eastAsia" w:ascii="Times New Roman" w:hAnsi="Times New Roman" w:cs="Times New Roman"/>
          <w:color w:val="auto"/>
          <w:kern w:val="0"/>
          <w:u w:val="none"/>
          <w:lang w:eastAsia="zh-CN" w:bidi="ar"/>
        </w:rPr>
        <w:t>，</w:t>
      </w:r>
      <w:r>
        <w:rPr>
          <w:rFonts w:hint="default" w:ascii="Times New Roman" w:hAnsi="Times New Roman" w:cs="Times New Roman"/>
          <w:color w:val="auto"/>
          <w:u w:val="none"/>
        </w:rPr>
        <w:t>生产车间</w:t>
      </w:r>
      <w:r>
        <w:rPr>
          <w:rFonts w:hint="default" w:ascii="Times New Roman" w:hAnsi="Times New Roman" w:cs="Times New Roman"/>
          <w:color w:val="auto"/>
          <w:kern w:val="0"/>
          <w:u w:val="none"/>
          <w:lang w:bidi="ar"/>
        </w:rPr>
        <w:t>生产线使用了硫酸</w:t>
      </w:r>
      <w:r>
        <w:rPr>
          <w:rFonts w:hint="eastAsia" w:ascii="Times New Roman" w:hAnsi="Times New Roman" w:cs="Times New Roman"/>
          <w:color w:val="auto"/>
          <w:kern w:val="0"/>
          <w:u w:val="none"/>
          <w:lang w:val="en-US" w:eastAsia="zh-CN" w:bidi="ar"/>
        </w:rPr>
        <w:t>和硝酸</w:t>
      </w:r>
      <w:r>
        <w:rPr>
          <w:rFonts w:hint="default" w:ascii="Times New Roman" w:hAnsi="Times New Roman" w:cs="Times New Roman"/>
          <w:color w:val="auto"/>
          <w:kern w:val="0"/>
          <w:u w:val="none"/>
          <w:lang w:bidi="ar"/>
        </w:rPr>
        <w:t>等，生产过程会有少量的硫酸雾</w:t>
      </w:r>
      <w:r>
        <w:rPr>
          <w:rFonts w:hint="eastAsia" w:ascii="Times New Roman" w:hAnsi="Times New Roman" w:cs="Times New Roman"/>
          <w:color w:val="auto"/>
          <w:kern w:val="0"/>
          <w:u w:val="none"/>
          <w:lang w:val="en-US" w:eastAsia="zh-CN" w:bidi="ar"/>
        </w:rPr>
        <w:t>及氮氧化物</w:t>
      </w:r>
      <w:r>
        <w:rPr>
          <w:rFonts w:hint="default" w:ascii="Times New Roman" w:hAnsi="Times New Roman" w:cs="Times New Roman"/>
          <w:color w:val="auto"/>
          <w:kern w:val="0"/>
          <w:u w:val="none"/>
          <w:lang w:bidi="ar"/>
        </w:rPr>
        <w:t>产生</w:t>
      </w:r>
      <w:r>
        <w:rPr>
          <w:rFonts w:hint="eastAsia" w:ascii="Times New Roman" w:hAnsi="Times New Roman" w:cs="Times New Roman"/>
          <w:color w:val="auto"/>
          <w:kern w:val="0"/>
          <w:u w:val="none"/>
          <w:lang w:eastAsia="zh-CN" w:bidi="ar"/>
        </w:rPr>
        <w:t>；铬酸盐封闭</w:t>
      </w:r>
      <w:r>
        <w:rPr>
          <w:rFonts w:hint="eastAsia" w:ascii="Times New Roman" w:hAnsi="Times New Roman" w:cs="Times New Roman"/>
          <w:color w:val="auto"/>
          <w:kern w:val="0"/>
          <w:u w:val="none"/>
          <w:lang w:val="en-US" w:eastAsia="zh-CN" w:bidi="ar"/>
        </w:rPr>
        <w:t>会产生少量的铬酸雾废气</w:t>
      </w:r>
      <w:r>
        <w:rPr>
          <w:rFonts w:hint="default" w:ascii="Times New Roman" w:hAnsi="Times New Roman" w:cs="Times New Roman"/>
          <w:color w:val="auto"/>
          <w:kern w:val="0"/>
          <w:u w:val="none"/>
          <w:lang w:bidi="ar"/>
        </w:rPr>
        <w:t>。</w:t>
      </w:r>
    </w:p>
    <w:p w14:paraId="309446E2">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根据《污染源源强核算技术指南 电镀》（HJ984-2018）中废气污染物源源强核算方法中产污系数法，大气污染物产生量计算方法为：</w:t>
      </w:r>
    </w:p>
    <w:p w14:paraId="0680610F">
      <w:pPr>
        <w:ind w:firstLine="480"/>
        <w:jc w:val="center"/>
        <w:rPr>
          <w:rFonts w:hint="default" w:ascii="Times New Roman" w:hAnsi="Times New Roman" w:cs="Times New Roman"/>
          <w:color w:val="auto"/>
          <w:u w:val="none"/>
        </w:rPr>
      </w:pPr>
      <w:r>
        <w:rPr>
          <w:rFonts w:hint="default" w:ascii="Times New Roman" w:hAnsi="Times New Roman" w:cs="Times New Roman"/>
          <w:color w:val="auto"/>
          <w:u w:val="none"/>
        </w:rPr>
        <w:drawing>
          <wp:inline distT="0" distB="0" distL="114300" distR="114300">
            <wp:extent cx="1657350" cy="371475"/>
            <wp:effectExtent l="0" t="0" r="0" b="9525"/>
            <wp:docPr id="6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pic:cNvPicPr>
                      <a:picLocks noChangeAspect="1"/>
                    </pic:cNvPicPr>
                  </pic:nvPicPr>
                  <pic:blipFill>
                    <a:blip r:embed="rId22"/>
                    <a:stretch>
                      <a:fillRect/>
                    </a:stretch>
                  </pic:blipFill>
                  <pic:spPr>
                    <a:xfrm>
                      <a:off x="0" y="0"/>
                      <a:ext cx="1657350" cy="371475"/>
                    </a:xfrm>
                    <a:prstGeom prst="rect">
                      <a:avLst/>
                    </a:prstGeom>
                    <a:noFill/>
                    <a:ln>
                      <a:noFill/>
                    </a:ln>
                  </pic:spPr>
                </pic:pic>
              </a:graphicData>
            </a:graphic>
          </wp:inline>
        </w:drawing>
      </w:r>
    </w:p>
    <w:p w14:paraId="4A97F2B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式中：D-核算时段内污染物产生量，t； </w:t>
      </w:r>
    </w:p>
    <w:p w14:paraId="607FCD88">
      <w:pPr>
        <w:ind w:left="0" w:leftChars="0" w:firstLine="480" w:firstLineChars="200"/>
        <w:rPr>
          <w:rFonts w:hint="default" w:ascii="Times New Roman" w:hAnsi="Times New Roman" w:cs="Times New Roman"/>
          <w:color w:val="auto"/>
          <w:u w:val="none"/>
        </w:rPr>
      </w:pPr>
      <w:r>
        <w:rPr>
          <w:rFonts w:hint="default" w:ascii="Times New Roman" w:hAnsi="Times New Roman" w:cs="Times New Roman"/>
          <w:color w:val="auto"/>
          <w:u w:val="none"/>
        </w:rPr>
        <w:t>Gs —单位渡槽液面面积单位时间大气污染物产生量，g/（m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·h），数值来源于附录 B；</w:t>
      </w:r>
    </w:p>
    <w:p w14:paraId="04235DDF">
      <w:pPr>
        <w:rPr>
          <w:rFonts w:hint="default" w:ascii="Times New Roman" w:hAnsi="Times New Roman" w:cs="Times New Roman"/>
          <w:color w:val="auto"/>
          <w:u w:val="none"/>
        </w:rPr>
      </w:pPr>
      <w:r>
        <w:rPr>
          <w:rFonts w:hint="default" w:ascii="Times New Roman" w:hAnsi="Times New Roman" w:cs="Times New Roman"/>
          <w:color w:val="auto"/>
          <w:u w:val="none"/>
        </w:rPr>
        <w:t>A—渡槽液面面积，m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 xml:space="preserve">； </w:t>
      </w:r>
    </w:p>
    <w:p w14:paraId="0E3AC5A8">
      <w:pPr>
        <w:rPr>
          <w:rFonts w:hint="default" w:ascii="Times New Roman" w:hAnsi="Times New Roman" w:cs="Times New Roman"/>
          <w:color w:val="auto"/>
          <w:u w:val="none"/>
        </w:rPr>
      </w:pPr>
      <w:r>
        <w:rPr>
          <w:rFonts w:hint="default" w:ascii="Times New Roman" w:hAnsi="Times New Roman" w:cs="Times New Roman"/>
          <w:color w:val="auto"/>
          <w:u w:val="none"/>
        </w:rPr>
        <w:t xml:space="preserve">t—核算时段内污染物产生时间，h。 </w:t>
      </w:r>
    </w:p>
    <w:p w14:paraId="7D0FEBF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项目酸性废气产生量见下表。</w:t>
      </w:r>
    </w:p>
    <w:p w14:paraId="01EEFBC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 4.6-</w:t>
      </w:r>
      <w:r>
        <w:rPr>
          <w:rFonts w:hint="eastAsia" w:cs="Times New Roman"/>
          <w:b/>
          <w:bCs/>
          <w:color w:val="auto"/>
          <w:u w:val="none"/>
          <w:lang w:val="en-US" w:eastAsia="zh-CN"/>
        </w:rPr>
        <w:t>1</w:t>
      </w:r>
      <w:r>
        <w:rPr>
          <w:rFonts w:hint="default" w:ascii="Times New Roman" w:hAnsi="Times New Roman" w:cs="Times New Roman"/>
          <w:b/>
          <w:bCs/>
          <w:color w:val="auto"/>
          <w:u w:val="none"/>
        </w:rPr>
        <w:t xml:space="preserve"> </w:t>
      </w:r>
      <w:r>
        <w:rPr>
          <w:rFonts w:hint="eastAsia" w:cs="Times New Roman"/>
          <w:b/>
          <w:bCs/>
          <w:color w:val="auto"/>
          <w:u w:val="none"/>
          <w:lang w:val="en-US" w:eastAsia="zh-CN"/>
        </w:rPr>
        <w:t xml:space="preserve">  项目</w:t>
      </w:r>
      <w:r>
        <w:rPr>
          <w:rFonts w:hint="default" w:ascii="Times New Roman" w:hAnsi="Times New Roman" w:cs="Times New Roman"/>
          <w:b/>
          <w:bCs/>
          <w:color w:val="auto"/>
          <w:u w:val="none"/>
        </w:rPr>
        <w:t>废气源强核算表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61"/>
        <w:gridCol w:w="878"/>
        <w:gridCol w:w="915"/>
        <w:gridCol w:w="994"/>
        <w:gridCol w:w="861"/>
        <w:gridCol w:w="1004"/>
        <w:gridCol w:w="1021"/>
        <w:gridCol w:w="1041"/>
        <w:gridCol w:w="1166"/>
        <w:gridCol w:w="1113"/>
      </w:tblGrid>
      <w:tr w14:paraId="5FEFB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restart"/>
            <w:tcBorders>
              <w:tl2br w:val="nil"/>
              <w:tr2bl w:val="nil"/>
            </w:tcBorders>
            <w:shd w:val="clear" w:color="auto" w:fill="auto"/>
            <w:vAlign w:val="center"/>
          </w:tcPr>
          <w:p w14:paraId="4C34DF5F">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生产线</w:t>
            </w:r>
          </w:p>
        </w:tc>
        <w:tc>
          <w:tcPr>
            <w:tcW w:w="878" w:type="dxa"/>
            <w:vMerge w:val="restart"/>
            <w:tcBorders>
              <w:tl2br w:val="nil"/>
              <w:tr2bl w:val="nil"/>
            </w:tcBorders>
            <w:shd w:val="clear" w:color="auto" w:fill="auto"/>
            <w:vAlign w:val="center"/>
          </w:tcPr>
          <w:p w14:paraId="3B101478">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工序</w:t>
            </w:r>
          </w:p>
        </w:tc>
        <w:tc>
          <w:tcPr>
            <w:tcW w:w="915" w:type="dxa"/>
            <w:vMerge w:val="restart"/>
            <w:tcBorders>
              <w:tl2br w:val="nil"/>
              <w:tr2bl w:val="nil"/>
            </w:tcBorders>
            <w:shd w:val="clear" w:color="auto" w:fill="auto"/>
            <w:vAlign w:val="center"/>
          </w:tcPr>
          <w:p w14:paraId="3B7C982E">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994" w:type="dxa"/>
            <w:vMerge w:val="restart"/>
            <w:tcBorders>
              <w:tl2br w:val="nil"/>
              <w:tr2bl w:val="nil"/>
            </w:tcBorders>
            <w:shd w:val="clear" w:color="auto" w:fill="auto"/>
            <w:vAlign w:val="center"/>
          </w:tcPr>
          <w:p w14:paraId="4886708E">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酸的含量</w:t>
            </w:r>
          </w:p>
        </w:tc>
        <w:tc>
          <w:tcPr>
            <w:tcW w:w="861" w:type="dxa"/>
            <w:vMerge w:val="restart"/>
            <w:tcBorders>
              <w:tl2br w:val="nil"/>
              <w:tr2bl w:val="nil"/>
            </w:tcBorders>
            <w:shd w:val="clear" w:color="auto" w:fill="auto"/>
            <w:vAlign w:val="center"/>
          </w:tcPr>
          <w:p w14:paraId="4E3C6DF5">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槽体数量</w:t>
            </w:r>
          </w:p>
        </w:tc>
        <w:tc>
          <w:tcPr>
            <w:tcW w:w="1004" w:type="dxa"/>
            <w:tcBorders>
              <w:tl2br w:val="nil"/>
              <w:tr2bl w:val="nil"/>
            </w:tcBorders>
            <w:shd w:val="clear" w:color="auto" w:fill="auto"/>
            <w:vAlign w:val="center"/>
          </w:tcPr>
          <w:p w14:paraId="16738829">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温度</w:t>
            </w:r>
          </w:p>
        </w:tc>
        <w:tc>
          <w:tcPr>
            <w:tcW w:w="1021" w:type="dxa"/>
            <w:tcBorders>
              <w:tl2br w:val="nil"/>
              <w:tr2bl w:val="nil"/>
            </w:tcBorders>
            <w:shd w:val="clear" w:color="auto" w:fill="auto"/>
            <w:vAlign w:val="center"/>
          </w:tcPr>
          <w:p w14:paraId="141263C7">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槽体面</w:t>
            </w:r>
          </w:p>
        </w:tc>
        <w:tc>
          <w:tcPr>
            <w:tcW w:w="1041" w:type="dxa"/>
            <w:tcBorders>
              <w:tl2br w:val="nil"/>
              <w:tr2bl w:val="nil"/>
            </w:tcBorders>
            <w:shd w:val="clear" w:color="auto" w:fill="auto"/>
            <w:vAlign w:val="center"/>
          </w:tcPr>
          <w:p w14:paraId="3CC95AA7">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计算系数</w:t>
            </w:r>
          </w:p>
        </w:tc>
        <w:tc>
          <w:tcPr>
            <w:tcW w:w="1166" w:type="dxa"/>
            <w:tcBorders>
              <w:tl2br w:val="nil"/>
              <w:tr2bl w:val="nil"/>
            </w:tcBorders>
            <w:shd w:val="clear" w:color="auto" w:fill="auto"/>
            <w:vAlign w:val="center"/>
          </w:tcPr>
          <w:p w14:paraId="070E990E">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产生速率</w:t>
            </w:r>
          </w:p>
        </w:tc>
        <w:tc>
          <w:tcPr>
            <w:tcW w:w="1113" w:type="dxa"/>
            <w:tcBorders>
              <w:tl2br w:val="nil"/>
              <w:tr2bl w:val="nil"/>
            </w:tcBorders>
            <w:shd w:val="clear" w:color="auto" w:fill="auto"/>
            <w:vAlign w:val="center"/>
          </w:tcPr>
          <w:p w14:paraId="4D5639CC">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产生量</w:t>
            </w:r>
          </w:p>
        </w:tc>
      </w:tr>
      <w:tr w14:paraId="294377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continue"/>
            <w:tcBorders>
              <w:tl2br w:val="nil"/>
              <w:tr2bl w:val="nil"/>
            </w:tcBorders>
            <w:shd w:val="clear" w:color="auto" w:fill="auto"/>
            <w:vAlign w:val="center"/>
          </w:tcPr>
          <w:p w14:paraId="75FB86BC">
            <w:pPr>
              <w:pStyle w:val="41"/>
              <w:spacing w:line="240" w:lineRule="auto"/>
              <w:rPr>
                <w:rFonts w:hint="default" w:ascii="Times New Roman" w:hAnsi="Times New Roman" w:cs="Times New Roman"/>
                <w:b/>
                <w:bCs/>
                <w:color w:val="auto"/>
                <w:u w:val="none"/>
              </w:rPr>
            </w:pPr>
          </w:p>
        </w:tc>
        <w:tc>
          <w:tcPr>
            <w:tcW w:w="878" w:type="dxa"/>
            <w:vMerge w:val="continue"/>
            <w:tcBorders>
              <w:tl2br w:val="nil"/>
              <w:tr2bl w:val="nil"/>
            </w:tcBorders>
            <w:shd w:val="clear" w:color="auto" w:fill="auto"/>
            <w:vAlign w:val="center"/>
          </w:tcPr>
          <w:p w14:paraId="44487096">
            <w:pPr>
              <w:pStyle w:val="41"/>
              <w:spacing w:line="240" w:lineRule="auto"/>
              <w:rPr>
                <w:rFonts w:hint="default" w:ascii="Times New Roman" w:hAnsi="Times New Roman" w:cs="Times New Roman"/>
                <w:b/>
                <w:bCs/>
                <w:color w:val="auto"/>
                <w:u w:val="none"/>
              </w:rPr>
            </w:pPr>
          </w:p>
        </w:tc>
        <w:tc>
          <w:tcPr>
            <w:tcW w:w="915" w:type="dxa"/>
            <w:vMerge w:val="continue"/>
            <w:tcBorders>
              <w:tl2br w:val="nil"/>
              <w:tr2bl w:val="nil"/>
            </w:tcBorders>
            <w:shd w:val="clear" w:color="auto" w:fill="auto"/>
            <w:vAlign w:val="center"/>
          </w:tcPr>
          <w:p w14:paraId="05B0A262">
            <w:pPr>
              <w:pStyle w:val="41"/>
              <w:spacing w:line="240" w:lineRule="auto"/>
              <w:rPr>
                <w:rFonts w:hint="default" w:ascii="Times New Roman" w:hAnsi="Times New Roman" w:cs="Times New Roman"/>
                <w:b/>
                <w:bCs/>
                <w:color w:val="auto"/>
                <w:u w:val="none"/>
              </w:rPr>
            </w:pPr>
          </w:p>
        </w:tc>
        <w:tc>
          <w:tcPr>
            <w:tcW w:w="994" w:type="dxa"/>
            <w:vMerge w:val="continue"/>
            <w:tcBorders>
              <w:tl2br w:val="nil"/>
              <w:tr2bl w:val="nil"/>
            </w:tcBorders>
            <w:shd w:val="clear" w:color="auto" w:fill="auto"/>
            <w:vAlign w:val="center"/>
          </w:tcPr>
          <w:p w14:paraId="572A14C2">
            <w:pPr>
              <w:pStyle w:val="41"/>
              <w:spacing w:line="240" w:lineRule="auto"/>
              <w:rPr>
                <w:rFonts w:hint="default" w:ascii="Times New Roman" w:hAnsi="Times New Roman" w:cs="Times New Roman"/>
                <w:b/>
                <w:bCs/>
                <w:color w:val="auto"/>
                <w:u w:val="none"/>
              </w:rPr>
            </w:pPr>
          </w:p>
        </w:tc>
        <w:tc>
          <w:tcPr>
            <w:tcW w:w="861" w:type="dxa"/>
            <w:vMerge w:val="continue"/>
            <w:tcBorders>
              <w:tl2br w:val="nil"/>
              <w:tr2bl w:val="nil"/>
            </w:tcBorders>
            <w:shd w:val="clear" w:color="auto" w:fill="auto"/>
            <w:vAlign w:val="center"/>
          </w:tcPr>
          <w:p w14:paraId="171C4C90">
            <w:pPr>
              <w:pStyle w:val="41"/>
              <w:spacing w:line="240" w:lineRule="auto"/>
              <w:rPr>
                <w:rFonts w:hint="default" w:ascii="Times New Roman" w:hAnsi="Times New Roman" w:cs="Times New Roman"/>
                <w:b/>
                <w:bCs/>
                <w:color w:val="auto"/>
                <w:u w:val="none"/>
              </w:rPr>
            </w:pPr>
          </w:p>
        </w:tc>
        <w:tc>
          <w:tcPr>
            <w:tcW w:w="1004" w:type="dxa"/>
            <w:tcBorders>
              <w:tl2br w:val="nil"/>
              <w:tr2bl w:val="nil"/>
            </w:tcBorders>
            <w:shd w:val="clear" w:color="auto" w:fill="auto"/>
            <w:vAlign w:val="center"/>
          </w:tcPr>
          <w:p w14:paraId="1185AACC">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w:t>
            </w:r>
          </w:p>
        </w:tc>
        <w:tc>
          <w:tcPr>
            <w:tcW w:w="1021" w:type="dxa"/>
            <w:tcBorders>
              <w:tl2br w:val="nil"/>
              <w:tr2bl w:val="nil"/>
            </w:tcBorders>
            <w:shd w:val="clear" w:color="auto" w:fill="auto"/>
            <w:vAlign w:val="center"/>
          </w:tcPr>
          <w:p w14:paraId="6CF10880">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积（m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w:t>
            </w:r>
          </w:p>
        </w:tc>
        <w:tc>
          <w:tcPr>
            <w:tcW w:w="1041" w:type="dxa"/>
            <w:tcBorders>
              <w:tl2br w:val="nil"/>
              <w:tr2bl w:val="nil"/>
            </w:tcBorders>
            <w:shd w:val="clear" w:color="auto" w:fill="auto"/>
            <w:vAlign w:val="center"/>
          </w:tcPr>
          <w:p w14:paraId="193F645B">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(g/h·m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w:t>
            </w:r>
          </w:p>
        </w:tc>
        <w:tc>
          <w:tcPr>
            <w:tcW w:w="1166" w:type="dxa"/>
            <w:tcBorders>
              <w:tl2br w:val="nil"/>
              <w:tr2bl w:val="nil"/>
            </w:tcBorders>
            <w:shd w:val="clear" w:color="auto" w:fill="auto"/>
            <w:vAlign w:val="center"/>
          </w:tcPr>
          <w:p w14:paraId="2D3CA213">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（kg/h）</w:t>
            </w:r>
          </w:p>
        </w:tc>
        <w:tc>
          <w:tcPr>
            <w:tcW w:w="1113" w:type="dxa"/>
            <w:tcBorders>
              <w:tl2br w:val="nil"/>
              <w:tr2bl w:val="nil"/>
            </w:tcBorders>
            <w:shd w:val="clear" w:color="auto" w:fill="auto"/>
            <w:vAlign w:val="center"/>
          </w:tcPr>
          <w:p w14:paraId="695435E0">
            <w:pPr>
              <w:pStyle w:val="41"/>
              <w:spacing w:line="240" w:lineRule="auto"/>
              <w:rPr>
                <w:rFonts w:hint="default" w:ascii="Times New Roman" w:hAnsi="Times New Roman" w:cs="Times New Roman"/>
                <w:b/>
                <w:bCs/>
                <w:color w:val="auto"/>
                <w:u w:val="none"/>
              </w:rPr>
            </w:pPr>
            <w:r>
              <w:rPr>
                <w:rFonts w:hint="default" w:ascii="Times New Roman" w:hAnsi="Times New Roman" w:cs="Times New Roman"/>
                <w:b/>
                <w:bCs/>
                <w:color w:val="auto"/>
                <w:u w:val="none"/>
              </w:rPr>
              <w:t>（t/a）</w:t>
            </w:r>
          </w:p>
        </w:tc>
      </w:tr>
      <w:tr w14:paraId="4B1A0E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861" w:type="dxa"/>
            <w:vMerge w:val="restart"/>
            <w:tcBorders>
              <w:tl2br w:val="nil"/>
              <w:tr2bl w:val="nil"/>
            </w:tcBorders>
            <w:shd w:val="clear" w:color="auto" w:fill="auto"/>
            <w:vAlign w:val="center"/>
          </w:tcPr>
          <w:p w14:paraId="31F43B07">
            <w:pPr>
              <w:pStyle w:val="41"/>
              <w:rPr>
                <w:rFonts w:hint="default" w:ascii="Times New Roman" w:hAnsi="Times New Roman" w:cs="Times New Roman"/>
                <w:color w:val="auto"/>
                <w:u w:val="none"/>
              </w:rPr>
            </w:pPr>
            <w:r>
              <w:rPr>
                <w:rFonts w:hint="default" w:ascii="Times New Roman" w:hAnsi="Times New Roman" w:cs="Times New Roman"/>
                <w:color w:val="auto"/>
                <w:u w:val="none"/>
              </w:rPr>
              <w:t>大</w:t>
            </w:r>
            <w:r>
              <w:rPr>
                <w:rFonts w:hint="eastAsia" w:cs="Times New Roman"/>
                <w:color w:val="auto"/>
                <w:u w:val="none"/>
                <w:lang w:val="en-US" w:eastAsia="zh-CN"/>
              </w:rPr>
              <w:t>线氧化</w:t>
            </w:r>
            <w:r>
              <w:rPr>
                <w:rFonts w:hint="default" w:ascii="Times New Roman" w:hAnsi="Times New Roman" w:cs="Times New Roman"/>
                <w:color w:val="auto"/>
                <w:u w:val="none"/>
              </w:rPr>
              <w:t>自动线生产</w:t>
            </w:r>
          </w:p>
        </w:tc>
        <w:tc>
          <w:tcPr>
            <w:tcW w:w="878" w:type="dxa"/>
            <w:vMerge w:val="restart"/>
            <w:tcBorders>
              <w:tl2br w:val="nil"/>
              <w:tr2bl w:val="nil"/>
            </w:tcBorders>
            <w:shd w:val="clear" w:color="auto" w:fill="auto"/>
            <w:vAlign w:val="center"/>
          </w:tcPr>
          <w:p w14:paraId="1D336921">
            <w:pPr>
              <w:pStyle w:val="41"/>
              <w:spacing w:line="240" w:lineRule="auto"/>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氧化槽1</w:t>
            </w:r>
          </w:p>
        </w:tc>
        <w:tc>
          <w:tcPr>
            <w:tcW w:w="915" w:type="dxa"/>
            <w:tcBorders>
              <w:tl2br w:val="nil"/>
              <w:tr2bl w:val="nil"/>
            </w:tcBorders>
            <w:shd w:val="clear" w:color="auto" w:fill="auto"/>
            <w:vAlign w:val="center"/>
          </w:tcPr>
          <w:p w14:paraId="286E074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994" w:type="dxa"/>
            <w:tcBorders>
              <w:tl2br w:val="nil"/>
              <w:tr2bl w:val="nil"/>
            </w:tcBorders>
            <w:shd w:val="clear" w:color="auto" w:fill="auto"/>
            <w:vAlign w:val="center"/>
          </w:tcPr>
          <w:p w14:paraId="6530FE4F">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260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1ADAEBCB">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2EF8844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72E90C03">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8.48</w:t>
            </w:r>
          </w:p>
        </w:tc>
        <w:tc>
          <w:tcPr>
            <w:tcW w:w="1041" w:type="dxa"/>
            <w:tcBorders>
              <w:tl2br w:val="nil"/>
              <w:tr2bl w:val="nil"/>
            </w:tcBorders>
            <w:shd w:val="clear" w:color="auto" w:fill="auto"/>
            <w:vAlign w:val="center"/>
          </w:tcPr>
          <w:p w14:paraId="5617A760">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25.2</w:t>
            </w:r>
          </w:p>
        </w:tc>
        <w:tc>
          <w:tcPr>
            <w:tcW w:w="1166" w:type="dxa"/>
            <w:tcBorders>
              <w:tl2br w:val="nil"/>
              <w:tr2bl w:val="nil"/>
            </w:tcBorders>
            <w:shd w:val="clear" w:color="auto" w:fill="auto"/>
            <w:vAlign w:val="center"/>
          </w:tcPr>
          <w:p w14:paraId="68C6048D">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0.2136</w:t>
            </w:r>
          </w:p>
        </w:tc>
        <w:tc>
          <w:tcPr>
            <w:tcW w:w="1113" w:type="dxa"/>
            <w:tcBorders>
              <w:tl2br w:val="nil"/>
              <w:tr2bl w:val="nil"/>
            </w:tcBorders>
            <w:shd w:val="clear" w:color="auto" w:fill="auto"/>
            <w:vAlign w:val="center"/>
          </w:tcPr>
          <w:p w14:paraId="2F6B6AAD">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1.5386</w:t>
            </w:r>
          </w:p>
        </w:tc>
      </w:tr>
      <w:tr w14:paraId="231009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861" w:type="dxa"/>
            <w:vMerge w:val="continue"/>
            <w:tcBorders>
              <w:tl2br w:val="nil"/>
              <w:tr2bl w:val="nil"/>
            </w:tcBorders>
            <w:shd w:val="clear" w:color="auto" w:fill="auto"/>
            <w:vAlign w:val="center"/>
          </w:tcPr>
          <w:p w14:paraId="76AC1C8E">
            <w:pPr>
              <w:pStyle w:val="41"/>
              <w:rPr>
                <w:rFonts w:hint="default" w:ascii="Times New Roman" w:hAnsi="Times New Roman" w:cs="Times New Roman"/>
                <w:color w:val="auto"/>
                <w:u w:val="none"/>
              </w:rPr>
            </w:pPr>
          </w:p>
        </w:tc>
        <w:tc>
          <w:tcPr>
            <w:tcW w:w="878" w:type="dxa"/>
            <w:vMerge w:val="continue"/>
            <w:tcBorders>
              <w:tl2br w:val="nil"/>
              <w:tr2bl w:val="nil"/>
            </w:tcBorders>
            <w:shd w:val="clear" w:color="auto" w:fill="auto"/>
            <w:vAlign w:val="center"/>
          </w:tcPr>
          <w:p w14:paraId="6A89D473">
            <w:pPr>
              <w:pStyle w:val="41"/>
              <w:spacing w:line="240" w:lineRule="auto"/>
              <w:rPr>
                <w:rFonts w:hint="eastAsia" w:ascii="Times New Roman" w:hAnsi="Times New Roman" w:cs="Times New Roman"/>
                <w:color w:val="auto"/>
                <w:u w:val="none"/>
                <w:lang w:val="en-US" w:eastAsia="zh-CN"/>
              </w:rPr>
            </w:pPr>
          </w:p>
        </w:tc>
        <w:tc>
          <w:tcPr>
            <w:tcW w:w="915" w:type="dxa"/>
            <w:tcBorders>
              <w:tl2br w:val="nil"/>
              <w:tr2bl w:val="nil"/>
            </w:tcBorders>
            <w:shd w:val="clear" w:color="auto" w:fill="auto"/>
            <w:vAlign w:val="center"/>
          </w:tcPr>
          <w:p w14:paraId="27CA405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氮氧化物</w:t>
            </w:r>
          </w:p>
        </w:tc>
        <w:tc>
          <w:tcPr>
            <w:tcW w:w="994" w:type="dxa"/>
            <w:tcBorders>
              <w:tl2br w:val="nil"/>
              <w:tr2bl w:val="nil"/>
            </w:tcBorders>
            <w:shd w:val="clear" w:color="auto" w:fill="auto"/>
            <w:vAlign w:val="center"/>
          </w:tcPr>
          <w:p w14:paraId="74E4CA45">
            <w:pPr>
              <w:pStyle w:val="41"/>
              <w:spacing w:line="240" w:lineRule="auto"/>
              <w:rPr>
                <w:rFonts w:hint="eastAsia" w:cs="Times New Roman"/>
                <w:color w:val="auto"/>
                <w:u w:val="none"/>
                <w:lang w:val="en-US" w:eastAsia="zh-CN"/>
              </w:rPr>
            </w:pPr>
            <w:r>
              <w:rPr>
                <w:rFonts w:hint="eastAsia"/>
                <w:lang w:val="en-US" w:eastAsia="zh-CN"/>
              </w:rPr>
              <w:t>260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39412584">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4D44A7D2">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402D1DBF">
            <w:pPr>
              <w:pStyle w:val="41"/>
              <w:spacing w:line="240" w:lineRule="auto"/>
              <w:rPr>
                <w:rFonts w:hint="eastAsia" w:cs="Times New Roman"/>
                <w:color w:val="auto"/>
                <w:u w:val="none"/>
                <w:lang w:val="en-US" w:eastAsia="zh-CN"/>
              </w:rPr>
            </w:pPr>
            <w:r>
              <w:rPr>
                <w:rFonts w:hint="eastAsia" w:cs="Times New Roman"/>
                <w:color w:val="auto"/>
                <w:u w:val="none"/>
                <w:lang w:val="en-US" w:eastAsia="zh-CN"/>
              </w:rPr>
              <w:t>8.48</w:t>
            </w:r>
          </w:p>
        </w:tc>
        <w:tc>
          <w:tcPr>
            <w:tcW w:w="1041" w:type="dxa"/>
            <w:tcBorders>
              <w:tl2br w:val="nil"/>
              <w:tr2bl w:val="nil"/>
            </w:tcBorders>
            <w:shd w:val="clear" w:color="auto" w:fill="auto"/>
            <w:vAlign w:val="center"/>
          </w:tcPr>
          <w:p w14:paraId="1951DDD9">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10.8</w:t>
            </w:r>
          </w:p>
        </w:tc>
        <w:tc>
          <w:tcPr>
            <w:tcW w:w="1166" w:type="dxa"/>
            <w:tcBorders>
              <w:tl2br w:val="nil"/>
              <w:tr2bl w:val="nil"/>
            </w:tcBorders>
            <w:shd w:val="clear" w:color="auto" w:fill="auto"/>
            <w:vAlign w:val="center"/>
          </w:tcPr>
          <w:p w14:paraId="61BFBC54">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0.0915</w:t>
            </w:r>
          </w:p>
        </w:tc>
        <w:tc>
          <w:tcPr>
            <w:tcW w:w="1113" w:type="dxa"/>
            <w:tcBorders>
              <w:tl2br w:val="nil"/>
              <w:tr2bl w:val="nil"/>
            </w:tcBorders>
            <w:shd w:val="clear" w:color="auto" w:fill="auto"/>
            <w:vAlign w:val="center"/>
          </w:tcPr>
          <w:p w14:paraId="2A218B71">
            <w:pPr>
              <w:pStyle w:val="41"/>
              <w:spacing w:line="240" w:lineRule="auto"/>
              <w:rPr>
                <w:rFonts w:hint="default" w:cs="Times New Roman"/>
                <w:color w:val="auto"/>
                <w:u w:val="none"/>
                <w:lang w:val="en-US" w:eastAsia="zh-CN"/>
              </w:rPr>
            </w:pPr>
            <w:r>
              <w:rPr>
                <w:rFonts w:hint="eastAsia" w:cs="Times New Roman"/>
                <w:color w:val="auto"/>
                <w:u w:val="none"/>
                <w:lang w:val="en-US" w:eastAsia="zh-CN"/>
              </w:rPr>
              <w:t>0.6594</w:t>
            </w:r>
          </w:p>
        </w:tc>
      </w:tr>
      <w:tr w14:paraId="7829F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continue"/>
            <w:tcBorders>
              <w:tl2br w:val="nil"/>
              <w:tr2bl w:val="nil"/>
            </w:tcBorders>
            <w:shd w:val="clear" w:color="auto" w:fill="auto"/>
            <w:vAlign w:val="center"/>
          </w:tcPr>
          <w:p w14:paraId="547547ED">
            <w:pPr>
              <w:pStyle w:val="41"/>
              <w:spacing w:line="240" w:lineRule="auto"/>
              <w:rPr>
                <w:rFonts w:hint="default" w:ascii="Times New Roman" w:hAnsi="Times New Roman" w:cs="Times New Roman"/>
                <w:color w:val="auto"/>
                <w:u w:val="none"/>
              </w:rPr>
            </w:pPr>
          </w:p>
        </w:tc>
        <w:tc>
          <w:tcPr>
            <w:tcW w:w="878" w:type="dxa"/>
            <w:vMerge w:val="restart"/>
            <w:tcBorders>
              <w:tl2br w:val="nil"/>
              <w:tr2bl w:val="nil"/>
            </w:tcBorders>
            <w:shd w:val="clear" w:color="auto" w:fill="auto"/>
            <w:vAlign w:val="center"/>
          </w:tcPr>
          <w:p w14:paraId="77EBBC91">
            <w:pPr>
              <w:pStyle w:val="41"/>
              <w:spacing w:line="240" w:lineRule="auto"/>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氧化槽2</w:t>
            </w:r>
          </w:p>
        </w:tc>
        <w:tc>
          <w:tcPr>
            <w:tcW w:w="915" w:type="dxa"/>
            <w:tcBorders>
              <w:tl2br w:val="nil"/>
              <w:tr2bl w:val="nil"/>
            </w:tcBorders>
            <w:shd w:val="clear" w:color="auto" w:fill="auto"/>
            <w:vAlign w:val="center"/>
          </w:tcPr>
          <w:p w14:paraId="77CA560C">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994" w:type="dxa"/>
            <w:tcBorders>
              <w:tl2br w:val="nil"/>
              <w:tr2bl w:val="nil"/>
            </w:tcBorders>
            <w:shd w:val="clear" w:color="auto" w:fill="auto"/>
            <w:vAlign w:val="center"/>
          </w:tcPr>
          <w:p w14:paraId="4583A782">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200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501AEE64">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69A227D9">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6FC42D8B">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8.48</w:t>
            </w:r>
          </w:p>
        </w:tc>
        <w:tc>
          <w:tcPr>
            <w:tcW w:w="1041" w:type="dxa"/>
            <w:tcBorders>
              <w:tl2br w:val="nil"/>
              <w:tr2bl w:val="nil"/>
            </w:tcBorders>
            <w:shd w:val="clear" w:color="auto" w:fill="auto"/>
            <w:vAlign w:val="center"/>
          </w:tcPr>
          <w:p w14:paraId="2AD09E4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25.2</w:t>
            </w:r>
          </w:p>
        </w:tc>
        <w:tc>
          <w:tcPr>
            <w:tcW w:w="1166" w:type="dxa"/>
            <w:tcBorders>
              <w:tl2br w:val="nil"/>
              <w:tr2bl w:val="nil"/>
            </w:tcBorders>
            <w:shd w:val="clear" w:color="auto" w:fill="auto"/>
            <w:vAlign w:val="center"/>
          </w:tcPr>
          <w:p w14:paraId="5F618791">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0.2136</w:t>
            </w:r>
          </w:p>
        </w:tc>
        <w:tc>
          <w:tcPr>
            <w:tcW w:w="1113" w:type="dxa"/>
            <w:tcBorders>
              <w:tl2br w:val="nil"/>
              <w:tr2bl w:val="nil"/>
            </w:tcBorders>
            <w:shd w:val="clear" w:color="auto" w:fill="auto"/>
            <w:vAlign w:val="center"/>
          </w:tcPr>
          <w:p w14:paraId="08B4BAB2">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1.5386</w:t>
            </w:r>
            <w:r>
              <w:rPr>
                <w:rFonts w:hint="default" w:ascii="Times New Roman" w:hAnsi="Times New Roman" w:cs="Times New Roman"/>
                <w:color w:val="auto"/>
                <w:u w:val="none"/>
              </w:rPr>
              <w:t xml:space="preserve"> </w:t>
            </w:r>
          </w:p>
        </w:tc>
      </w:tr>
      <w:tr w14:paraId="4B7DF8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continue"/>
            <w:tcBorders>
              <w:tl2br w:val="nil"/>
              <w:tr2bl w:val="nil"/>
            </w:tcBorders>
            <w:shd w:val="clear" w:color="auto" w:fill="auto"/>
            <w:vAlign w:val="center"/>
          </w:tcPr>
          <w:p w14:paraId="37BE5790">
            <w:pPr>
              <w:pStyle w:val="41"/>
              <w:spacing w:line="240" w:lineRule="auto"/>
              <w:rPr>
                <w:rFonts w:hint="default" w:ascii="Times New Roman" w:hAnsi="Times New Roman" w:cs="Times New Roman"/>
                <w:color w:val="auto"/>
                <w:u w:val="none"/>
              </w:rPr>
            </w:pPr>
          </w:p>
        </w:tc>
        <w:tc>
          <w:tcPr>
            <w:tcW w:w="878" w:type="dxa"/>
            <w:vMerge w:val="continue"/>
            <w:tcBorders>
              <w:tl2br w:val="nil"/>
              <w:tr2bl w:val="nil"/>
            </w:tcBorders>
            <w:shd w:val="clear" w:color="auto" w:fill="auto"/>
            <w:vAlign w:val="center"/>
          </w:tcPr>
          <w:p w14:paraId="18C8FDA8">
            <w:pPr>
              <w:pStyle w:val="41"/>
              <w:spacing w:line="240" w:lineRule="auto"/>
              <w:rPr>
                <w:rFonts w:hint="eastAsia" w:ascii="Times New Roman" w:hAnsi="Times New Roman" w:cs="Times New Roman"/>
                <w:color w:val="auto"/>
                <w:u w:val="none"/>
                <w:lang w:val="en-US" w:eastAsia="zh-CN"/>
              </w:rPr>
            </w:pPr>
          </w:p>
        </w:tc>
        <w:tc>
          <w:tcPr>
            <w:tcW w:w="915" w:type="dxa"/>
            <w:tcBorders>
              <w:tl2br w:val="nil"/>
              <w:tr2bl w:val="nil"/>
            </w:tcBorders>
            <w:shd w:val="clear" w:color="auto" w:fill="auto"/>
            <w:vAlign w:val="center"/>
          </w:tcPr>
          <w:p w14:paraId="2E4D1C2A">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氮氧化物</w:t>
            </w:r>
          </w:p>
        </w:tc>
        <w:tc>
          <w:tcPr>
            <w:tcW w:w="994" w:type="dxa"/>
            <w:tcBorders>
              <w:tl2br w:val="nil"/>
              <w:tr2bl w:val="nil"/>
            </w:tcBorders>
            <w:shd w:val="clear" w:color="auto" w:fill="auto"/>
            <w:vAlign w:val="center"/>
          </w:tcPr>
          <w:p w14:paraId="2B37903F">
            <w:pPr>
              <w:pStyle w:val="41"/>
              <w:spacing w:line="240" w:lineRule="auto"/>
              <w:rPr>
                <w:rFonts w:hint="eastAsia" w:cs="Times New Roman"/>
                <w:color w:val="auto"/>
                <w:u w:val="none"/>
                <w:lang w:val="en-US" w:eastAsia="zh-CN"/>
              </w:rPr>
            </w:pPr>
            <w:r>
              <w:rPr>
                <w:rFonts w:hint="eastAsia" w:cs="Times New Roman"/>
                <w:color w:val="auto"/>
                <w:u w:val="none"/>
                <w:lang w:val="en-US" w:eastAsia="zh-CN"/>
              </w:rPr>
              <w:t>200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3E03DCB0">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247B5929">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1FA4A27A">
            <w:pPr>
              <w:pStyle w:val="41"/>
              <w:spacing w:line="240" w:lineRule="auto"/>
              <w:rPr>
                <w:rFonts w:hint="eastAsia" w:cs="Times New Roman"/>
                <w:color w:val="auto"/>
                <w:u w:val="none"/>
                <w:lang w:val="en-US" w:eastAsia="zh-CN"/>
              </w:rPr>
            </w:pPr>
            <w:r>
              <w:rPr>
                <w:rFonts w:hint="eastAsia" w:cs="Times New Roman"/>
                <w:color w:val="auto"/>
                <w:u w:val="none"/>
                <w:lang w:val="en-US" w:eastAsia="zh-CN"/>
              </w:rPr>
              <w:t>8.48</w:t>
            </w:r>
          </w:p>
        </w:tc>
        <w:tc>
          <w:tcPr>
            <w:tcW w:w="1041" w:type="dxa"/>
            <w:tcBorders>
              <w:tl2br w:val="nil"/>
              <w:tr2bl w:val="nil"/>
            </w:tcBorders>
            <w:shd w:val="clear" w:color="auto" w:fill="auto"/>
            <w:vAlign w:val="center"/>
          </w:tcPr>
          <w:p w14:paraId="18F3B6CF">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10.8</w:t>
            </w:r>
          </w:p>
        </w:tc>
        <w:tc>
          <w:tcPr>
            <w:tcW w:w="1166" w:type="dxa"/>
            <w:tcBorders>
              <w:tl2br w:val="nil"/>
              <w:tr2bl w:val="nil"/>
            </w:tcBorders>
            <w:shd w:val="clear" w:color="auto" w:fill="auto"/>
            <w:vAlign w:val="center"/>
          </w:tcPr>
          <w:p w14:paraId="6E00FB47">
            <w:pPr>
              <w:pStyle w:val="41"/>
              <w:spacing w:line="240" w:lineRule="auto"/>
              <w:rPr>
                <w:rFonts w:hint="eastAsia" w:cs="Times New Roman"/>
                <w:color w:val="auto"/>
                <w:u w:val="none"/>
                <w:lang w:val="en-US" w:eastAsia="zh-CN"/>
              </w:rPr>
            </w:pPr>
            <w:r>
              <w:rPr>
                <w:rFonts w:hint="eastAsia" w:cs="Times New Roman"/>
                <w:color w:val="auto"/>
                <w:u w:val="none"/>
                <w:lang w:val="en-US" w:eastAsia="zh-CN"/>
              </w:rPr>
              <w:t>0.0915</w:t>
            </w:r>
          </w:p>
        </w:tc>
        <w:tc>
          <w:tcPr>
            <w:tcW w:w="1113" w:type="dxa"/>
            <w:tcBorders>
              <w:tl2br w:val="nil"/>
              <w:tr2bl w:val="nil"/>
            </w:tcBorders>
            <w:shd w:val="clear" w:color="auto" w:fill="auto"/>
            <w:vAlign w:val="center"/>
          </w:tcPr>
          <w:p w14:paraId="03C05482">
            <w:pPr>
              <w:pStyle w:val="41"/>
              <w:spacing w:line="240" w:lineRule="auto"/>
              <w:rPr>
                <w:rFonts w:hint="eastAsia" w:cs="Times New Roman"/>
                <w:color w:val="auto"/>
                <w:u w:val="none"/>
                <w:lang w:val="en-US" w:eastAsia="zh-CN"/>
              </w:rPr>
            </w:pPr>
            <w:r>
              <w:rPr>
                <w:rFonts w:hint="eastAsia" w:cs="Times New Roman"/>
                <w:color w:val="auto"/>
                <w:u w:val="none"/>
                <w:lang w:val="en-US" w:eastAsia="zh-CN"/>
              </w:rPr>
              <w:t>0.6594</w:t>
            </w:r>
          </w:p>
        </w:tc>
      </w:tr>
      <w:tr w14:paraId="1C97F6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continue"/>
            <w:tcBorders>
              <w:tl2br w:val="nil"/>
              <w:tr2bl w:val="nil"/>
            </w:tcBorders>
            <w:shd w:val="clear" w:color="auto" w:fill="auto"/>
            <w:vAlign w:val="center"/>
          </w:tcPr>
          <w:p w14:paraId="3A142384">
            <w:pPr>
              <w:pStyle w:val="41"/>
              <w:spacing w:line="240" w:lineRule="auto"/>
              <w:rPr>
                <w:rFonts w:hint="default" w:ascii="Times New Roman" w:hAnsi="Times New Roman" w:cs="Times New Roman"/>
                <w:color w:val="auto"/>
                <w:u w:val="none"/>
              </w:rPr>
            </w:pPr>
          </w:p>
        </w:tc>
        <w:tc>
          <w:tcPr>
            <w:tcW w:w="878" w:type="dxa"/>
            <w:tcBorders>
              <w:tl2br w:val="nil"/>
              <w:tr2bl w:val="nil"/>
            </w:tcBorders>
            <w:shd w:val="clear" w:color="auto" w:fill="auto"/>
            <w:vAlign w:val="center"/>
          </w:tcPr>
          <w:p w14:paraId="65517CBD">
            <w:pPr>
              <w:pStyle w:val="41"/>
              <w:spacing w:line="240" w:lineRule="auto"/>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铬酸盐封闭</w:t>
            </w:r>
          </w:p>
        </w:tc>
        <w:tc>
          <w:tcPr>
            <w:tcW w:w="915" w:type="dxa"/>
            <w:tcBorders>
              <w:tl2br w:val="nil"/>
              <w:tr2bl w:val="nil"/>
            </w:tcBorders>
            <w:shd w:val="clear" w:color="auto" w:fill="auto"/>
            <w:vAlign w:val="center"/>
          </w:tcPr>
          <w:p w14:paraId="675AB519">
            <w:pPr>
              <w:pStyle w:val="41"/>
              <w:spacing w:line="240" w:lineRule="auto"/>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铬酸雾</w:t>
            </w:r>
          </w:p>
        </w:tc>
        <w:tc>
          <w:tcPr>
            <w:tcW w:w="994" w:type="dxa"/>
            <w:tcBorders>
              <w:tl2br w:val="nil"/>
              <w:tr2bl w:val="nil"/>
            </w:tcBorders>
            <w:shd w:val="clear" w:color="auto" w:fill="auto"/>
            <w:vAlign w:val="center"/>
          </w:tcPr>
          <w:p w14:paraId="1ABDE028">
            <w:pPr>
              <w:pStyle w:val="41"/>
              <w:spacing w:line="240" w:lineRule="auto"/>
              <w:rPr>
                <w:rFonts w:hint="default" w:cs="Times New Roman"/>
                <w:color w:val="auto"/>
                <w:u w:val="none"/>
                <w:lang w:val="en-US" w:eastAsia="zh-CN"/>
              </w:rPr>
            </w:pPr>
            <w:r>
              <w:rPr>
                <w:rFonts w:hint="eastAsia" w:cs="Times New Roman"/>
                <w:color w:val="auto"/>
                <w:u w:val="none"/>
                <w:lang w:val="en-US" w:eastAsia="zh-CN"/>
              </w:rPr>
              <w:t>/</w:t>
            </w:r>
          </w:p>
        </w:tc>
        <w:tc>
          <w:tcPr>
            <w:tcW w:w="861" w:type="dxa"/>
            <w:tcBorders>
              <w:tl2br w:val="nil"/>
              <w:tr2bl w:val="nil"/>
            </w:tcBorders>
            <w:shd w:val="clear" w:color="auto" w:fill="auto"/>
            <w:vAlign w:val="center"/>
          </w:tcPr>
          <w:p w14:paraId="0F7AF7AB">
            <w:pPr>
              <w:pStyle w:val="41"/>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1</w:t>
            </w:r>
          </w:p>
        </w:tc>
        <w:tc>
          <w:tcPr>
            <w:tcW w:w="1004" w:type="dxa"/>
            <w:tcBorders>
              <w:tl2br w:val="nil"/>
              <w:tr2bl w:val="nil"/>
            </w:tcBorders>
            <w:shd w:val="clear" w:color="auto" w:fill="auto"/>
            <w:vAlign w:val="center"/>
          </w:tcPr>
          <w:p w14:paraId="05467288">
            <w:pPr>
              <w:pStyle w:val="41"/>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高温</w:t>
            </w:r>
          </w:p>
        </w:tc>
        <w:tc>
          <w:tcPr>
            <w:tcW w:w="1021" w:type="dxa"/>
            <w:tcBorders>
              <w:tl2br w:val="nil"/>
              <w:tr2bl w:val="nil"/>
            </w:tcBorders>
            <w:shd w:val="clear" w:color="auto" w:fill="auto"/>
            <w:vAlign w:val="center"/>
          </w:tcPr>
          <w:p w14:paraId="4B22C570">
            <w:pPr>
              <w:pStyle w:val="41"/>
              <w:spacing w:line="240" w:lineRule="auto"/>
              <w:rPr>
                <w:rFonts w:hint="default" w:cs="Times New Roman"/>
                <w:color w:val="auto"/>
                <w:u w:val="none"/>
                <w:lang w:val="en-US" w:eastAsia="zh-CN"/>
              </w:rPr>
            </w:pPr>
            <w:r>
              <w:rPr>
                <w:rFonts w:hint="eastAsia" w:cs="Times New Roman"/>
                <w:color w:val="auto"/>
                <w:u w:val="none"/>
                <w:lang w:val="en-US" w:eastAsia="zh-CN"/>
              </w:rPr>
              <w:t>17.172</w:t>
            </w:r>
          </w:p>
        </w:tc>
        <w:tc>
          <w:tcPr>
            <w:tcW w:w="1041" w:type="dxa"/>
            <w:tcBorders>
              <w:tl2br w:val="nil"/>
              <w:tr2bl w:val="nil"/>
            </w:tcBorders>
            <w:shd w:val="clear" w:color="auto" w:fill="auto"/>
            <w:vAlign w:val="center"/>
          </w:tcPr>
          <w:p w14:paraId="08609F51">
            <w:pPr>
              <w:pStyle w:val="41"/>
              <w:spacing w:line="240" w:lineRule="auto"/>
              <w:rPr>
                <w:rFonts w:hint="default" w:cs="Times New Roman"/>
                <w:color w:val="auto"/>
                <w:u w:val="none"/>
                <w:lang w:val="en-US" w:eastAsia="zh-CN"/>
              </w:rPr>
            </w:pPr>
            <w:r>
              <w:rPr>
                <w:rFonts w:hint="eastAsia" w:cs="Times New Roman"/>
                <w:color w:val="auto"/>
                <w:u w:val="none"/>
                <w:lang w:val="en-US" w:eastAsia="zh-CN"/>
              </w:rPr>
              <w:t>3.16</w:t>
            </w:r>
          </w:p>
        </w:tc>
        <w:tc>
          <w:tcPr>
            <w:tcW w:w="1166" w:type="dxa"/>
            <w:tcBorders>
              <w:tl2br w:val="nil"/>
              <w:tr2bl w:val="nil"/>
            </w:tcBorders>
            <w:shd w:val="clear" w:color="auto" w:fill="auto"/>
            <w:vAlign w:val="center"/>
          </w:tcPr>
          <w:p w14:paraId="00C7316D">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0.05426</w:t>
            </w:r>
          </w:p>
        </w:tc>
        <w:tc>
          <w:tcPr>
            <w:tcW w:w="1113" w:type="dxa"/>
            <w:tcBorders>
              <w:tl2br w:val="nil"/>
              <w:tr2bl w:val="nil"/>
            </w:tcBorders>
            <w:shd w:val="clear" w:color="auto" w:fill="auto"/>
            <w:vAlign w:val="center"/>
          </w:tcPr>
          <w:p w14:paraId="3B0E4570">
            <w:pPr>
              <w:pStyle w:val="41"/>
              <w:spacing w:line="240" w:lineRule="auto"/>
              <w:rPr>
                <w:rFonts w:hint="default" w:cs="Times New Roman"/>
                <w:color w:val="auto"/>
                <w:u w:val="none"/>
                <w:lang w:val="en-US" w:eastAsia="zh-CN"/>
              </w:rPr>
            </w:pPr>
            <w:r>
              <w:rPr>
                <w:rFonts w:hint="eastAsia" w:cs="Times New Roman"/>
                <w:color w:val="auto"/>
                <w:u w:val="none"/>
                <w:lang w:val="en-US" w:eastAsia="zh-CN"/>
              </w:rPr>
              <w:t>0.3906</w:t>
            </w:r>
          </w:p>
        </w:tc>
      </w:tr>
      <w:tr w14:paraId="25C32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restart"/>
            <w:tcBorders>
              <w:tl2br w:val="nil"/>
              <w:tr2bl w:val="nil"/>
            </w:tcBorders>
            <w:shd w:val="clear" w:color="auto" w:fill="auto"/>
            <w:vAlign w:val="center"/>
          </w:tcPr>
          <w:p w14:paraId="7B6CAF42">
            <w:pPr>
              <w:pStyle w:val="41"/>
              <w:rPr>
                <w:rFonts w:hint="default" w:ascii="Times New Roman" w:hAnsi="Times New Roman" w:cs="Times New Roman"/>
                <w:color w:val="auto"/>
                <w:u w:val="none"/>
              </w:rPr>
            </w:pPr>
            <w:r>
              <w:rPr>
                <w:rFonts w:hint="default" w:ascii="Times New Roman" w:hAnsi="Times New Roman" w:cs="Times New Roman"/>
                <w:color w:val="auto"/>
                <w:u w:val="none"/>
              </w:rPr>
              <w:t>小线</w:t>
            </w:r>
            <w:r>
              <w:rPr>
                <w:rFonts w:hint="eastAsia" w:cs="Times New Roman"/>
                <w:color w:val="auto"/>
                <w:u w:val="none"/>
                <w:lang w:val="en-US" w:eastAsia="zh-CN"/>
              </w:rPr>
              <w:t>氧化</w:t>
            </w:r>
            <w:r>
              <w:rPr>
                <w:rFonts w:hint="default" w:ascii="Times New Roman" w:hAnsi="Times New Roman" w:cs="Times New Roman"/>
                <w:color w:val="auto"/>
                <w:u w:val="none"/>
              </w:rPr>
              <w:t>自动化生产线</w:t>
            </w:r>
          </w:p>
        </w:tc>
        <w:tc>
          <w:tcPr>
            <w:tcW w:w="878" w:type="dxa"/>
            <w:vMerge w:val="restart"/>
            <w:tcBorders>
              <w:tl2br w:val="nil"/>
              <w:tr2bl w:val="nil"/>
            </w:tcBorders>
            <w:shd w:val="clear" w:color="auto" w:fill="auto"/>
            <w:vAlign w:val="center"/>
          </w:tcPr>
          <w:p w14:paraId="7695AD46">
            <w:pPr>
              <w:pStyle w:val="41"/>
              <w:spacing w:line="240" w:lineRule="auto"/>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氧化槽1</w:t>
            </w:r>
          </w:p>
        </w:tc>
        <w:tc>
          <w:tcPr>
            <w:tcW w:w="915" w:type="dxa"/>
            <w:tcBorders>
              <w:tl2br w:val="nil"/>
              <w:tr2bl w:val="nil"/>
            </w:tcBorders>
            <w:shd w:val="clear" w:color="auto" w:fill="auto"/>
            <w:vAlign w:val="center"/>
          </w:tcPr>
          <w:p w14:paraId="7D51DC66">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994" w:type="dxa"/>
            <w:tcBorders>
              <w:tl2br w:val="nil"/>
              <w:tr2bl w:val="nil"/>
            </w:tcBorders>
            <w:shd w:val="clear" w:color="auto" w:fill="auto"/>
            <w:vAlign w:val="center"/>
          </w:tcPr>
          <w:p w14:paraId="055A6231">
            <w:pPr>
              <w:pStyle w:val="41"/>
              <w:spacing w:line="240" w:lineRule="auto"/>
              <w:rPr>
                <w:rFonts w:hint="eastAsia" w:cs="Times New Roman"/>
                <w:color w:val="auto"/>
                <w:u w:val="none"/>
                <w:lang w:val="en-US" w:eastAsia="zh-CN"/>
              </w:rPr>
            </w:pPr>
            <w:r>
              <w:rPr>
                <w:rFonts w:hint="eastAsia" w:cs="Times New Roman"/>
                <w:color w:val="auto"/>
                <w:u w:val="none"/>
                <w:lang w:val="en-US" w:eastAsia="zh-CN"/>
              </w:rPr>
              <w:t>200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3D7E938D">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1C48B8E6">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4E7E2B22">
            <w:pPr>
              <w:pStyle w:val="41"/>
              <w:spacing w:line="240" w:lineRule="auto"/>
              <w:rPr>
                <w:rFonts w:hint="default" w:cs="Times New Roman"/>
                <w:color w:val="auto"/>
                <w:u w:val="none"/>
                <w:lang w:val="en-US" w:eastAsia="zh-CN"/>
              </w:rPr>
            </w:pPr>
            <w:r>
              <w:rPr>
                <w:rFonts w:hint="eastAsia" w:cs="Times New Roman"/>
                <w:color w:val="auto"/>
                <w:u w:val="none"/>
                <w:lang w:val="en-US" w:eastAsia="zh-CN"/>
              </w:rPr>
              <w:t>1.2</w:t>
            </w:r>
          </w:p>
        </w:tc>
        <w:tc>
          <w:tcPr>
            <w:tcW w:w="1041" w:type="dxa"/>
            <w:tcBorders>
              <w:tl2br w:val="nil"/>
              <w:tr2bl w:val="nil"/>
            </w:tcBorders>
            <w:shd w:val="clear" w:color="auto" w:fill="auto"/>
            <w:vAlign w:val="center"/>
          </w:tcPr>
          <w:p w14:paraId="2AAA8E74">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25.2</w:t>
            </w:r>
          </w:p>
        </w:tc>
        <w:tc>
          <w:tcPr>
            <w:tcW w:w="1166" w:type="dxa"/>
            <w:tcBorders>
              <w:tl2br w:val="nil"/>
              <w:tr2bl w:val="nil"/>
            </w:tcBorders>
            <w:shd w:val="clear" w:color="auto" w:fill="auto"/>
            <w:vAlign w:val="center"/>
          </w:tcPr>
          <w:p w14:paraId="3CB3126B">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0.03024</w:t>
            </w:r>
          </w:p>
        </w:tc>
        <w:tc>
          <w:tcPr>
            <w:tcW w:w="1113" w:type="dxa"/>
            <w:tcBorders>
              <w:tl2br w:val="nil"/>
              <w:tr2bl w:val="nil"/>
            </w:tcBorders>
            <w:shd w:val="clear" w:color="auto" w:fill="auto"/>
            <w:vAlign w:val="center"/>
          </w:tcPr>
          <w:p w14:paraId="5D77752F">
            <w:pPr>
              <w:pStyle w:val="41"/>
              <w:spacing w:line="240" w:lineRule="auto"/>
              <w:rPr>
                <w:rFonts w:hint="default" w:cs="Times New Roman"/>
                <w:color w:val="auto"/>
                <w:u w:val="none"/>
                <w:lang w:val="en-US" w:eastAsia="zh-CN"/>
              </w:rPr>
            </w:pPr>
            <w:r>
              <w:rPr>
                <w:rFonts w:hint="eastAsia" w:cs="Times New Roman"/>
                <w:color w:val="auto"/>
                <w:u w:val="none"/>
                <w:lang w:val="en-US" w:eastAsia="zh-CN"/>
              </w:rPr>
              <w:t>0.2177</w:t>
            </w:r>
          </w:p>
        </w:tc>
      </w:tr>
      <w:tr w14:paraId="56296A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continue"/>
            <w:tcBorders>
              <w:tl2br w:val="nil"/>
              <w:tr2bl w:val="nil"/>
            </w:tcBorders>
            <w:shd w:val="clear" w:color="auto" w:fill="auto"/>
            <w:vAlign w:val="center"/>
          </w:tcPr>
          <w:p w14:paraId="4E508022">
            <w:pPr>
              <w:pStyle w:val="41"/>
              <w:rPr>
                <w:rFonts w:hint="default" w:ascii="Times New Roman" w:hAnsi="Times New Roman" w:cs="Times New Roman"/>
                <w:color w:val="auto"/>
                <w:u w:val="none"/>
              </w:rPr>
            </w:pPr>
          </w:p>
        </w:tc>
        <w:tc>
          <w:tcPr>
            <w:tcW w:w="878" w:type="dxa"/>
            <w:vMerge w:val="continue"/>
            <w:tcBorders>
              <w:tl2br w:val="nil"/>
              <w:tr2bl w:val="nil"/>
            </w:tcBorders>
            <w:shd w:val="clear" w:color="auto" w:fill="auto"/>
            <w:vAlign w:val="center"/>
          </w:tcPr>
          <w:p w14:paraId="1D583EEB">
            <w:pPr>
              <w:pStyle w:val="41"/>
              <w:spacing w:line="240" w:lineRule="auto"/>
              <w:rPr>
                <w:rFonts w:hint="eastAsia" w:ascii="Times New Roman" w:hAnsi="Times New Roman" w:cs="Times New Roman"/>
                <w:color w:val="auto"/>
                <w:u w:val="none"/>
                <w:lang w:val="en-US" w:eastAsia="zh-CN"/>
              </w:rPr>
            </w:pPr>
          </w:p>
        </w:tc>
        <w:tc>
          <w:tcPr>
            <w:tcW w:w="915" w:type="dxa"/>
            <w:tcBorders>
              <w:tl2br w:val="nil"/>
              <w:tr2bl w:val="nil"/>
            </w:tcBorders>
            <w:shd w:val="clear" w:color="auto" w:fill="auto"/>
            <w:vAlign w:val="center"/>
          </w:tcPr>
          <w:p w14:paraId="0B3DC42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氮氧化物</w:t>
            </w:r>
          </w:p>
        </w:tc>
        <w:tc>
          <w:tcPr>
            <w:tcW w:w="994" w:type="dxa"/>
            <w:tcBorders>
              <w:tl2br w:val="nil"/>
              <w:tr2bl w:val="nil"/>
            </w:tcBorders>
            <w:shd w:val="clear" w:color="auto" w:fill="auto"/>
            <w:vAlign w:val="center"/>
          </w:tcPr>
          <w:p w14:paraId="6B461A55">
            <w:pPr>
              <w:pStyle w:val="41"/>
              <w:spacing w:line="240" w:lineRule="auto"/>
              <w:rPr>
                <w:rFonts w:hint="eastAsia" w:cs="Times New Roman"/>
                <w:color w:val="auto"/>
                <w:u w:val="none"/>
                <w:lang w:val="en-US" w:eastAsia="zh-CN"/>
              </w:rPr>
            </w:pPr>
            <w:r>
              <w:rPr>
                <w:rFonts w:hint="eastAsia"/>
                <w:lang w:val="en-US" w:eastAsia="zh-CN"/>
              </w:rPr>
              <w:t>260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756D3EE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5621F745">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01F47A64">
            <w:pPr>
              <w:pStyle w:val="41"/>
              <w:spacing w:line="240" w:lineRule="auto"/>
              <w:rPr>
                <w:rFonts w:hint="default" w:cs="Times New Roman"/>
                <w:color w:val="auto"/>
                <w:u w:val="none"/>
                <w:lang w:val="en-US" w:eastAsia="zh-CN"/>
              </w:rPr>
            </w:pPr>
            <w:r>
              <w:rPr>
                <w:rFonts w:hint="eastAsia" w:cs="Times New Roman"/>
                <w:color w:val="auto"/>
                <w:u w:val="none"/>
                <w:lang w:val="en-US" w:eastAsia="zh-CN"/>
              </w:rPr>
              <w:t>1.2</w:t>
            </w:r>
          </w:p>
        </w:tc>
        <w:tc>
          <w:tcPr>
            <w:tcW w:w="1041" w:type="dxa"/>
            <w:tcBorders>
              <w:tl2br w:val="nil"/>
              <w:tr2bl w:val="nil"/>
            </w:tcBorders>
            <w:shd w:val="clear" w:color="auto" w:fill="auto"/>
            <w:vAlign w:val="center"/>
          </w:tcPr>
          <w:p w14:paraId="43B11D94">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10.8</w:t>
            </w:r>
          </w:p>
        </w:tc>
        <w:tc>
          <w:tcPr>
            <w:tcW w:w="1166" w:type="dxa"/>
            <w:tcBorders>
              <w:tl2br w:val="nil"/>
              <w:tr2bl w:val="nil"/>
            </w:tcBorders>
            <w:shd w:val="clear" w:color="auto" w:fill="auto"/>
            <w:vAlign w:val="center"/>
          </w:tcPr>
          <w:p w14:paraId="04FB2576">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0.01296</w:t>
            </w:r>
          </w:p>
        </w:tc>
        <w:tc>
          <w:tcPr>
            <w:tcW w:w="1113" w:type="dxa"/>
            <w:tcBorders>
              <w:tl2br w:val="nil"/>
              <w:tr2bl w:val="nil"/>
            </w:tcBorders>
            <w:shd w:val="clear" w:color="auto" w:fill="auto"/>
            <w:vAlign w:val="center"/>
          </w:tcPr>
          <w:p w14:paraId="4130876C">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0.0933</w:t>
            </w:r>
          </w:p>
        </w:tc>
      </w:tr>
      <w:tr w14:paraId="051CFC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861" w:type="dxa"/>
            <w:vMerge w:val="continue"/>
            <w:tcBorders>
              <w:tl2br w:val="nil"/>
              <w:tr2bl w:val="nil"/>
            </w:tcBorders>
            <w:shd w:val="clear" w:color="auto" w:fill="auto"/>
            <w:vAlign w:val="center"/>
          </w:tcPr>
          <w:p w14:paraId="471F7AC3">
            <w:pPr>
              <w:pStyle w:val="41"/>
              <w:rPr>
                <w:rFonts w:hint="default" w:ascii="Times New Roman" w:hAnsi="Times New Roman" w:cs="Times New Roman"/>
                <w:color w:val="auto"/>
                <w:u w:val="none"/>
              </w:rPr>
            </w:pPr>
          </w:p>
        </w:tc>
        <w:tc>
          <w:tcPr>
            <w:tcW w:w="878" w:type="dxa"/>
            <w:vMerge w:val="restart"/>
            <w:tcBorders>
              <w:tl2br w:val="nil"/>
              <w:tr2bl w:val="nil"/>
            </w:tcBorders>
            <w:shd w:val="clear" w:color="auto" w:fill="auto"/>
            <w:vAlign w:val="center"/>
          </w:tcPr>
          <w:p w14:paraId="2423F14D">
            <w:pPr>
              <w:pStyle w:val="41"/>
              <w:spacing w:line="240" w:lineRule="auto"/>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氧化槽2</w:t>
            </w:r>
          </w:p>
        </w:tc>
        <w:tc>
          <w:tcPr>
            <w:tcW w:w="915" w:type="dxa"/>
            <w:tcBorders>
              <w:tl2br w:val="nil"/>
              <w:tr2bl w:val="nil"/>
            </w:tcBorders>
            <w:shd w:val="clear" w:color="auto" w:fill="auto"/>
            <w:vAlign w:val="center"/>
          </w:tcPr>
          <w:p w14:paraId="619EA8C6">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994" w:type="dxa"/>
            <w:tcBorders>
              <w:tl2br w:val="nil"/>
              <w:tr2bl w:val="nil"/>
            </w:tcBorders>
            <w:shd w:val="clear" w:color="auto" w:fill="auto"/>
            <w:vAlign w:val="center"/>
          </w:tcPr>
          <w:p w14:paraId="061F7B58">
            <w:pPr>
              <w:pStyle w:val="41"/>
              <w:spacing w:line="240" w:lineRule="auto"/>
              <w:rPr>
                <w:rFonts w:hint="eastAsia" w:ascii="Times New Roman" w:hAnsi="Times New Roman" w:eastAsia="宋体" w:cs="Times New Roman"/>
                <w:color w:val="auto"/>
                <w:sz w:val="21"/>
                <w:szCs w:val="21"/>
                <w:u w:val="none"/>
                <w:lang w:val="en-US" w:eastAsia="zh-CN" w:bidi="ar-SA"/>
              </w:rPr>
            </w:pPr>
            <w:r>
              <w:rPr>
                <w:rFonts w:hint="eastAsia" w:cs="Times New Roman"/>
                <w:color w:val="auto"/>
                <w:u w:val="none"/>
                <w:lang w:val="en-US" w:eastAsia="zh-CN"/>
              </w:rPr>
              <w:t>200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57DAA760">
            <w:pPr>
              <w:pStyle w:val="41"/>
              <w:spacing w:line="240" w:lineRule="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51E8C281">
            <w:pPr>
              <w:pStyle w:val="41"/>
              <w:spacing w:line="240" w:lineRule="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38458412">
            <w:pPr>
              <w:pStyle w:val="41"/>
              <w:spacing w:line="240" w:lineRule="auto"/>
              <w:rPr>
                <w:rFonts w:hint="eastAsia" w:ascii="Times New Roman" w:hAnsi="Times New Roman" w:eastAsia="宋体" w:cs="Times New Roman"/>
                <w:color w:val="auto"/>
                <w:sz w:val="21"/>
                <w:szCs w:val="21"/>
                <w:u w:val="none"/>
                <w:lang w:val="en-US" w:eastAsia="zh-CN" w:bidi="ar-SA"/>
              </w:rPr>
            </w:pPr>
            <w:r>
              <w:rPr>
                <w:rFonts w:hint="eastAsia" w:cs="Times New Roman"/>
                <w:color w:val="auto"/>
                <w:u w:val="none"/>
                <w:lang w:val="en-US" w:eastAsia="zh-CN"/>
              </w:rPr>
              <w:t>1.2</w:t>
            </w:r>
          </w:p>
        </w:tc>
        <w:tc>
          <w:tcPr>
            <w:tcW w:w="1041" w:type="dxa"/>
            <w:tcBorders>
              <w:tl2br w:val="nil"/>
              <w:tr2bl w:val="nil"/>
            </w:tcBorders>
            <w:shd w:val="clear" w:color="auto" w:fill="auto"/>
            <w:vAlign w:val="center"/>
          </w:tcPr>
          <w:p w14:paraId="77625BC1">
            <w:pPr>
              <w:pStyle w:val="41"/>
              <w:spacing w:line="240" w:lineRule="auto"/>
              <w:rPr>
                <w:rFonts w:hint="default" w:ascii="Times New Roman" w:hAnsi="Times New Roman" w:eastAsia="宋体" w:cs="Times New Roman"/>
                <w:color w:val="auto"/>
                <w:sz w:val="21"/>
                <w:szCs w:val="21"/>
                <w:u w:val="none"/>
                <w:lang w:val="en-US" w:eastAsia="zh-CN" w:bidi="ar-SA"/>
              </w:rPr>
            </w:pPr>
            <w:r>
              <w:rPr>
                <w:rFonts w:hint="default" w:ascii="Times New Roman" w:hAnsi="Times New Roman" w:cs="Times New Roman"/>
                <w:color w:val="auto"/>
                <w:u w:val="none"/>
              </w:rPr>
              <w:t>25.2</w:t>
            </w:r>
          </w:p>
        </w:tc>
        <w:tc>
          <w:tcPr>
            <w:tcW w:w="1166" w:type="dxa"/>
            <w:tcBorders>
              <w:tl2br w:val="nil"/>
              <w:tr2bl w:val="nil"/>
            </w:tcBorders>
            <w:shd w:val="clear" w:color="auto" w:fill="auto"/>
            <w:vAlign w:val="center"/>
          </w:tcPr>
          <w:p w14:paraId="5DD8D99C">
            <w:pPr>
              <w:pStyle w:val="41"/>
              <w:spacing w:line="240" w:lineRule="auto"/>
              <w:rPr>
                <w:rFonts w:hint="eastAsia" w:ascii="Times New Roman" w:hAnsi="Times New Roman" w:eastAsia="宋体" w:cs="Times New Roman"/>
                <w:color w:val="auto"/>
                <w:sz w:val="21"/>
                <w:szCs w:val="21"/>
                <w:u w:val="none"/>
                <w:lang w:val="en-US" w:eastAsia="zh-CN" w:bidi="ar-SA"/>
              </w:rPr>
            </w:pPr>
            <w:r>
              <w:rPr>
                <w:rFonts w:hint="eastAsia" w:cs="Times New Roman"/>
                <w:color w:val="auto"/>
                <w:u w:val="none"/>
                <w:lang w:val="en-US" w:eastAsia="zh-CN"/>
              </w:rPr>
              <w:t>0.03024</w:t>
            </w:r>
          </w:p>
        </w:tc>
        <w:tc>
          <w:tcPr>
            <w:tcW w:w="1113" w:type="dxa"/>
            <w:tcBorders>
              <w:tl2br w:val="nil"/>
              <w:tr2bl w:val="nil"/>
            </w:tcBorders>
            <w:shd w:val="clear" w:color="auto" w:fill="auto"/>
            <w:vAlign w:val="center"/>
          </w:tcPr>
          <w:p w14:paraId="5B85CE31">
            <w:pPr>
              <w:pStyle w:val="41"/>
              <w:spacing w:line="240" w:lineRule="auto"/>
              <w:rPr>
                <w:rFonts w:hint="eastAsia" w:ascii="Times New Roman" w:hAnsi="Times New Roman" w:eastAsia="宋体" w:cs="Times New Roman"/>
                <w:color w:val="auto"/>
                <w:sz w:val="21"/>
                <w:szCs w:val="21"/>
                <w:u w:val="none"/>
                <w:lang w:val="en-US" w:eastAsia="zh-CN" w:bidi="ar-SA"/>
              </w:rPr>
            </w:pPr>
            <w:r>
              <w:rPr>
                <w:rFonts w:hint="eastAsia" w:cs="Times New Roman"/>
                <w:color w:val="auto"/>
                <w:u w:val="none"/>
                <w:lang w:val="en-US" w:eastAsia="zh-CN"/>
              </w:rPr>
              <w:t>0.2177</w:t>
            </w:r>
          </w:p>
        </w:tc>
      </w:tr>
      <w:tr w14:paraId="0B984D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4" w:hRule="atLeast"/>
          <w:jc w:val="center"/>
        </w:trPr>
        <w:tc>
          <w:tcPr>
            <w:tcW w:w="861" w:type="dxa"/>
            <w:vMerge w:val="continue"/>
            <w:tcBorders>
              <w:tl2br w:val="nil"/>
              <w:tr2bl w:val="nil"/>
            </w:tcBorders>
            <w:shd w:val="clear" w:color="auto" w:fill="auto"/>
            <w:vAlign w:val="center"/>
          </w:tcPr>
          <w:p w14:paraId="2DE975A2">
            <w:pPr>
              <w:pStyle w:val="41"/>
              <w:spacing w:line="240" w:lineRule="auto"/>
              <w:rPr>
                <w:rFonts w:hint="default" w:ascii="Times New Roman" w:hAnsi="Times New Roman" w:cs="Times New Roman"/>
                <w:color w:val="auto"/>
                <w:u w:val="none"/>
              </w:rPr>
            </w:pPr>
          </w:p>
        </w:tc>
        <w:tc>
          <w:tcPr>
            <w:tcW w:w="878" w:type="dxa"/>
            <w:vMerge w:val="continue"/>
            <w:tcBorders>
              <w:tl2br w:val="nil"/>
              <w:tr2bl w:val="nil"/>
            </w:tcBorders>
            <w:shd w:val="clear" w:color="auto" w:fill="auto"/>
            <w:vAlign w:val="center"/>
          </w:tcPr>
          <w:p w14:paraId="1BAB671A">
            <w:pPr>
              <w:pStyle w:val="41"/>
              <w:spacing w:line="240" w:lineRule="auto"/>
              <w:rPr>
                <w:rFonts w:hint="eastAsia" w:ascii="Times New Roman" w:hAnsi="Times New Roman" w:cs="Times New Roman"/>
                <w:color w:val="auto"/>
                <w:u w:val="none"/>
                <w:lang w:val="en-US" w:eastAsia="zh-CN"/>
              </w:rPr>
            </w:pPr>
          </w:p>
        </w:tc>
        <w:tc>
          <w:tcPr>
            <w:tcW w:w="915" w:type="dxa"/>
            <w:tcBorders>
              <w:tl2br w:val="nil"/>
              <w:tr2bl w:val="nil"/>
            </w:tcBorders>
            <w:shd w:val="clear" w:color="auto" w:fill="auto"/>
            <w:vAlign w:val="center"/>
          </w:tcPr>
          <w:p w14:paraId="0E9F58B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氮氧化物</w:t>
            </w:r>
          </w:p>
        </w:tc>
        <w:tc>
          <w:tcPr>
            <w:tcW w:w="994" w:type="dxa"/>
            <w:tcBorders>
              <w:tl2br w:val="nil"/>
              <w:tr2bl w:val="nil"/>
            </w:tcBorders>
            <w:shd w:val="clear" w:color="auto" w:fill="auto"/>
            <w:vAlign w:val="center"/>
          </w:tcPr>
          <w:p w14:paraId="65215DFE">
            <w:pPr>
              <w:pStyle w:val="41"/>
              <w:spacing w:line="240" w:lineRule="auto"/>
              <w:rPr>
                <w:rFonts w:hint="eastAsia" w:cs="Times New Roman"/>
                <w:color w:val="auto"/>
                <w:u w:val="none"/>
                <w:lang w:val="en-US" w:eastAsia="zh-CN"/>
              </w:rPr>
            </w:pPr>
            <w:r>
              <w:rPr>
                <w:rFonts w:hint="eastAsia" w:cs="Times New Roman"/>
                <w:color w:val="auto"/>
                <w:u w:val="none"/>
                <w:lang w:val="en-US" w:eastAsia="zh-CN"/>
              </w:rPr>
              <w:t>200</w:t>
            </w:r>
            <w:r>
              <w:rPr>
                <w:rFonts w:hint="default" w:ascii="Times New Roman" w:hAnsi="Times New Roman" w:cs="Times New Roman"/>
                <w:color w:val="auto"/>
                <w:u w:val="none"/>
              </w:rPr>
              <w:t>g/L</w:t>
            </w:r>
          </w:p>
        </w:tc>
        <w:tc>
          <w:tcPr>
            <w:tcW w:w="861" w:type="dxa"/>
            <w:tcBorders>
              <w:tl2br w:val="nil"/>
              <w:tr2bl w:val="nil"/>
            </w:tcBorders>
            <w:shd w:val="clear" w:color="auto" w:fill="auto"/>
            <w:vAlign w:val="center"/>
          </w:tcPr>
          <w:p w14:paraId="3AC30939">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04" w:type="dxa"/>
            <w:tcBorders>
              <w:tl2br w:val="nil"/>
              <w:tr2bl w:val="nil"/>
            </w:tcBorders>
            <w:shd w:val="clear" w:color="auto" w:fill="auto"/>
            <w:vAlign w:val="center"/>
          </w:tcPr>
          <w:p w14:paraId="0BA1A8C0">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常温</w:t>
            </w:r>
          </w:p>
        </w:tc>
        <w:tc>
          <w:tcPr>
            <w:tcW w:w="1021" w:type="dxa"/>
            <w:tcBorders>
              <w:tl2br w:val="nil"/>
              <w:tr2bl w:val="nil"/>
            </w:tcBorders>
            <w:shd w:val="clear" w:color="auto" w:fill="auto"/>
            <w:vAlign w:val="center"/>
          </w:tcPr>
          <w:p w14:paraId="24AB1438">
            <w:pPr>
              <w:pStyle w:val="41"/>
              <w:spacing w:line="240" w:lineRule="auto"/>
              <w:rPr>
                <w:rFonts w:hint="eastAsia" w:cs="Times New Roman"/>
                <w:color w:val="auto"/>
                <w:u w:val="none"/>
                <w:lang w:val="en-US" w:eastAsia="zh-CN"/>
              </w:rPr>
            </w:pPr>
            <w:r>
              <w:rPr>
                <w:rFonts w:hint="eastAsia" w:cs="Times New Roman"/>
                <w:color w:val="auto"/>
                <w:u w:val="none"/>
                <w:lang w:val="en-US" w:eastAsia="zh-CN"/>
              </w:rPr>
              <w:t>1.2</w:t>
            </w:r>
          </w:p>
        </w:tc>
        <w:tc>
          <w:tcPr>
            <w:tcW w:w="1041" w:type="dxa"/>
            <w:tcBorders>
              <w:tl2br w:val="nil"/>
              <w:tr2bl w:val="nil"/>
            </w:tcBorders>
            <w:shd w:val="clear" w:color="auto" w:fill="auto"/>
            <w:vAlign w:val="center"/>
          </w:tcPr>
          <w:p w14:paraId="0492BE5F">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10.8</w:t>
            </w:r>
          </w:p>
        </w:tc>
        <w:tc>
          <w:tcPr>
            <w:tcW w:w="1166" w:type="dxa"/>
            <w:tcBorders>
              <w:tl2br w:val="nil"/>
              <w:tr2bl w:val="nil"/>
            </w:tcBorders>
            <w:shd w:val="clear" w:color="auto" w:fill="auto"/>
            <w:vAlign w:val="center"/>
          </w:tcPr>
          <w:p w14:paraId="34F029A7">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0.01296</w:t>
            </w:r>
          </w:p>
        </w:tc>
        <w:tc>
          <w:tcPr>
            <w:tcW w:w="1113" w:type="dxa"/>
            <w:tcBorders>
              <w:tl2br w:val="nil"/>
              <w:tr2bl w:val="nil"/>
            </w:tcBorders>
            <w:shd w:val="clear" w:color="auto" w:fill="auto"/>
            <w:vAlign w:val="center"/>
          </w:tcPr>
          <w:p w14:paraId="18857062">
            <w:pPr>
              <w:pStyle w:val="41"/>
              <w:spacing w:line="240" w:lineRule="auto"/>
              <w:rPr>
                <w:rFonts w:hint="eastAsia" w:cs="Times New Roman"/>
                <w:color w:val="auto"/>
                <w:u w:val="none"/>
                <w:lang w:val="en-US" w:eastAsia="zh-CN"/>
              </w:rPr>
            </w:pPr>
            <w:r>
              <w:rPr>
                <w:rFonts w:hint="eastAsia" w:cs="Times New Roman"/>
                <w:color w:val="auto"/>
                <w:u w:val="none"/>
                <w:lang w:val="en-US" w:eastAsia="zh-CN"/>
              </w:rPr>
              <w:t>0.0933</w:t>
            </w:r>
          </w:p>
        </w:tc>
      </w:tr>
      <w:tr w14:paraId="5510F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4" w:hRule="atLeast"/>
          <w:jc w:val="center"/>
        </w:trPr>
        <w:tc>
          <w:tcPr>
            <w:tcW w:w="861" w:type="dxa"/>
            <w:vMerge w:val="continue"/>
            <w:tcBorders>
              <w:tl2br w:val="nil"/>
              <w:tr2bl w:val="nil"/>
            </w:tcBorders>
            <w:shd w:val="clear" w:color="auto" w:fill="auto"/>
            <w:vAlign w:val="center"/>
          </w:tcPr>
          <w:p w14:paraId="2290B65B">
            <w:pPr>
              <w:pStyle w:val="41"/>
              <w:spacing w:line="240" w:lineRule="auto"/>
              <w:rPr>
                <w:rFonts w:hint="default" w:ascii="Times New Roman" w:hAnsi="Times New Roman" w:cs="Times New Roman"/>
                <w:color w:val="auto"/>
                <w:u w:val="none"/>
              </w:rPr>
            </w:pPr>
          </w:p>
        </w:tc>
        <w:tc>
          <w:tcPr>
            <w:tcW w:w="878" w:type="dxa"/>
            <w:tcBorders>
              <w:tl2br w:val="nil"/>
              <w:tr2bl w:val="nil"/>
            </w:tcBorders>
            <w:shd w:val="clear" w:color="auto" w:fill="auto"/>
            <w:vAlign w:val="center"/>
          </w:tcPr>
          <w:p w14:paraId="7F0056D3">
            <w:pPr>
              <w:pStyle w:val="41"/>
              <w:spacing w:line="240" w:lineRule="auto"/>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铬酸盐封闭</w:t>
            </w:r>
          </w:p>
        </w:tc>
        <w:tc>
          <w:tcPr>
            <w:tcW w:w="915" w:type="dxa"/>
            <w:tcBorders>
              <w:tl2br w:val="nil"/>
              <w:tr2bl w:val="nil"/>
            </w:tcBorders>
            <w:shd w:val="clear" w:color="auto" w:fill="auto"/>
            <w:vAlign w:val="center"/>
          </w:tcPr>
          <w:p w14:paraId="34BFFD07">
            <w:pPr>
              <w:pStyle w:val="41"/>
              <w:spacing w:line="240" w:lineRule="auto"/>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铬酸雾</w:t>
            </w:r>
          </w:p>
        </w:tc>
        <w:tc>
          <w:tcPr>
            <w:tcW w:w="994" w:type="dxa"/>
            <w:tcBorders>
              <w:tl2br w:val="nil"/>
              <w:tr2bl w:val="nil"/>
            </w:tcBorders>
            <w:shd w:val="clear" w:color="auto" w:fill="auto"/>
            <w:vAlign w:val="center"/>
          </w:tcPr>
          <w:p w14:paraId="114845DC">
            <w:pPr>
              <w:pStyle w:val="41"/>
              <w:spacing w:line="240" w:lineRule="auto"/>
              <w:rPr>
                <w:rFonts w:hint="default" w:cs="Times New Roman"/>
                <w:color w:val="auto"/>
                <w:u w:val="none"/>
                <w:lang w:val="en-US" w:eastAsia="zh-CN"/>
              </w:rPr>
            </w:pPr>
            <w:r>
              <w:rPr>
                <w:rFonts w:hint="eastAsia" w:cs="Times New Roman"/>
                <w:color w:val="auto"/>
                <w:u w:val="none"/>
                <w:lang w:val="en-US" w:eastAsia="zh-CN"/>
              </w:rPr>
              <w:t>/</w:t>
            </w:r>
          </w:p>
        </w:tc>
        <w:tc>
          <w:tcPr>
            <w:tcW w:w="861" w:type="dxa"/>
            <w:tcBorders>
              <w:tl2br w:val="nil"/>
              <w:tr2bl w:val="nil"/>
            </w:tcBorders>
            <w:shd w:val="clear" w:color="auto" w:fill="auto"/>
            <w:vAlign w:val="center"/>
          </w:tcPr>
          <w:p w14:paraId="173BA526">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w:t>
            </w:r>
          </w:p>
        </w:tc>
        <w:tc>
          <w:tcPr>
            <w:tcW w:w="1004" w:type="dxa"/>
            <w:tcBorders>
              <w:tl2br w:val="nil"/>
              <w:tr2bl w:val="nil"/>
            </w:tcBorders>
            <w:shd w:val="clear" w:color="auto" w:fill="auto"/>
            <w:vAlign w:val="center"/>
          </w:tcPr>
          <w:p w14:paraId="4B3D6427">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高温</w:t>
            </w:r>
          </w:p>
        </w:tc>
        <w:tc>
          <w:tcPr>
            <w:tcW w:w="1021" w:type="dxa"/>
            <w:tcBorders>
              <w:tl2br w:val="nil"/>
              <w:tr2bl w:val="nil"/>
            </w:tcBorders>
            <w:shd w:val="clear" w:color="auto" w:fill="auto"/>
            <w:vAlign w:val="center"/>
          </w:tcPr>
          <w:p w14:paraId="069B6F4D">
            <w:pPr>
              <w:pStyle w:val="41"/>
              <w:spacing w:line="240" w:lineRule="auto"/>
              <w:rPr>
                <w:rFonts w:hint="default" w:cs="Times New Roman"/>
                <w:color w:val="auto"/>
                <w:u w:val="none"/>
                <w:lang w:val="en-US" w:eastAsia="zh-CN"/>
              </w:rPr>
            </w:pPr>
            <w:r>
              <w:rPr>
                <w:rFonts w:hint="eastAsia" w:cs="Times New Roman"/>
                <w:color w:val="auto"/>
                <w:u w:val="none"/>
                <w:lang w:val="en-US" w:eastAsia="zh-CN"/>
              </w:rPr>
              <w:t>0.72</w:t>
            </w:r>
          </w:p>
        </w:tc>
        <w:tc>
          <w:tcPr>
            <w:tcW w:w="1041" w:type="dxa"/>
            <w:tcBorders>
              <w:tl2br w:val="nil"/>
              <w:tr2bl w:val="nil"/>
            </w:tcBorders>
            <w:shd w:val="clear" w:color="auto" w:fill="auto"/>
            <w:vAlign w:val="center"/>
          </w:tcPr>
          <w:p w14:paraId="6DC51D95">
            <w:pPr>
              <w:pStyle w:val="41"/>
              <w:spacing w:line="240" w:lineRule="auto"/>
              <w:rPr>
                <w:rFonts w:hint="default" w:cs="Times New Roman"/>
                <w:color w:val="auto"/>
                <w:u w:val="none"/>
                <w:lang w:val="en-US" w:eastAsia="zh-CN"/>
              </w:rPr>
            </w:pPr>
            <w:r>
              <w:rPr>
                <w:rFonts w:hint="eastAsia" w:cs="Times New Roman"/>
                <w:color w:val="auto"/>
                <w:u w:val="none"/>
                <w:lang w:val="en-US" w:eastAsia="zh-CN"/>
              </w:rPr>
              <w:t>3.16</w:t>
            </w:r>
          </w:p>
        </w:tc>
        <w:tc>
          <w:tcPr>
            <w:tcW w:w="1166" w:type="dxa"/>
            <w:tcBorders>
              <w:tl2br w:val="nil"/>
              <w:tr2bl w:val="nil"/>
            </w:tcBorders>
            <w:shd w:val="clear" w:color="auto" w:fill="auto"/>
            <w:vAlign w:val="center"/>
          </w:tcPr>
          <w:p w14:paraId="29A0A624">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0.0022752</w:t>
            </w:r>
          </w:p>
        </w:tc>
        <w:tc>
          <w:tcPr>
            <w:tcW w:w="1113" w:type="dxa"/>
            <w:tcBorders>
              <w:tl2br w:val="nil"/>
              <w:tr2bl w:val="nil"/>
            </w:tcBorders>
            <w:shd w:val="clear" w:color="auto" w:fill="auto"/>
            <w:vAlign w:val="center"/>
          </w:tcPr>
          <w:p w14:paraId="7818312C">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0.01638</w:t>
            </w:r>
          </w:p>
        </w:tc>
      </w:tr>
      <w:tr w14:paraId="08A3E2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739" w:type="dxa"/>
            <w:gridSpan w:val="2"/>
            <w:vMerge w:val="restart"/>
            <w:tcBorders>
              <w:tl2br w:val="nil"/>
              <w:tr2bl w:val="nil"/>
            </w:tcBorders>
            <w:shd w:val="clear" w:color="auto" w:fill="auto"/>
            <w:vAlign w:val="center"/>
          </w:tcPr>
          <w:p w14:paraId="5621FE31">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915" w:type="dxa"/>
            <w:tcBorders>
              <w:tl2br w:val="nil"/>
              <w:tr2bl w:val="nil"/>
            </w:tcBorders>
            <w:shd w:val="clear" w:color="auto" w:fill="auto"/>
            <w:vAlign w:val="center"/>
          </w:tcPr>
          <w:p w14:paraId="47ABDE3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994" w:type="dxa"/>
            <w:tcBorders>
              <w:tl2br w:val="nil"/>
              <w:tr2bl w:val="nil"/>
            </w:tcBorders>
            <w:shd w:val="clear" w:color="auto" w:fill="auto"/>
            <w:vAlign w:val="center"/>
          </w:tcPr>
          <w:p w14:paraId="0204203C">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61" w:type="dxa"/>
            <w:tcBorders>
              <w:tl2br w:val="nil"/>
              <w:tr2bl w:val="nil"/>
            </w:tcBorders>
            <w:shd w:val="clear" w:color="auto" w:fill="auto"/>
            <w:vAlign w:val="center"/>
          </w:tcPr>
          <w:p w14:paraId="14B0DB83">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04" w:type="dxa"/>
            <w:tcBorders>
              <w:tl2br w:val="nil"/>
              <w:tr2bl w:val="nil"/>
            </w:tcBorders>
            <w:shd w:val="clear" w:color="auto" w:fill="auto"/>
            <w:vAlign w:val="center"/>
          </w:tcPr>
          <w:p w14:paraId="223E8D0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21" w:type="dxa"/>
            <w:tcBorders>
              <w:tl2br w:val="nil"/>
              <w:tr2bl w:val="nil"/>
            </w:tcBorders>
            <w:shd w:val="clear" w:color="auto" w:fill="auto"/>
            <w:vAlign w:val="center"/>
          </w:tcPr>
          <w:p w14:paraId="3B2DC099">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41" w:type="dxa"/>
            <w:tcBorders>
              <w:tl2br w:val="nil"/>
              <w:tr2bl w:val="nil"/>
            </w:tcBorders>
            <w:shd w:val="clear" w:color="auto" w:fill="auto"/>
            <w:vAlign w:val="center"/>
          </w:tcPr>
          <w:p w14:paraId="0E1C2F5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166" w:type="dxa"/>
            <w:tcBorders>
              <w:tl2br w:val="nil"/>
              <w:tr2bl w:val="nil"/>
            </w:tcBorders>
            <w:shd w:val="clear" w:color="auto" w:fill="auto"/>
            <w:vAlign w:val="center"/>
          </w:tcPr>
          <w:p w14:paraId="44324EAD">
            <w:pPr>
              <w:pStyle w:val="41"/>
              <w:spacing w:line="240" w:lineRule="auto"/>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0.48768</w:t>
            </w:r>
          </w:p>
        </w:tc>
        <w:tc>
          <w:tcPr>
            <w:tcW w:w="1113" w:type="dxa"/>
            <w:tcBorders>
              <w:tl2br w:val="nil"/>
              <w:tr2bl w:val="nil"/>
            </w:tcBorders>
            <w:shd w:val="clear" w:color="auto" w:fill="auto"/>
            <w:vAlign w:val="center"/>
          </w:tcPr>
          <w:p w14:paraId="02C47EA3">
            <w:pPr>
              <w:pStyle w:val="41"/>
              <w:spacing w:line="240" w:lineRule="auto"/>
              <w:rPr>
                <w:rFonts w:hint="default" w:ascii="Times New Roman" w:hAnsi="Times New Roman" w:cs="Times New Roman"/>
                <w:color w:val="auto"/>
                <w:u w:val="none"/>
              </w:rPr>
            </w:pPr>
            <w:r>
              <w:rPr>
                <w:rFonts w:hint="eastAsia" w:cs="Times New Roman"/>
                <w:color w:val="auto"/>
                <w:u w:val="none"/>
                <w:lang w:val="en-US" w:eastAsia="zh-CN"/>
              </w:rPr>
              <w:t>3.5126</w:t>
            </w:r>
            <w:r>
              <w:rPr>
                <w:rFonts w:hint="default" w:ascii="Times New Roman" w:hAnsi="Times New Roman" w:cs="Times New Roman"/>
                <w:color w:val="auto"/>
                <w:u w:val="none"/>
              </w:rPr>
              <w:t xml:space="preserve"> </w:t>
            </w:r>
          </w:p>
        </w:tc>
      </w:tr>
      <w:tr w14:paraId="6029DA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739" w:type="dxa"/>
            <w:gridSpan w:val="2"/>
            <w:vMerge w:val="continue"/>
            <w:tcBorders>
              <w:tl2br w:val="nil"/>
              <w:tr2bl w:val="nil"/>
            </w:tcBorders>
            <w:shd w:val="clear" w:color="auto" w:fill="auto"/>
            <w:vAlign w:val="center"/>
          </w:tcPr>
          <w:p w14:paraId="21AD3F67">
            <w:pPr>
              <w:pStyle w:val="41"/>
              <w:spacing w:line="240" w:lineRule="auto"/>
              <w:rPr>
                <w:rFonts w:hint="default" w:ascii="Times New Roman" w:hAnsi="Times New Roman" w:cs="Times New Roman"/>
                <w:color w:val="auto"/>
                <w:u w:val="none"/>
              </w:rPr>
            </w:pPr>
          </w:p>
        </w:tc>
        <w:tc>
          <w:tcPr>
            <w:tcW w:w="915" w:type="dxa"/>
            <w:tcBorders>
              <w:tl2br w:val="nil"/>
              <w:tr2bl w:val="nil"/>
            </w:tcBorders>
            <w:shd w:val="clear" w:color="auto" w:fill="auto"/>
            <w:vAlign w:val="center"/>
          </w:tcPr>
          <w:p w14:paraId="1D490FE5">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氮氧化物</w:t>
            </w:r>
          </w:p>
        </w:tc>
        <w:tc>
          <w:tcPr>
            <w:tcW w:w="994" w:type="dxa"/>
            <w:tcBorders>
              <w:tl2br w:val="nil"/>
              <w:tr2bl w:val="nil"/>
            </w:tcBorders>
            <w:shd w:val="clear" w:color="auto" w:fill="auto"/>
            <w:vAlign w:val="center"/>
          </w:tcPr>
          <w:p w14:paraId="2B8E5984">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61" w:type="dxa"/>
            <w:tcBorders>
              <w:tl2br w:val="nil"/>
              <w:tr2bl w:val="nil"/>
            </w:tcBorders>
            <w:shd w:val="clear" w:color="auto" w:fill="auto"/>
            <w:vAlign w:val="center"/>
          </w:tcPr>
          <w:p w14:paraId="551137B9">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04" w:type="dxa"/>
            <w:tcBorders>
              <w:tl2br w:val="nil"/>
              <w:tr2bl w:val="nil"/>
            </w:tcBorders>
            <w:shd w:val="clear" w:color="auto" w:fill="auto"/>
            <w:vAlign w:val="center"/>
          </w:tcPr>
          <w:p w14:paraId="67F265AE">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21" w:type="dxa"/>
            <w:tcBorders>
              <w:tl2br w:val="nil"/>
              <w:tr2bl w:val="nil"/>
            </w:tcBorders>
            <w:shd w:val="clear" w:color="auto" w:fill="auto"/>
            <w:vAlign w:val="center"/>
          </w:tcPr>
          <w:p w14:paraId="5FE26BFA">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41" w:type="dxa"/>
            <w:tcBorders>
              <w:tl2br w:val="nil"/>
              <w:tr2bl w:val="nil"/>
            </w:tcBorders>
            <w:shd w:val="clear" w:color="auto" w:fill="auto"/>
            <w:vAlign w:val="center"/>
          </w:tcPr>
          <w:p w14:paraId="271D02ED">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166" w:type="dxa"/>
            <w:tcBorders>
              <w:tl2br w:val="nil"/>
              <w:tr2bl w:val="nil"/>
            </w:tcBorders>
            <w:shd w:val="clear" w:color="auto" w:fill="auto"/>
            <w:vAlign w:val="center"/>
          </w:tcPr>
          <w:p w14:paraId="734636A6">
            <w:pPr>
              <w:pStyle w:val="41"/>
              <w:spacing w:line="240" w:lineRule="auto"/>
              <w:rPr>
                <w:rFonts w:hint="default" w:cs="Times New Roman"/>
                <w:color w:val="auto"/>
                <w:u w:val="none"/>
                <w:lang w:val="en-US" w:eastAsia="zh-CN"/>
              </w:rPr>
            </w:pPr>
            <w:r>
              <w:rPr>
                <w:rFonts w:hint="eastAsia" w:cs="Times New Roman"/>
                <w:color w:val="auto"/>
                <w:u w:val="none"/>
                <w:lang w:val="en-US" w:eastAsia="zh-CN"/>
              </w:rPr>
              <w:t>0.20892</w:t>
            </w:r>
          </w:p>
        </w:tc>
        <w:tc>
          <w:tcPr>
            <w:tcW w:w="1113" w:type="dxa"/>
            <w:tcBorders>
              <w:tl2br w:val="nil"/>
              <w:tr2bl w:val="nil"/>
            </w:tcBorders>
            <w:shd w:val="clear" w:color="auto" w:fill="auto"/>
            <w:vAlign w:val="center"/>
          </w:tcPr>
          <w:p w14:paraId="541C86F4">
            <w:pPr>
              <w:pStyle w:val="41"/>
              <w:spacing w:line="240" w:lineRule="auto"/>
              <w:rPr>
                <w:rFonts w:hint="default" w:cs="Times New Roman"/>
                <w:color w:val="auto"/>
                <w:u w:val="none"/>
                <w:lang w:val="en-US" w:eastAsia="zh-CN"/>
              </w:rPr>
            </w:pPr>
            <w:r>
              <w:rPr>
                <w:rFonts w:hint="eastAsia" w:cs="Times New Roman"/>
                <w:color w:val="auto"/>
                <w:u w:val="none"/>
                <w:lang w:val="en-US" w:eastAsia="zh-CN"/>
              </w:rPr>
              <w:t>1.5054</w:t>
            </w:r>
          </w:p>
        </w:tc>
      </w:tr>
      <w:tr w14:paraId="29EBA5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1739" w:type="dxa"/>
            <w:gridSpan w:val="2"/>
            <w:vMerge w:val="continue"/>
            <w:tcBorders>
              <w:tl2br w:val="nil"/>
              <w:tr2bl w:val="nil"/>
            </w:tcBorders>
            <w:shd w:val="clear" w:color="auto" w:fill="auto"/>
            <w:vAlign w:val="center"/>
          </w:tcPr>
          <w:p w14:paraId="0E7CADC6">
            <w:pPr>
              <w:pStyle w:val="41"/>
              <w:spacing w:line="240" w:lineRule="auto"/>
              <w:rPr>
                <w:rFonts w:hint="default" w:ascii="Times New Roman" w:hAnsi="Times New Roman" w:cs="Times New Roman"/>
                <w:color w:val="auto"/>
                <w:u w:val="none"/>
              </w:rPr>
            </w:pPr>
          </w:p>
        </w:tc>
        <w:tc>
          <w:tcPr>
            <w:tcW w:w="915" w:type="dxa"/>
            <w:tcBorders>
              <w:tl2br w:val="nil"/>
              <w:tr2bl w:val="nil"/>
            </w:tcBorders>
            <w:shd w:val="clear" w:color="auto" w:fill="auto"/>
            <w:vAlign w:val="center"/>
          </w:tcPr>
          <w:p w14:paraId="5875981F">
            <w:pPr>
              <w:pStyle w:val="41"/>
              <w:spacing w:line="240" w:lineRule="auto"/>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铬酸雾</w:t>
            </w:r>
          </w:p>
        </w:tc>
        <w:tc>
          <w:tcPr>
            <w:tcW w:w="994" w:type="dxa"/>
            <w:tcBorders>
              <w:tl2br w:val="nil"/>
              <w:tr2bl w:val="nil"/>
            </w:tcBorders>
            <w:shd w:val="clear" w:color="auto" w:fill="auto"/>
            <w:vAlign w:val="center"/>
          </w:tcPr>
          <w:p w14:paraId="11F544AC">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61" w:type="dxa"/>
            <w:tcBorders>
              <w:tl2br w:val="nil"/>
              <w:tr2bl w:val="nil"/>
            </w:tcBorders>
            <w:shd w:val="clear" w:color="auto" w:fill="auto"/>
            <w:vAlign w:val="center"/>
          </w:tcPr>
          <w:p w14:paraId="4E3BFE9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04" w:type="dxa"/>
            <w:tcBorders>
              <w:tl2br w:val="nil"/>
              <w:tr2bl w:val="nil"/>
            </w:tcBorders>
            <w:shd w:val="clear" w:color="auto" w:fill="auto"/>
            <w:vAlign w:val="center"/>
          </w:tcPr>
          <w:p w14:paraId="1CFFEDE5">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21" w:type="dxa"/>
            <w:tcBorders>
              <w:tl2br w:val="nil"/>
              <w:tr2bl w:val="nil"/>
            </w:tcBorders>
            <w:shd w:val="clear" w:color="auto" w:fill="auto"/>
            <w:vAlign w:val="center"/>
          </w:tcPr>
          <w:p w14:paraId="0C6A1D8A">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41" w:type="dxa"/>
            <w:tcBorders>
              <w:tl2br w:val="nil"/>
              <w:tr2bl w:val="nil"/>
            </w:tcBorders>
            <w:shd w:val="clear" w:color="auto" w:fill="auto"/>
            <w:vAlign w:val="center"/>
          </w:tcPr>
          <w:p w14:paraId="3E202DDC">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166" w:type="dxa"/>
            <w:tcBorders>
              <w:tl2br w:val="nil"/>
              <w:tr2bl w:val="nil"/>
            </w:tcBorders>
            <w:shd w:val="clear" w:color="auto" w:fill="auto"/>
            <w:vAlign w:val="center"/>
          </w:tcPr>
          <w:p w14:paraId="24C5FD45">
            <w:pPr>
              <w:pStyle w:val="41"/>
              <w:spacing w:line="240" w:lineRule="auto"/>
              <w:rPr>
                <w:rFonts w:hint="default" w:cs="Times New Roman"/>
                <w:color w:val="auto"/>
                <w:u w:val="none"/>
                <w:lang w:val="en-US" w:eastAsia="zh-CN"/>
              </w:rPr>
            </w:pPr>
            <w:r>
              <w:rPr>
                <w:rFonts w:hint="eastAsia" w:cs="Times New Roman"/>
                <w:color w:val="auto"/>
                <w:u w:val="none"/>
                <w:lang w:val="en-US" w:eastAsia="zh-CN"/>
              </w:rPr>
              <w:t>0.0565</w:t>
            </w:r>
          </w:p>
        </w:tc>
        <w:tc>
          <w:tcPr>
            <w:tcW w:w="1113" w:type="dxa"/>
            <w:tcBorders>
              <w:tl2br w:val="nil"/>
              <w:tr2bl w:val="nil"/>
            </w:tcBorders>
            <w:shd w:val="clear" w:color="auto" w:fill="auto"/>
            <w:vAlign w:val="center"/>
          </w:tcPr>
          <w:p w14:paraId="650F9D1C">
            <w:pPr>
              <w:pStyle w:val="41"/>
              <w:spacing w:line="240" w:lineRule="auto"/>
              <w:rPr>
                <w:rFonts w:hint="default" w:cs="Times New Roman"/>
                <w:color w:val="auto"/>
                <w:u w:val="none"/>
                <w:lang w:val="en-US" w:eastAsia="zh-CN"/>
              </w:rPr>
            </w:pPr>
            <w:r>
              <w:rPr>
                <w:rFonts w:hint="eastAsia" w:cs="Times New Roman"/>
                <w:color w:val="auto"/>
                <w:u w:val="none"/>
                <w:lang w:val="en-US" w:eastAsia="zh-CN"/>
              </w:rPr>
              <w:t>0.40698</w:t>
            </w:r>
          </w:p>
        </w:tc>
      </w:tr>
    </w:tbl>
    <w:p w14:paraId="41BBA8B2">
      <w:pPr>
        <w:pStyle w:val="56"/>
        <w:ind w:firstLine="420" w:firstLineChars="200"/>
        <w:jc w:val="both"/>
        <w:rPr>
          <w:rFonts w:hint="default" w:ascii="Times New Roman" w:hAnsi="Times New Roman" w:eastAsia="宋体" w:cs="Times New Roman"/>
          <w:b w:val="0"/>
          <w:color w:val="auto"/>
          <w:u w:val="none"/>
          <w:lang w:val="en-US" w:eastAsia="zh-CN" w:bidi="ar"/>
        </w:rPr>
      </w:pPr>
      <w:r>
        <w:rPr>
          <w:rFonts w:hint="default" w:ascii="Times New Roman" w:hAnsi="Times New Roman" w:cs="Times New Roman"/>
          <w:b w:val="0"/>
          <w:color w:val="auto"/>
          <w:u w:val="none"/>
        </w:rPr>
        <w:t>计算系数*</w:t>
      </w:r>
      <w:r>
        <w:rPr>
          <w:rFonts w:hint="default" w:ascii="Times New Roman" w:hAnsi="Times New Roman" w:cs="Times New Roman"/>
          <w:b w:val="0"/>
          <w:color w:val="auto"/>
          <w:u w:val="none"/>
          <w:lang w:bidi="ar"/>
        </w:rPr>
        <w:t>说明：根据《污染源源强核算技术指南 电镀》（HJ984-2018），详见表4.6-</w:t>
      </w:r>
      <w:r>
        <w:rPr>
          <w:rFonts w:hint="eastAsia" w:cs="Times New Roman"/>
          <w:b w:val="0"/>
          <w:color w:val="auto"/>
          <w:u w:val="none"/>
          <w:lang w:val="en-US" w:eastAsia="zh-CN" w:bidi="ar"/>
        </w:rPr>
        <w:t>2。</w:t>
      </w:r>
    </w:p>
    <w:p w14:paraId="089F734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 xml:space="preserve">2  </w:t>
      </w:r>
      <w:r>
        <w:rPr>
          <w:rFonts w:hint="default" w:ascii="Times New Roman" w:hAnsi="Times New Roman" w:cs="Times New Roman"/>
          <w:b/>
          <w:bCs/>
          <w:color w:val="auto"/>
          <w:u w:val="none"/>
        </w:rPr>
        <w:t>单位镀槽液面面积单位时间废气污染物产污系数</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1"/>
        <w:gridCol w:w="1199"/>
        <w:gridCol w:w="1557"/>
        <w:gridCol w:w="6227"/>
      </w:tblGrid>
      <w:tr w14:paraId="101331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871" w:type="dxa"/>
            <w:tcBorders>
              <w:tl2br w:val="nil"/>
              <w:tr2bl w:val="nil"/>
            </w:tcBorders>
            <w:shd w:val="clear" w:color="auto" w:fill="auto"/>
            <w:vAlign w:val="center"/>
          </w:tcPr>
          <w:p w14:paraId="311B9706">
            <w:pPr>
              <w:pStyle w:val="41"/>
              <w:spacing w:line="240" w:lineRule="auto"/>
              <w:jc w:val="both"/>
              <w:rPr>
                <w:rFonts w:hint="default" w:ascii="Times New Roman" w:hAnsi="Times New Roman" w:cs="Times New Roman"/>
                <w:color w:val="auto"/>
                <w:u w:val="none"/>
              </w:rPr>
            </w:pPr>
            <w:r>
              <w:rPr>
                <w:rFonts w:hint="default" w:ascii="Times New Roman" w:hAnsi="Times New Roman" w:cs="Times New Roman"/>
                <w:color w:val="auto"/>
                <w:u w:val="none"/>
              </w:rPr>
              <w:t>序号</w:t>
            </w:r>
          </w:p>
        </w:tc>
        <w:tc>
          <w:tcPr>
            <w:tcW w:w="1199" w:type="dxa"/>
            <w:tcBorders>
              <w:tl2br w:val="nil"/>
              <w:tr2bl w:val="nil"/>
            </w:tcBorders>
            <w:shd w:val="clear" w:color="auto" w:fill="auto"/>
            <w:vAlign w:val="center"/>
          </w:tcPr>
          <w:p w14:paraId="69AE9F9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污染物名称</w:t>
            </w:r>
          </w:p>
        </w:tc>
        <w:tc>
          <w:tcPr>
            <w:tcW w:w="1557" w:type="dxa"/>
            <w:tcBorders>
              <w:tl2br w:val="nil"/>
              <w:tr2bl w:val="nil"/>
            </w:tcBorders>
            <w:shd w:val="clear" w:color="auto" w:fill="auto"/>
            <w:vAlign w:val="center"/>
          </w:tcPr>
          <w:p w14:paraId="52E50534">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产生量(g/h·m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w:t>
            </w:r>
          </w:p>
        </w:tc>
        <w:tc>
          <w:tcPr>
            <w:tcW w:w="6227" w:type="dxa"/>
            <w:tcBorders>
              <w:tl2br w:val="nil"/>
              <w:tr2bl w:val="nil"/>
            </w:tcBorders>
            <w:shd w:val="clear" w:color="auto" w:fill="auto"/>
            <w:vAlign w:val="center"/>
          </w:tcPr>
          <w:p w14:paraId="5DB16AD1">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使用范围</w:t>
            </w:r>
          </w:p>
        </w:tc>
      </w:tr>
      <w:tr w14:paraId="086576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17" w:hRule="atLeast"/>
          <w:jc w:val="center"/>
        </w:trPr>
        <w:tc>
          <w:tcPr>
            <w:tcW w:w="871" w:type="dxa"/>
            <w:vMerge w:val="restart"/>
            <w:tcBorders>
              <w:tl2br w:val="nil"/>
              <w:tr2bl w:val="nil"/>
            </w:tcBorders>
            <w:shd w:val="clear" w:color="auto" w:fill="auto"/>
            <w:vAlign w:val="center"/>
          </w:tcPr>
          <w:p w14:paraId="4C4B6E74">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199" w:type="dxa"/>
            <w:vMerge w:val="restart"/>
            <w:tcBorders>
              <w:tl2br w:val="nil"/>
              <w:tr2bl w:val="nil"/>
            </w:tcBorders>
            <w:shd w:val="clear" w:color="auto" w:fill="auto"/>
            <w:vAlign w:val="center"/>
          </w:tcPr>
          <w:p w14:paraId="189C909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1557" w:type="dxa"/>
            <w:tcBorders>
              <w:tl2br w:val="nil"/>
              <w:tr2bl w:val="nil"/>
            </w:tcBorders>
            <w:shd w:val="clear" w:color="auto" w:fill="auto"/>
            <w:vAlign w:val="center"/>
          </w:tcPr>
          <w:p w14:paraId="2EE07253">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25.2</w:t>
            </w:r>
          </w:p>
        </w:tc>
        <w:tc>
          <w:tcPr>
            <w:tcW w:w="6227" w:type="dxa"/>
            <w:tcBorders>
              <w:tl2br w:val="nil"/>
              <w:tr2bl w:val="nil"/>
            </w:tcBorders>
            <w:shd w:val="clear" w:color="auto" w:fill="auto"/>
            <w:vAlign w:val="center"/>
          </w:tcPr>
          <w:p w14:paraId="6710E833">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在质量浓度大于100g/L的硫酸中浸蚀、抛光,硫酸阳极氧化,在稀而热的硫酸中浸蚀、抛光</w:t>
            </w:r>
            <w:r>
              <w:rPr>
                <w:rFonts w:hint="eastAsia" w:cs="Times New Roman"/>
                <w:color w:val="auto"/>
                <w:u w:val="none"/>
                <w:lang w:eastAsia="zh-CN"/>
              </w:rPr>
              <w:t>，</w:t>
            </w:r>
            <w:r>
              <w:rPr>
                <w:rFonts w:hint="default" w:ascii="Times New Roman" w:hAnsi="Times New Roman" w:cs="Times New Roman"/>
                <w:color w:val="auto"/>
                <w:u w:val="none"/>
              </w:rPr>
              <w:t>在浓硫酸中退镍、退铜、退银等</w:t>
            </w:r>
          </w:p>
        </w:tc>
      </w:tr>
      <w:tr w14:paraId="5CEC61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40" w:hRule="atLeast"/>
          <w:jc w:val="center"/>
        </w:trPr>
        <w:tc>
          <w:tcPr>
            <w:tcW w:w="871" w:type="dxa"/>
            <w:vMerge w:val="continue"/>
            <w:tcBorders>
              <w:tl2br w:val="nil"/>
              <w:tr2bl w:val="nil"/>
            </w:tcBorders>
            <w:shd w:val="clear" w:color="auto" w:fill="auto"/>
            <w:vAlign w:val="center"/>
          </w:tcPr>
          <w:p w14:paraId="4CF9B152">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10D82FA7">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13B6A3F7">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可忽略</w:t>
            </w:r>
          </w:p>
        </w:tc>
        <w:tc>
          <w:tcPr>
            <w:tcW w:w="6227" w:type="dxa"/>
            <w:tcBorders>
              <w:tl2br w:val="nil"/>
              <w:tr2bl w:val="nil"/>
            </w:tcBorders>
            <w:shd w:val="clear" w:color="auto" w:fill="auto"/>
            <w:vAlign w:val="center"/>
          </w:tcPr>
          <w:p w14:paraId="02A43B78">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室温下含硫酸的溶液中镀铜、镀锡、镀锌、镀镉</w:t>
            </w:r>
            <w:r>
              <w:rPr>
                <w:rFonts w:hint="eastAsia" w:cs="Times New Roman"/>
                <w:color w:val="auto"/>
                <w:u w:val="none"/>
                <w:lang w:eastAsia="zh-CN"/>
              </w:rPr>
              <w:t>，</w:t>
            </w:r>
            <w:r>
              <w:rPr>
                <w:rFonts w:hint="default" w:ascii="Times New Roman" w:hAnsi="Times New Roman" w:cs="Times New Roman"/>
                <w:color w:val="auto"/>
                <w:u w:val="none"/>
              </w:rPr>
              <w:t>弱硫酸酸洗</w:t>
            </w:r>
          </w:p>
        </w:tc>
      </w:tr>
      <w:tr w14:paraId="6201A1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restart"/>
            <w:tcBorders>
              <w:tl2br w:val="nil"/>
              <w:tr2bl w:val="nil"/>
            </w:tcBorders>
            <w:shd w:val="clear" w:color="auto" w:fill="auto"/>
            <w:vAlign w:val="center"/>
          </w:tcPr>
          <w:p w14:paraId="7457FC0F">
            <w:pPr>
              <w:pStyle w:val="41"/>
              <w:spacing w:line="240" w:lineRule="auto"/>
              <w:rPr>
                <w:rFonts w:hint="default" w:ascii="Times New Roman" w:hAnsi="Times New Roman" w:cs="Times New Roman"/>
                <w:color w:val="auto"/>
                <w:u w:val="none"/>
              </w:rPr>
            </w:pPr>
            <w:r>
              <w:rPr>
                <w:rFonts w:hint="eastAsia"/>
              </w:rPr>
              <w:t>2</w:t>
            </w:r>
          </w:p>
        </w:tc>
        <w:tc>
          <w:tcPr>
            <w:tcW w:w="1199" w:type="dxa"/>
            <w:vMerge w:val="restart"/>
            <w:tcBorders>
              <w:tl2br w:val="nil"/>
              <w:tr2bl w:val="nil"/>
            </w:tcBorders>
            <w:shd w:val="clear" w:color="auto" w:fill="auto"/>
            <w:vAlign w:val="center"/>
          </w:tcPr>
          <w:p w14:paraId="2F1DD8E7">
            <w:pPr>
              <w:pStyle w:val="41"/>
              <w:spacing w:line="240" w:lineRule="auto"/>
              <w:rPr>
                <w:rFonts w:hint="default" w:ascii="Times New Roman" w:hAnsi="Times New Roman" w:cs="Times New Roman"/>
                <w:color w:val="auto"/>
                <w:u w:val="none"/>
              </w:rPr>
            </w:pPr>
            <w:r>
              <w:t>氮氧化物</w:t>
            </w:r>
          </w:p>
        </w:tc>
        <w:tc>
          <w:tcPr>
            <w:tcW w:w="1557" w:type="dxa"/>
            <w:tcBorders>
              <w:tl2br w:val="nil"/>
              <w:tr2bl w:val="nil"/>
            </w:tcBorders>
            <w:shd w:val="clear" w:color="auto" w:fill="auto"/>
            <w:vAlign w:val="center"/>
          </w:tcPr>
          <w:p w14:paraId="72540FC4">
            <w:pPr>
              <w:pStyle w:val="41"/>
              <w:spacing w:line="240" w:lineRule="auto"/>
              <w:rPr>
                <w:rFonts w:hint="default" w:ascii="Times New Roman" w:hAnsi="Times New Roman" w:cs="Times New Roman"/>
                <w:color w:val="auto"/>
                <w:u w:val="none"/>
              </w:rPr>
            </w:pPr>
            <w:r>
              <w:t>800~3000</w:t>
            </w:r>
          </w:p>
        </w:tc>
        <w:tc>
          <w:tcPr>
            <w:tcW w:w="6227" w:type="dxa"/>
            <w:tcBorders>
              <w:tl2br w:val="nil"/>
              <w:tr2bl w:val="nil"/>
            </w:tcBorders>
            <w:shd w:val="clear" w:color="auto" w:fill="auto"/>
            <w:vAlign w:val="center"/>
          </w:tcPr>
          <w:p w14:paraId="020982EA">
            <w:pPr>
              <w:pStyle w:val="41"/>
              <w:spacing w:line="240" w:lineRule="auto"/>
              <w:rPr>
                <w:rFonts w:hint="default" w:ascii="Times New Roman" w:hAnsi="Times New Roman" w:cs="Times New Roman"/>
                <w:color w:val="auto"/>
                <w:u w:val="none"/>
              </w:rPr>
            </w:pPr>
            <w:r>
              <w:t>铜及合金酸洗、光亮酸洗,铝及铝合金碱腐蚀后酸洗出光、化学抛光,随温度高低(常温、≤45℃、≤60℃)及硝酸含量高低(硝酸质量百分浓度141-21lg/L、423-564g/L、&gt;700g/L)分取上、中、下限</w:t>
            </w:r>
          </w:p>
        </w:tc>
      </w:tr>
      <w:tr w14:paraId="4DFDB3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33C1191E">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75709E33">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64B99881">
            <w:pPr>
              <w:pStyle w:val="41"/>
              <w:spacing w:line="240" w:lineRule="auto"/>
              <w:rPr>
                <w:rFonts w:hint="default" w:ascii="Times New Roman" w:hAnsi="Times New Roman" w:cs="Times New Roman"/>
                <w:color w:val="auto"/>
                <w:u w:val="none"/>
              </w:rPr>
            </w:pPr>
            <w:r>
              <w:t>7500</w:t>
            </w:r>
          </w:p>
        </w:tc>
        <w:tc>
          <w:tcPr>
            <w:tcW w:w="6227" w:type="dxa"/>
            <w:tcBorders>
              <w:tl2br w:val="nil"/>
              <w:tr2bl w:val="nil"/>
            </w:tcBorders>
            <w:shd w:val="clear" w:color="auto" w:fill="auto"/>
            <w:vAlign w:val="center"/>
          </w:tcPr>
          <w:p w14:paraId="13832EBE">
            <w:pPr>
              <w:pStyle w:val="41"/>
              <w:spacing w:line="240" w:lineRule="auto"/>
              <w:rPr>
                <w:rFonts w:hint="default" w:ascii="Times New Roman" w:hAnsi="Times New Roman" w:cs="Times New Roman"/>
                <w:color w:val="auto"/>
                <w:u w:val="none"/>
              </w:rPr>
            </w:pPr>
            <w:r>
              <w:t>适用于97%浓硝酸</w:t>
            </w:r>
            <w:r>
              <w:rPr>
                <w:rFonts w:hint="eastAsia"/>
              </w:rPr>
              <w:t>,</w:t>
            </w:r>
            <w:r>
              <w:t>在无水条件下退镍、退铜和退挂具</w:t>
            </w:r>
          </w:p>
        </w:tc>
      </w:tr>
      <w:tr w14:paraId="5AB672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40169668">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3A7513E4">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590B93E9">
            <w:pPr>
              <w:pStyle w:val="41"/>
              <w:spacing w:line="240" w:lineRule="auto"/>
              <w:rPr>
                <w:rFonts w:hint="default" w:ascii="Times New Roman" w:hAnsi="Times New Roman" w:cs="Times New Roman"/>
                <w:color w:val="auto"/>
                <w:u w:val="none"/>
              </w:rPr>
            </w:pPr>
            <w:r>
              <w:t>10.8</w:t>
            </w:r>
          </w:p>
        </w:tc>
        <w:tc>
          <w:tcPr>
            <w:tcW w:w="6227" w:type="dxa"/>
            <w:tcBorders>
              <w:tl2br w:val="nil"/>
              <w:tr2bl w:val="nil"/>
            </w:tcBorders>
            <w:shd w:val="clear" w:color="auto" w:fill="auto"/>
            <w:vAlign w:val="center"/>
          </w:tcPr>
          <w:p w14:paraId="097717CE">
            <w:pPr>
              <w:pStyle w:val="41"/>
              <w:spacing w:line="240" w:lineRule="auto"/>
              <w:rPr>
                <w:rFonts w:hint="default" w:ascii="Times New Roman" w:hAnsi="Times New Roman" w:cs="Times New Roman"/>
                <w:color w:val="auto"/>
                <w:u w:val="none"/>
              </w:rPr>
            </w:pPr>
            <w:r>
              <w:t>在质量百分浓度10%~15%硝酸溶液中清洗铝、酸洗铜及合金等</w:t>
            </w:r>
          </w:p>
        </w:tc>
      </w:tr>
      <w:tr w14:paraId="755A3C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4A88772D">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3E4AE6D7">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1B03DDC8">
            <w:pPr>
              <w:pStyle w:val="41"/>
              <w:spacing w:line="240" w:lineRule="auto"/>
              <w:rPr>
                <w:rFonts w:hint="default" w:ascii="Times New Roman" w:hAnsi="Times New Roman" w:cs="Times New Roman"/>
                <w:color w:val="auto"/>
                <w:u w:val="none"/>
              </w:rPr>
            </w:pPr>
            <w:r>
              <w:t>可忽略</w:t>
            </w:r>
          </w:p>
        </w:tc>
        <w:tc>
          <w:tcPr>
            <w:tcW w:w="6227" w:type="dxa"/>
            <w:tcBorders>
              <w:tl2br w:val="nil"/>
              <w:tr2bl w:val="nil"/>
            </w:tcBorders>
            <w:shd w:val="clear" w:color="auto" w:fill="auto"/>
            <w:vAlign w:val="center"/>
          </w:tcPr>
          <w:p w14:paraId="35B79D37">
            <w:pPr>
              <w:pStyle w:val="41"/>
              <w:spacing w:line="240" w:lineRule="auto"/>
              <w:rPr>
                <w:rFonts w:hint="default" w:ascii="Times New Roman" w:hAnsi="Times New Roman" w:cs="Times New Roman"/>
                <w:color w:val="auto"/>
                <w:u w:val="none"/>
              </w:rPr>
            </w:pPr>
            <w:r>
              <w:t>在质量百分浓度≤3%稀硝酸溶液中清洗铝、不锈钢钝化、锌镀层出光等</w:t>
            </w:r>
          </w:p>
        </w:tc>
      </w:tr>
      <w:tr w14:paraId="2FDC7F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restart"/>
            <w:tcBorders>
              <w:tl2br w:val="nil"/>
              <w:tr2bl w:val="nil"/>
            </w:tcBorders>
            <w:shd w:val="clear" w:color="auto" w:fill="auto"/>
            <w:vAlign w:val="center"/>
          </w:tcPr>
          <w:p w14:paraId="63BF46D4">
            <w:pPr>
              <w:pStyle w:val="41"/>
              <w:spacing w:line="240" w:lineRule="auto"/>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3</w:t>
            </w:r>
          </w:p>
        </w:tc>
        <w:tc>
          <w:tcPr>
            <w:tcW w:w="1199" w:type="dxa"/>
            <w:vMerge w:val="restart"/>
            <w:tcBorders>
              <w:tl2br w:val="nil"/>
              <w:tr2bl w:val="nil"/>
            </w:tcBorders>
            <w:shd w:val="clear" w:color="auto" w:fill="auto"/>
            <w:vAlign w:val="center"/>
          </w:tcPr>
          <w:p w14:paraId="21FD560B">
            <w:pPr>
              <w:pStyle w:val="41"/>
              <w:spacing w:line="240" w:lineRule="auto"/>
              <w:rPr>
                <w:rFonts w:hint="default" w:ascii="Times New Roman" w:hAnsi="Times New Roman" w:cs="Times New Roman"/>
                <w:color w:val="auto"/>
                <w:u w:val="none"/>
              </w:rPr>
            </w:pPr>
            <w:r>
              <w:rPr>
                <w:rFonts w:hint="default" w:ascii="Times New Roman" w:hAnsi="Times New Roman" w:cs="Times New Roman"/>
                <w:color w:val="auto"/>
                <w:u w:val="none"/>
              </w:rPr>
              <w:t>铬酸雾</w:t>
            </w:r>
          </w:p>
          <w:p w14:paraId="0AD8A92B">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70C2B849">
            <w:pPr>
              <w:pStyle w:val="41"/>
              <w:spacing w:line="240" w:lineRule="auto"/>
              <w:rPr>
                <w:rFonts w:hint="default" w:eastAsia="宋体"/>
                <w:lang w:val="en-US" w:eastAsia="zh-CN"/>
              </w:rPr>
            </w:pPr>
            <w:r>
              <w:rPr>
                <w:rFonts w:hint="eastAsia"/>
                <w:lang w:val="en-US" w:eastAsia="zh-CN"/>
              </w:rPr>
              <w:t>0.38</w:t>
            </w:r>
          </w:p>
        </w:tc>
        <w:tc>
          <w:tcPr>
            <w:tcW w:w="6227" w:type="dxa"/>
            <w:tcBorders>
              <w:tl2br w:val="nil"/>
              <w:tr2bl w:val="nil"/>
            </w:tcBorders>
            <w:shd w:val="clear" w:color="auto" w:fill="auto"/>
            <w:vAlign w:val="center"/>
          </w:tcPr>
          <w:p w14:paraId="7C3C973E">
            <w:pPr>
              <w:pStyle w:val="41"/>
              <w:spacing w:line="240" w:lineRule="auto"/>
            </w:pPr>
            <w:r>
              <w:rPr>
                <w:rFonts w:hint="eastAsia"/>
              </w:rPr>
              <w:t>添加铬雾抑制剂的镀铬糟</w:t>
            </w:r>
          </w:p>
        </w:tc>
      </w:tr>
      <w:tr w14:paraId="1CEA76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1F325BAD">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2DD24673">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257271B6">
            <w:pPr>
              <w:pStyle w:val="41"/>
              <w:spacing w:line="240" w:lineRule="auto"/>
              <w:rPr>
                <w:rFonts w:hint="default" w:eastAsia="宋体"/>
                <w:lang w:val="en-US" w:eastAsia="zh-CN"/>
              </w:rPr>
            </w:pPr>
            <w:r>
              <w:rPr>
                <w:rFonts w:hint="eastAsia"/>
                <w:lang w:val="en-US" w:eastAsia="zh-CN"/>
              </w:rPr>
              <w:t>42.48</w:t>
            </w:r>
          </w:p>
        </w:tc>
        <w:tc>
          <w:tcPr>
            <w:tcW w:w="6227" w:type="dxa"/>
            <w:tcBorders>
              <w:tl2br w:val="nil"/>
              <w:tr2bl w:val="nil"/>
            </w:tcBorders>
            <w:shd w:val="clear" w:color="auto" w:fill="auto"/>
            <w:vAlign w:val="center"/>
          </w:tcPr>
          <w:p w14:paraId="28D7F717">
            <w:pPr>
              <w:pStyle w:val="41"/>
              <w:spacing w:line="240" w:lineRule="auto"/>
            </w:pPr>
            <w:r>
              <w:rPr>
                <w:rFonts w:hint="eastAsia"/>
              </w:rPr>
              <w:t>工件阳极电流密度为 10~30A/dm2、铬酸质量浓度为 150~300g/L 溶液中不添加铬雾抑制剂的阳极处理（反拔）</w:t>
            </w:r>
          </w:p>
        </w:tc>
      </w:tr>
      <w:tr w14:paraId="683E87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0BEC954A">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4DC71EA3">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71DC6121">
            <w:pPr>
              <w:pStyle w:val="41"/>
              <w:spacing w:line="240" w:lineRule="auto"/>
              <w:rPr>
                <w:rFonts w:hint="default" w:eastAsia="宋体"/>
                <w:lang w:val="en-US" w:eastAsia="zh-CN"/>
              </w:rPr>
            </w:pPr>
            <w:r>
              <w:rPr>
                <w:rFonts w:hint="eastAsia"/>
                <w:lang w:val="en-US" w:eastAsia="zh-CN"/>
              </w:rPr>
              <w:t>8.50-26.50</w:t>
            </w:r>
          </w:p>
        </w:tc>
        <w:tc>
          <w:tcPr>
            <w:tcW w:w="6227" w:type="dxa"/>
            <w:tcBorders>
              <w:tl2br w:val="nil"/>
              <w:tr2bl w:val="nil"/>
            </w:tcBorders>
            <w:shd w:val="clear" w:color="auto" w:fill="auto"/>
            <w:vAlign w:val="center"/>
          </w:tcPr>
          <w:p w14:paraId="07F76E33">
            <w:pPr>
              <w:pStyle w:val="41"/>
              <w:spacing w:line="240" w:lineRule="auto"/>
            </w:pPr>
            <w:r>
              <w:rPr>
                <w:rFonts w:hint="eastAsia"/>
              </w:rPr>
              <w:t>工件阳极电流密度为 7~100A/dm2、铬酐质量浓度为 30~230g/L 溶液中电抛光铝件、不锈钢件、钢件取 8.50；高温高浓度塑料粗化溶液槽取 26.50</w:t>
            </w:r>
          </w:p>
        </w:tc>
      </w:tr>
      <w:tr w14:paraId="109B1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312952FA">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4F2B7A86">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3208C1A2">
            <w:pPr>
              <w:pStyle w:val="41"/>
              <w:spacing w:line="240" w:lineRule="auto"/>
              <w:rPr>
                <w:rFonts w:hint="default" w:eastAsia="宋体"/>
                <w:lang w:val="en-US" w:eastAsia="zh-CN"/>
              </w:rPr>
            </w:pPr>
            <w:r>
              <w:rPr>
                <w:rFonts w:hint="eastAsia"/>
                <w:lang w:val="en-US" w:eastAsia="zh-CN"/>
              </w:rPr>
              <w:t>4.25</w:t>
            </w:r>
          </w:p>
        </w:tc>
        <w:tc>
          <w:tcPr>
            <w:tcW w:w="6227" w:type="dxa"/>
            <w:tcBorders>
              <w:tl2br w:val="nil"/>
              <w:tr2bl w:val="nil"/>
            </w:tcBorders>
            <w:shd w:val="clear" w:color="auto" w:fill="auto"/>
            <w:vAlign w:val="center"/>
          </w:tcPr>
          <w:p w14:paraId="59DFF7A6">
            <w:pPr>
              <w:pStyle w:val="41"/>
              <w:spacing w:line="240" w:lineRule="auto"/>
            </w:pPr>
            <w:r>
              <w:rPr>
                <w:rFonts w:hint="eastAsia"/>
              </w:rPr>
              <w:t>铝、镁中温化学氧化</w:t>
            </w:r>
          </w:p>
        </w:tc>
      </w:tr>
      <w:tr w14:paraId="621AF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764AA843">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0B7EC63C">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41087A39">
            <w:pPr>
              <w:pStyle w:val="41"/>
              <w:spacing w:line="240" w:lineRule="auto"/>
              <w:rPr>
                <w:rFonts w:hint="default" w:eastAsia="宋体"/>
                <w:lang w:val="en-US" w:eastAsia="zh-CN"/>
              </w:rPr>
            </w:pPr>
            <w:r>
              <w:rPr>
                <w:rFonts w:hint="eastAsia"/>
                <w:lang w:val="en-US" w:eastAsia="zh-CN"/>
              </w:rPr>
              <w:t>3.16</w:t>
            </w:r>
          </w:p>
        </w:tc>
        <w:tc>
          <w:tcPr>
            <w:tcW w:w="6227" w:type="dxa"/>
            <w:tcBorders>
              <w:tl2br w:val="nil"/>
              <w:tr2bl w:val="nil"/>
            </w:tcBorders>
            <w:shd w:val="clear" w:color="auto" w:fill="auto"/>
            <w:vAlign w:val="center"/>
          </w:tcPr>
          <w:p w14:paraId="527449CD">
            <w:pPr>
              <w:pStyle w:val="41"/>
              <w:spacing w:line="240" w:lineRule="auto"/>
            </w:pPr>
            <w:r>
              <w:rPr>
                <w:rFonts w:hint="eastAsia"/>
              </w:rPr>
              <w:t>铬酸阳极氧化</w:t>
            </w:r>
          </w:p>
        </w:tc>
      </w:tr>
      <w:tr w14:paraId="766952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5C35F8D8">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6C66E993">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3BA1F64F">
            <w:pPr>
              <w:pStyle w:val="41"/>
              <w:spacing w:line="240" w:lineRule="auto"/>
              <w:rPr>
                <w:rFonts w:hint="default" w:eastAsia="宋体"/>
                <w:lang w:val="en-US" w:eastAsia="zh-CN"/>
              </w:rPr>
            </w:pPr>
            <w:r>
              <w:rPr>
                <w:rFonts w:hint="eastAsia"/>
                <w:lang w:val="en-US" w:eastAsia="zh-CN"/>
              </w:rPr>
              <w:t>3.16</w:t>
            </w:r>
          </w:p>
        </w:tc>
        <w:tc>
          <w:tcPr>
            <w:tcW w:w="6227" w:type="dxa"/>
            <w:tcBorders>
              <w:tl2br w:val="nil"/>
              <w:tr2bl w:val="nil"/>
            </w:tcBorders>
            <w:shd w:val="clear" w:color="auto" w:fill="auto"/>
            <w:vAlign w:val="center"/>
          </w:tcPr>
          <w:p w14:paraId="4D792ECC">
            <w:pPr>
              <w:pStyle w:val="41"/>
              <w:spacing w:line="240" w:lineRule="auto"/>
            </w:pPr>
            <w:r>
              <w:rPr>
                <w:rFonts w:hint="eastAsia"/>
              </w:rPr>
              <w:t>铬酸阳极氧化，塑料球覆盖槽液</w:t>
            </w:r>
          </w:p>
        </w:tc>
      </w:tr>
      <w:tr w14:paraId="5E5FCD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297DBA29">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35E20555">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686FA429">
            <w:pPr>
              <w:pStyle w:val="41"/>
              <w:spacing w:line="240" w:lineRule="auto"/>
              <w:rPr>
                <w:rFonts w:hint="default" w:eastAsia="宋体"/>
                <w:lang w:val="en-US" w:eastAsia="zh-CN"/>
              </w:rPr>
            </w:pPr>
            <w:r>
              <w:rPr>
                <w:rFonts w:hint="eastAsia"/>
                <w:lang w:val="en-US" w:eastAsia="zh-CN"/>
              </w:rPr>
              <w:t>0.101</w:t>
            </w:r>
          </w:p>
        </w:tc>
        <w:tc>
          <w:tcPr>
            <w:tcW w:w="6227" w:type="dxa"/>
            <w:tcBorders>
              <w:tl2br w:val="nil"/>
              <w:tr2bl w:val="nil"/>
            </w:tcBorders>
            <w:shd w:val="clear" w:color="auto" w:fill="auto"/>
            <w:vAlign w:val="center"/>
          </w:tcPr>
          <w:p w14:paraId="4A817363">
            <w:pPr>
              <w:pStyle w:val="41"/>
              <w:spacing w:line="240" w:lineRule="auto"/>
            </w:pPr>
            <w:r>
              <w:rPr>
                <w:rFonts w:hint="eastAsia"/>
              </w:rPr>
              <w:t>铬酸阳极氧化，添加酸雾抑制剂</w:t>
            </w:r>
          </w:p>
        </w:tc>
      </w:tr>
      <w:tr w14:paraId="1E6E5E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71FAD8F9">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64B9168E">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15BDE9E2">
            <w:pPr>
              <w:pStyle w:val="41"/>
              <w:spacing w:line="240" w:lineRule="auto"/>
              <w:rPr>
                <w:rFonts w:hint="default" w:eastAsia="宋体"/>
                <w:lang w:val="en-US" w:eastAsia="zh-CN"/>
              </w:rPr>
            </w:pPr>
            <w:r>
              <w:rPr>
                <w:rFonts w:hint="eastAsia"/>
                <w:lang w:val="en-US" w:eastAsia="zh-CN"/>
              </w:rPr>
              <w:t>0.039</w:t>
            </w:r>
          </w:p>
        </w:tc>
        <w:tc>
          <w:tcPr>
            <w:tcW w:w="6227" w:type="dxa"/>
            <w:tcBorders>
              <w:tl2br w:val="nil"/>
              <w:tr2bl w:val="nil"/>
            </w:tcBorders>
            <w:shd w:val="clear" w:color="auto" w:fill="auto"/>
            <w:vAlign w:val="center"/>
          </w:tcPr>
          <w:p w14:paraId="285E56FA">
            <w:pPr>
              <w:pStyle w:val="41"/>
              <w:spacing w:line="240" w:lineRule="auto"/>
            </w:pPr>
            <w:r>
              <w:rPr>
                <w:rFonts w:hint="eastAsia"/>
              </w:rPr>
              <w:t>铬酸阳极氧化，添加酸雾抑制剂及塑料球覆盖槽液</w:t>
            </w:r>
          </w:p>
        </w:tc>
      </w:tr>
      <w:tr w14:paraId="2D15B1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05037DE6">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648FDD89">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3310E172">
            <w:pPr>
              <w:pStyle w:val="41"/>
              <w:spacing w:line="240" w:lineRule="auto"/>
              <w:rPr>
                <w:rFonts w:hint="default" w:eastAsia="宋体"/>
                <w:lang w:val="en-US" w:eastAsia="zh-CN"/>
              </w:rPr>
            </w:pPr>
            <w:r>
              <w:rPr>
                <w:rFonts w:hint="eastAsia"/>
                <w:lang w:val="en-US" w:eastAsia="zh-CN"/>
              </w:rPr>
              <w:t>0.023</w:t>
            </w:r>
          </w:p>
        </w:tc>
        <w:tc>
          <w:tcPr>
            <w:tcW w:w="6227" w:type="dxa"/>
            <w:tcBorders>
              <w:tl2br w:val="nil"/>
              <w:tr2bl w:val="nil"/>
            </w:tcBorders>
            <w:shd w:val="clear" w:color="auto" w:fill="auto"/>
            <w:vAlign w:val="center"/>
          </w:tcPr>
          <w:p w14:paraId="7431B52E">
            <w:pPr>
              <w:pStyle w:val="41"/>
              <w:spacing w:line="240" w:lineRule="auto"/>
              <w:rPr>
                <w:rFonts w:hint="eastAsia"/>
              </w:rPr>
            </w:pPr>
            <w:r>
              <w:rPr>
                <w:rFonts w:hint="eastAsia"/>
              </w:rPr>
              <w:t>在加温下的低浓度铬酸或铬酸盐的钝化溶液</w:t>
            </w:r>
          </w:p>
        </w:tc>
      </w:tr>
      <w:tr w14:paraId="5FC70A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95" w:hRule="atLeast"/>
          <w:jc w:val="center"/>
        </w:trPr>
        <w:tc>
          <w:tcPr>
            <w:tcW w:w="871" w:type="dxa"/>
            <w:vMerge w:val="continue"/>
            <w:tcBorders>
              <w:tl2br w:val="nil"/>
              <w:tr2bl w:val="nil"/>
            </w:tcBorders>
            <w:shd w:val="clear" w:color="auto" w:fill="auto"/>
            <w:vAlign w:val="center"/>
          </w:tcPr>
          <w:p w14:paraId="709E6A7B">
            <w:pPr>
              <w:pStyle w:val="41"/>
              <w:spacing w:line="240" w:lineRule="auto"/>
              <w:rPr>
                <w:rFonts w:hint="default" w:ascii="Times New Roman" w:hAnsi="Times New Roman" w:cs="Times New Roman"/>
                <w:color w:val="auto"/>
                <w:u w:val="none"/>
              </w:rPr>
            </w:pPr>
          </w:p>
        </w:tc>
        <w:tc>
          <w:tcPr>
            <w:tcW w:w="1199" w:type="dxa"/>
            <w:vMerge w:val="continue"/>
            <w:tcBorders>
              <w:tl2br w:val="nil"/>
              <w:tr2bl w:val="nil"/>
            </w:tcBorders>
            <w:shd w:val="clear" w:color="auto" w:fill="auto"/>
            <w:vAlign w:val="center"/>
          </w:tcPr>
          <w:p w14:paraId="61404A79">
            <w:pPr>
              <w:pStyle w:val="41"/>
              <w:spacing w:line="240" w:lineRule="auto"/>
              <w:rPr>
                <w:rFonts w:hint="default" w:ascii="Times New Roman" w:hAnsi="Times New Roman" w:cs="Times New Roman"/>
                <w:color w:val="auto"/>
                <w:u w:val="none"/>
              </w:rPr>
            </w:pPr>
          </w:p>
        </w:tc>
        <w:tc>
          <w:tcPr>
            <w:tcW w:w="1557" w:type="dxa"/>
            <w:tcBorders>
              <w:tl2br w:val="nil"/>
              <w:tr2bl w:val="nil"/>
            </w:tcBorders>
            <w:shd w:val="clear" w:color="auto" w:fill="auto"/>
            <w:vAlign w:val="center"/>
          </w:tcPr>
          <w:p w14:paraId="09CD1958">
            <w:pPr>
              <w:pStyle w:val="41"/>
              <w:spacing w:line="240" w:lineRule="auto"/>
            </w:pPr>
            <w:r>
              <w:t>可忽略</w:t>
            </w:r>
          </w:p>
        </w:tc>
        <w:tc>
          <w:tcPr>
            <w:tcW w:w="6227" w:type="dxa"/>
            <w:tcBorders>
              <w:tl2br w:val="nil"/>
              <w:tr2bl w:val="nil"/>
            </w:tcBorders>
            <w:shd w:val="clear" w:color="auto" w:fill="auto"/>
            <w:vAlign w:val="center"/>
          </w:tcPr>
          <w:p w14:paraId="20504AA4">
            <w:pPr>
              <w:pStyle w:val="41"/>
              <w:spacing w:line="240" w:lineRule="auto"/>
            </w:pPr>
            <w:r>
              <w:rPr>
                <w:rFonts w:hint="eastAsia"/>
              </w:rPr>
              <w:t>常温下低铬酸及其盐溶液中钝化溶液</w:t>
            </w:r>
          </w:p>
        </w:tc>
      </w:tr>
    </w:tbl>
    <w:p w14:paraId="3B93EE4E">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阳极氧化线产生的酸性废气，酸雾废气密闭收集后引至楼顶通过“</w:t>
      </w:r>
      <w:r>
        <w:rPr>
          <w:rFonts w:hint="eastAsia" w:ascii="Times New Roman" w:hAnsi="Times New Roman" w:cs="Times New Roman"/>
          <w:color w:val="auto"/>
          <w:kern w:val="0"/>
          <w:u w:val="none"/>
          <w:lang w:val="en-US" w:eastAsia="zh-CN" w:bidi="ar"/>
        </w:rPr>
        <w:t>两级</w:t>
      </w:r>
      <w:r>
        <w:rPr>
          <w:rFonts w:hint="default" w:ascii="Times New Roman" w:hAnsi="Times New Roman" w:cs="Times New Roman"/>
          <w:color w:val="auto"/>
          <w:kern w:val="0"/>
          <w:u w:val="none"/>
          <w:lang w:bidi="ar"/>
        </w:rPr>
        <w:t>碱液喷淋塔”进行处理，对硫酸雾的处理效率为90%以上</w:t>
      </w:r>
      <w:r>
        <w:rPr>
          <w:rFonts w:hint="eastAsia" w:ascii="Times New Roman" w:hAnsi="Times New Roman" w:cs="Times New Roman"/>
          <w:color w:val="auto"/>
          <w:kern w:val="0"/>
          <w:u w:val="none"/>
          <w:lang w:eastAsia="zh-CN" w:bidi="ar"/>
        </w:rPr>
        <w:t>，</w:t>
      </w:r>
      <w:r>
        <w:rPr>
          <w:rFonts w:hint="eastAsia" w:ascii="Times New Roman" w:hAnsi="Times New Roman" w:cs="Times New Roman"/>
          <w:color w:val="auto"/>
          <w:kern w:val="0"/>
          <w:u w:val="none"/>
          <w:lang w:val="en-US" w:eastAsia="zh-CN" w:bidi="ar"/>
        </w:rPr>
        <w:t>铬酸雾废气</w:t>
      </w:r>
      <w:r>
        <w:rPr>
          <w:rFonts w:hint="default" w:ascii="Times New Roman" w:hAnsi="Times New Roman" w:cs="Times New Roman"/>
          <w:color w:val="auto"/>
          <w:kern w:val="0"/>
          <w:u w:val="none"/>
          <w:lang w:bidi="ar"/>
        </w:rPr>
        <w:t>密闭收集后引至楼顶通过“</w:t>
      </w:r>
      <w:r>
        <w:rPr>
          <w:rFonts w:hint="eastAsia" w:ascii="Times New Roman" w:hAnsi="Times New Roman" w:cs="Times New Roman"/>
          <w:color w:val="auto"/>
          <w:kern w:val="0"/>
          <w:u w:val="none"/>
          <w:lang w:val="en-US" w:eastAsia="zh-CN" w:bidi="ar"/>
        </w:rPr>
        <w:t>两级</w:t>
      </w:r>
      <w:r>
        <w:rPr>
          <w:rFonts w:hint="default" w:ascii="Times New Roman" w:hAnsi="Times New Roman" w:cs="Times New Roman"/>
          <w:color w:val="auto"/>
          <w:kern w:val="0"/>
          <w:u w:val="none"/>
          <w:lang w:bidi="ar"/>
        </w:rPr>
        <w:t>碱液喷淋塔”进行处理，对</w:t>
      </w:r>
      <w:r>
        <w:rPr>
          <w:rFonts w:hint="eastAsia" w:ascii="Times New Roman" w:hAnsi="Times New Roman" w:cs="Times New Roman"/>
          <w:color w:val="auto"/>
          <w:kern w:val="0"/>
          <w:u w:val="none"/>
          <w:lang w:val="en-US" w:eastAsia="zh-CN" w:bidi="ar"/>
        </w:rPr>
        <w:t>铬酸雾</w:t>
      </w:r>
      <w:r>
        <w:rPr>
          <w:rFonts w:hint="default" w:ascii="Times New Roman" w:hAnsi="Times New Roman" w:cs="Times New Roman"/>
          <w:color w:val="auto"/>
          <w:kern w:val="0"/>
          <w:u w:val="none"/>
          <w:lang w:bidi="ar"/>
        </w:rPr>
        <w:t>的处理效率为90%以上。</w:t>
      </w:r>
    </w:p>
    <w:p w14:paraId="425539AC">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①阳极氧化线</w:t>
      </w:r>
    </w:p>
    <w:p w14:paraId="589D7535">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阳极氧化线硫酸雾产生量为</w:t>
      </w:r>
      <w:r>
        <w:rPr>
          <w:rFonts w:hint="eastAsia" w:ascii="Times New Roman" w:hAnsi="Times New Roman" w:cs="Times New Roman"/>
          <w:color w:val="auto"/>
          <w:u w:val="none"/>
          <w:lang w:val="en-US" w:eastAsia="zh-CN"/>
        </w:rPr>
        <w:t>3.5126</w:t>
      </w:r>
      <w:r>
        <w:rPr>
          <w:rFonts w:hint="default" w:ascii="Times New Roman" w:hAnsi="Times New Roman" w:cs="Times New Roman"/>
          <w:color w:val="auto"/>
          <w:u w:val="none"/>
        </w:rPr>
        <w:t>t/a，产生速率为</w:t>
      </w:r>
      <w:r>
        <w:rPr>
          <w:rFonts w:hint="eastAsia" w:ascii="Times New Roman" w:hAnsi="Times New Roman" w:cs="Times New Roman"/>
          <w:color w:val="auto"/>
          <w:u w:val="none"/>
          <w:lang w:val="en-US" w:eastAsia="zh-CN"/>
        </w:rPr>
        <w:t>0.48786</w:t>
      </w:r>
      <w:r>
        <w:rPr>
          <w:rFonts w:hint="default" w:ascii="Times New Roman" w:hAnsi="Times New Roman" w:cs="Times New Roman"/>
          <w:color w:val="auto"/>
          <w:u w:val="none"/>
        </w:rPr>
        <w:t>kg/h，</w:t>
      </w:r>
      <w:r>
        <w:rPr>
          <w:rFonts w:ascii="Times New Roman" w:hAnsi="Times New Roman"/>
          <w:kern w:val="0"/>
          <w:lang w:bidi="ar"/>
        </w:rPr>
        <w:t>硝酸雾（氮氧化物）产生量为</w:t>
      </w:r>
      <w:r>
        <w:rPr>
          <w:rFonts w:hint="eastAsia" w:ascii="Times New Roman" w:hAnsi="Times New Roman"/>
          <w:lang w:val="en-US" w:eastAsia="zh-CN"/>
        </w:rPr>
        <w:t>1.5054</w:t>
      </w:r>
      <w:r>
        <w:rPr>
          <w:rFonts w:ascii="Times New Roman" w:hAnsi="Times New Roman"/>
        </w:rPr>
        <w:t>t/a，产生速率为</w:t>
      </w:r>
      <w:r>
        <w:rPr>
          <w:rFonts w:hint="eastAsia" w:ascii="Times New Roman" w:hAnsi="Times New Roman"/>
          <w:lang w:val="en-US" w:eastAsia="zh-CN"/>
        </w:rPr>
        <w:t>0.20892</w:t>
      </w:r>
      <w:r>
        <w:rPr>
          <w:rFonts w:ascii="Times New Roman" w:hAnsi="Times New Roman"/>
        </w:rPr>
        <w:t>kg/h，配套风机总风量</w:t>
      </w:r>
      <w:r>
        <w:rPr>
          <w:rFonts w:hint="eastAsia" w:ascii="Times New Roman" w:hAnsi="Times New Roman"/>
        </w:rPr>
        <w:t>2</w:t>
      </w:r>
      <w:r>
        <w:rPr>
          <w:rFonts w:ascii="Times New Roman" w:hAnsi="Times New Roman"/>
        </w:rPr>
        <w:t>0000m</w:t>
      </w:r>
      <w:r>
        <w:rPr>
          <w:rFonts w:ascii="Times New Roman" w:hAnsi="Times New Roman"/>
          <w:vertAlign w:val="superscript"/>
        </w:rPr>
        <w:t>3</w:t>
      </w:r>
      <w:r>
        <w:rPr>
          <w:rFonts w:ascii="Times New Roman" w:hAnsi="Times New Roman"/>
        </w:rPr>
        <w:t>/h，收集效率95%</w:t>
      </w:r>
      <w:r>
        <w:rPr>
          <w:rFonts w:hint="default" w:ascii="Times New Roman" w:hAnsi="Times New Roman" w:cs="Times New Roman"/>
          <w:color w:val="auto"/>
          <w:u w:val="none"/>
        </w:rPr>
        <w:t>。</w:t>
      </w:r>
    </w:p>
    <w:p w14:paraId="490561F1">
      <w:pPr>
        <w:ind w:firstLine="480"/>
        <w:rPr>
          <w:rFonts w:hint="eastAsia" w:ascii="Times New Roman" w:hAnsi="Times New Roman" w:eastAsia="宋体"/>
          <w:lang w:val="en-US" w:eastAsia="zh-CN"/>
        </w:rPr>
      </w:pPr>
      <w:r>
        <w:rPr>
          <w:rFonts w:ascii="Times New Roman" w:hAnsi="Times New Roman"/>
        </w:rPr>
        <w:t>②</w:t>
      </w:r>
      <w:r>
        <w:rPr>
          <w:rFonts w:hint="eastAsia" w:ascii="Times New Roman" w:hAnsi="Times New Roman"/>
        </w:rPr>
        <w:t>铬酸盐封闭</w:t>
      </w:r>
      <w:r>
        <w:rPr>
          <w:rFonts w:hint="eastAsia" w:ascii="Times New Roman" w:hAnsi="Times New Roman"/>
          <w:lang w:val="en-US" w:eastAsia="zh-CN"/>
        </w:rPr>
        <w:t>废气</w:t>
      </w:r>
    </w:p>
    <w:p w14:paraId="0E2025EA">
      <w:pPr>
        <w:widowControl/>
        <w:ind w:firstLine="480"/>
        <w:jc w:val="left"/>
        <w:rPr>
          <w:rFonts w:ascii="Times New Roman" w:hAnsi="Times New Roman"/>
        </w:rPr>
      </w:pPr>
      <w:r>
        <w:rPr>
          <w:rFonts w:hint="eastAsia" w:ascii="Times New Roman" w:hAnsi="Times New Roman"/>
          <w:kern w:val="0"/>
          <w:lang w:val="en-US" w:eastAsia="zh-CN" w:bidi="ar"/>
        </w:rPr>
        <w:t>铬酸雾</w:t>
      </w:r>
      <w:r>
        <w:rPr>
          <w:rFonts w:ascii="Times New Roman" w:hAnsi="Times New Roman"/>
          <w:kern w:val="0"/>
          <w:lang w:bidi="ar"/>
        </w:rPr>
        <w:t>产生量为</w:t>
      </w:r>
      <w:r>
        <w:rPr>
          <w:rFonts w:hint="eastAsia" w:ascii="Times New Roman" w:hAnsi="Times New Roman"/>
          <w:lang w:val="en-US" w:eastAsia="zh-CN"/>
        </w:rPr>
        <w:t>0.40698</w:t>
      </w:r>
      <w:r>
        <w:rPr>
          <w:rFonts w:ascii="Times New Roman" w:hAnsi="Times New Roman"/>
        </w:rPr>
        <w:t>t/a，产生速率为</w:t>
      </w:r>
      <w:r>
        <w:rPr>
          <w:rFonts w:hint="eastAsia" w:ascii="Times New Roman" w:hAnsi="Times New Roman"/>
          <w:lang w:val="en-US" w:eastAsia="zh-CN"/>
        </w:rPr>
        <w:t>0.0565</w:t>
      </w:r>
      <w:r>
        <w:rPr>
          <w:rFonts w:ascii="Times New Roman" w:hAnsi="Times New Roman"/>
        </w:rPr>
        <w:t>kg/h，配套风机总风量</w:t>
      </w:r>
      <w:r>
        <w:rPr>
          <w:rFonts w:hint="eastAsia" w:ascii="Times New Roman" w:hAnsi="Times New Roman"/>
          <w:lang w:val="en-US" w:eastAsia="zh-CN"/>
        </w:rPr>
        <w:t>3</w:t>
      </w:r>
      <w:r>
        <w:rPr>
          <w:rFonts w:ascii="Times New Roman" w:hAnsi="Times New Roman"/>
        </w:rPr>
        <w:t>0000m</w:t>
      </w:r>
      <w:r>
        <w:rPr>
          <w:rFonts w:ascii="Times New Roman" w:hAnsi="Times New Roman"/>
          <w:vertAlign w:val="superscript"/>
        </w:rPr>
        <w:t>3</w:t>
      </w:r>
      <w:r>
        <w:rPr>
          <w:rFonts w:ascii="Times New Roman" w:hAnsi="Times New Roman"/>
        </w:rPr>
        <w:t>/h，收集效率95%。</w:t>
      </w:r>
    </w:p>
    <w:p w14:paraId="157640A7">
      <w:pPr>
        <w:pStyle w:val="38"/>
        <w:rPr>
          <w:rFonts w:hint="default" w:ascii="Times New Roman" w:hAnsi="Times New Roman" w:cs="Times New Roman"/>
          <w:color w:val="auto"/>
          <w:u w:val="none"/>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14:paraId="7013EA26">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3</w:t>
      </w:r>
      <w:r>
        <w:rPr>
          <w:rFonts w:hint="default" w:ascii="Times New Roman" w:hAnsi="Times New Roman" w:cs="Times New Roman"/>
          <w:b/>
          <w:bCs/>
          <w:color w:val="auto"/>
          <w:u w:val="none"/>
        </w:rPr>
        <w:t xml:space="preserve"> </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废气污染物产生、治理及排放情况一览表</w:t>
      </w:r>
    </w:p>
    <w:tbl>
      <w:tblPr>
        <w:tblStyle w:val="30"/>
        <w:tblW w:w="536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480"/>
        <w:gridCol w:w="581"/>
        <w:gridCol w:w="605"/>
        <w:gridCol w:w="584"/>
        <w:gridCol w:w="1219"/>
        <w:gridCol w:w="1219"/>
        <w:gridCol w:w="1333"/>
        <w:gridCol w:w="1219"/>
        <w:gridCol w:w="1222"/>
        <w:gridCol w:w="682"/>
        <w:gridCol w:w="687"/>
        <w:gridCol w:w="1076"/>
        <w:gridCol w:w="1218"/>
        <w:gridCol w:w="1099"/>
        <w:gridCol w:w="1218"/>
        <w:gridCol w:w="1221"/>
      </w:tblGrid>
      <w:tr w14:paraId="147C2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vAlign w:val="center"/>
          </w:tcPr>
          <w:p w14:paraId="6AF5FB54">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位置</w:t>
            </w:r>
          </w:p>
        </w:tc>
        <w:tc>
          <w:tcPr>
            <w:tcW w:w="185" w:type="pct"/>
            <w:vMerge w:val="restart"/>
            <w:tcBorders>
              <w:tl2br w:val="nil"/>
              <w:tr2bl w:val="nil"/>
            </w:tcBorders>
            <w:vAlign w:val="center"/>
          </w:tcPr>
          <w:p w14:paraId="18DE904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产污环节</w:t>
            </w:r>
          </w:p>
        </w:tc>
        <w:tc>
          <w:tcPr>
            <w:tcW w:w="193" w:type="pct"/>
            <w:vMerge w:val="restart"/>
            <w:tcBorders>
              <w:tl2br w:val="nil"/>
              <w:tr2bl w:val="nil"/>
            </w:tcBorders>
            <w:vAlign w:val="center"/>
          </w:tcPr>
          <w:p w14:paraId="341D2F4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污染物</w:t>
            </w:r>
          </w:p>
        </w:tc>
        <w:tc>
          <w:tcPr>
            <w:tcW w:w="186" w:type="pct"/>
            <w:vMerge w:val="restart"/>
            <w:tcBorders>
              <w:tl2br w:val="nil"/>
              <w:tr2bl w:val="nil"/>
            </w:tcBorders>
            <w:vAlign w:val="center"/>
          </w:tcPr>
          <w:p w14:paraId="1FC52FA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废气量m</w:t>
            </w:r>
            <w:r>
              <w:rPr>
                <w:rFonts w:hint="default" w:ascii="Times New Roman" w:hAnsi="Times New Roman" w:cs="Times New Roman"/>
                <w:b w:val="0"/>
                <w:color w:val="auto"/>
                <w:u w:val="none"/>
                <w:vertAlign w:val="superscript"/>
              </w:rPr>
              <w:t>3</w:t>
            </w:r>
            <w:r>
              <w:rPr>
                <w:rFonts w:hint="default" w:ascii="Times New Roman" w:hAnsi="Times New Roman" w:cs="Times New Roman"/>
                <w:b w:val="0"/>
                <w:color w:val="auto"/>
                <w:u w:val="none"/>
              </w:rPr>
              <w:t>/h</w:t>
            </w:r>
          </w:p>
        </w:tc>
        <w:tc>
          <w:tcPr>
            <w:tcW w:w="1203" w:type="pct"/>
            <w:gridSpan w:val="3"/>
            <w:tcBorders>
              <w:tl2br w:val="nil"/>
              <w:tr2bl w:val="nil"/>
            </w:tcBorders>
            <w:vAlign w:val="center"/>
          </w:tcPr>
          <w:p w14:paraId="1752B59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有组织产生情况</w:t>
            </w:r>
          </w:p>
        </w:tc>
        <w:tc>
          <w:tcPr>
            <w:tcW w:w="779" w:type="pct"/>
            <w:gridSpan w:val="2"/>
            <w:tcBorders>
              <w:tl2br w:val="nil"/>
              <w:tr2bl w:val="nil"/>
            </w:tcBorders>
            <w:vAlign w:val="center"/>
          </w:tcPr>
          <w:p w14:paraId="163935D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无组织产生情况</w:t>
            </w:r>
          </w:p>
        </w:tc>
        <w:tc>
          <w:tcPr>
            <w:tcW w:w="437" w:type="pct"/>
            <w:gridSpan w:val="2"/>
            <w:vMerge w:val="restart"/>
            <w:tcBorders>
              <w:tl2br w:val="nil"/>
              <w:tr2bl w:val="nil"/>
            </w:tcBorders>
            <w:vAlign w:val="center"/>
          </w:tcPr>
          <w:p w14:paraId="2142479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治理措施及去除率(%)</w:t>
            </w:r>
          </w:p>
        </w:tc>
        <w:tc>
          <w:tcPr>
            <w:tcW w:w="1083" w:type="pct"/>
            <w:gridSpan w:val="3"/>
            <w:tcBorders>
              <w:tl2br w:val="nil"/>
              <w:tr2bl w:val="nil"/>
            </w:tcBorders>
            <w:vAlign w:val="center"/>
          </w:tcPr>
          <w:p w14:paraId="564B2CF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有组织排放情况</w:t>
            </w:r>
          </w:p>
        </w:tc>
        <w:tc>
          <w:tcPr>
            <w:tcW w:w="778" w:type="pct"/>
            <w:gridSpan w:val="2"/>
            <w:tcBorders>
              <w:tl2br w:val="nil"/>
              <w:tr2bl w:val="nil"/>
            </w:tcBorders>
            <w:vAlign w:val="center"/>
          </w:tcPr>
          <w:p w14:paraId="7310A51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无组织排放情况</w:t>
            </w:r>
          </w:p>
        </w:tc>
      </w:tr>
      <w:tr w14:paraId="05399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vAlign w:val="center"/>
          </w:tcPr>
          <w:p w14:paraId="5C20B7D9">
            <w:pPr>
              <w:pStyle w:val="41"/>
              <w:rPr>
                <w:rFonts w:hint="default" w:ascii="Times New Roman" w:hAnsi="Times New Roman" w:cs="Times New Roman"/>
                <w:color w:val="auto"/>
                <w:u w:val="none"/>
              </w:rPr>
            </w:pPr>
          </w:p>
        </w:tc>
        <w:tc>
          <w:tcPr>
            <w:tcW w:w="185" w:type="pct"/>
            <w:vMerge w:val="continue"/>
            <w:tcBorders>
              <w:tl2br w:val="nil"/>
              <w:tr2bl w:val="nil"/>
            </w:tcBorders>
            <w:vAlign w:val="center"/>
          </w:tcPr>
          <w:p w14:paraId="04584C3F">
            <w:pPr>
              <w:pStyle w:val="41"/>
              <w:rPr>
                <w:rFonts w:hint="default" w:ascii="Times New Roman" w:hAnsi="Times New Roman" w:cs="Times New Roman"/>
                <w:color w:val="auto"/>
                <w:u w:val="none"/>
              </w:rPr>
            </w:pPr>
          </w:p>
        </w:tc>
        <w:tc>
          <w:tcPr>
            <w:tcW w:w="193" w:type="pct"/>
            <w:vMerge w:val="continue"/>
            <w:tcBorders>
              <w:tl2br w:val="nil"/>
              <w:tr2bl w:val="nil"/>
            </w:tcBorders>
            <w:vAlign w:val="center"/>
          </w:tcPr>
          <w:p w14:paraId="37D9E972">
            <w:pPr>
              <w:pStyle w:val="41"/>
              <w:rPr>
                <w:rFonts w:hint="default" w:ascii="Times New Roman" w:hAnsi="Times New Roman" w:cs="Times New Roman"/>
                <w:color w:val="auto"/>
                <w:u w:val="none"/>
              </w:rPr>
            </w:pPr>
          </w:p>
        </w:tc>
        <w:tc>
          <w:tcPr>
            <w:tcW w:w="186" w:type="pct"/>
            <w:vMerge w:val="continue"/>
            <w:tcBorders>
              <w:tl2br w:val="nil"/>
              <w:tr2bl w:val="nil"/>
            </w:tcBorders>
            <w:vAlign w:val="center"/>
          </w:tcPr>
          <w:p w14:paraId="2137C8A3">
            <w:pPr>
              <w:pStyle w:val="41"/>
              <w:rPr>
                <w:rFonts w:hint="default" w:ascii="Times New Roman" w:hAnsi="Times New Roman" w:cs="Times New Roman"/>
                <w:color w:val="auto"/>
                <w:u w:val="none"/>
              </w:rPr>
            </w:pPr>
          </w:p>
        </w:tc>
        <w:tc>
          <w:tcPr>
            <w:tcW w:w="389" w:type="pct"/>
            <w:tcBorders>
              <w:tl2br w:val="nil"/>
              <w:tr2bl w:val="nil"/>
            </w:tcBorders>
            <w:vAlign w:val="center"/>
          </w:tcPr>
          <w:p w14:paraId="74964AE2">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产生量t/a</w:t>
            </w:r>
          </w:p>
        </w:tc>
        <w:tc>
          <w:tcPr>
            <w:tcW w:w="389" w:type="pct"/>
            <w:tcBorders>
              <w:tl2br w:val="nil"/>
              <w:tr2bl w:val="nil"/>
            </w:tcBorders>
            <w:vAlign w:val="center"/>
          </w:tcPr>
          <w:p w14:paraId="63F3BB93">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产生速率kg/h</w:t>
            </w:r>
          </w:p>
        </w:tc>
        <w:tc>
          <w:tcPr>
            <w:tcW w:w="425" w:type="pct"/>
            <w:tcBorders>
              <w:tl2br w:val="nil"/>
              <w:tr2bl w:val="nil"/>
            </w:tcBorders>
            <w:vAlign w:val="center"/>
          </w:tcPr>
          <w:p w14:paraId="4475CB9D">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产生浓度mg/m</w:t>
            </w:r>
            <w:r>
              <w:rPr>
                <w:rFonts w:hint="default" w:ascii="Times New Roman" w:hAnsi="Times New Roman" w:cs="Times New Roman"/>
                <w:color w:val="auto"/>
                <w:u w:val="none"/>
                <w:vertAlign w:val="superscript"/>
              </w:rPr>
              <w:t>3</w:t>
            </w:r>
          </w:p>
        </w:tc>
        <w:tc>
          <w:tcPr>
            <w:tcW w:w="389" w:type="pct"/>
            <w:tcBorders>
              <w:tl2br w:val="nil"/>
              <w:tr2bl w:val="nil"/>
            </w:tcBorders>
            <w:vAlign w:val="center"/>
          </w:tcPr>
          <w:p w14:paraId="57438ACA">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产生量t/a</w:t>
            </w:r>
          </w:p>
        </w:tc>
        <w:tc>
          <w:tcPr>
            <w:tcW w:w="390" w:type="pct"/>
            <w:tcBorders>
              <w:tl2br w:val="nil"/>
              <w:tr2bl w:val="nil"/>
            </w:tcBorders>
            <w:vAlign w:val="center"/>
          </w:tcPr>
          <w:p w14:paraId="60400B9E">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产生速率kg/h</w:t>
            </w:r>
          </w:p>
        </w:tc>
        <w:tc>
          <w:tcPr>
            <w:tcW w:w="437" w:type="pct"/>
            <w:gridSpan w:val="2"/>
            <w:vMerge w:val="continue"/>
            <w:tcBorders>
              <w:tl2br w:val="nil"/>
              <w:tr2bl w:val="nil"/>
            </w:tcBorders>
            <w:vAlign w:val="center"/>
          </w:tcPr>
          <w:p w14:paraId="282C09D5">
            <w:pPr>
              <w:pStyle w:val="41"/>
              <w:rPr>
                <w:rFonts w:hint="default" w:ascii="Times New Roman" w:hAnsi="Times New Roman" w:cs="Times New Roman"/>
                <w:color w:val="auto"/>
                <w:u w:val="none"/>
              </w:rPr>
            </w:pPr>
          </w:p>
        </w:tc>
        <w:tc>
          <w:tcPr>
            <w:tcW w:w="343" w:type="pct"/>
            <w:tcBorders>
              <w:tl2br w:val="nil"/>
              <w:tr2bl w:val="nil"/>
            </w:tcBorders>
            <w:vAlign w:val="center"/>
          </w:tcPr>
          <w:p w14:paraId="58753127">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排放量t/a</w:t>
            </w:r>
          </w:p>
        </w:tc>
        <w:tc>
          <w:tcPr>
            <w:tcW w:w="388" w:type="pct"/>
            <w:tcBorders>
              <w:tl2br w:val="nil"/>
              <w:tr2bl w:val="nil"/>
            </w:tcBorders>
            <w:vAlign w:val="center"/>
          </w:tcPr>
          <w:p w14:paraId="421E85D3">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排放速率kg/h</w:t>
            </w:r>
          </w:p>
        </w:tc>
        <w:tc>
          <w:tcPr>
            <w:tcW w:w="350" w:type="pct"/>
            <w:tcBorders>
              <w:tl2br w:val="nil"/>
              <w:tr2bl w:val="nil"/>
            </w:tcBorders>
            <w:vAlign w:val="center"/>
          </w:tcPr>
          <w:p w14:paraId="692C86F7">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排放浓度mg/m</w:t>
            </w:r>
            <w:r>
              <w:rPr>
                <w:rFonts w:hint="default" w:ascii="Times New Roman" w:hAnsi="Times New Roman" w:cs="Times New Roman"/>
                <w:color w:val="auto"/>
                <w:u w:val="none"/>
                <w:vertAlign w:val="superscript"/>
              </w:rPr>
              <w:t>3</w:t>
            </w:r>
          </w:p>
        </w:tc>
        <w:tc>
          <w:tcPr>
            <w:tcW w:w="388" w:type="pct"/>
            <w:tcBorders>
              <w:tl2br w:val="nil"/>
              <w:tr2bl w:val="nil"/>
            </w:tcBorders>
            <w:vAlign w:val="center"/>
          </w:tcPr>
          <w:p w14:paraId="78DF57C4">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排放量t/a</w:t>
            </w:r>
          </w:p>
        </w:tc>
        <w:tc>
          <w:tcPr>
            <w:tcW w:w="389" w:type="pct"/>
            <w:tcBorders>
              <w:tl2br w:val="nil"/>
              <w:tr2bl w:val="nil"/>
            </w:tcBorders>
            <w:vAlign w:val="center"/>
          </w:tcPr>
          <w:p w14:paraId="584000F9">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排放速率kg/h</w:t>
            </w:r>
          </w:p>
        </w:tc>
      </w:tr>
      <w:tr w14:paraId="0B0C83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 w:type="pct"/>
            <w:vMerge w:val="restart"/>
            <w:tcBorders>
              <w:tl2br w:val="nil"/>
              <w:tr2bl w:val="nil"/>
            </w:tcBorders>
            <w:vAlign w:val="center"/>
          </w:tcPr>
          <w:p w14:paraId="56165615">
            <w:pPr>
              <w:pStyle w:val="41"/>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u w:val="none"/>
              </w:rPr>
              <w:t>DA</w:t>
            </w:r>
            <w:r>
              <w:rPr>
                <w:rFonts w:hint="eastAsia" w:cs="Times New Roman"/>
                <w:color w:val="auto"/>
                <w:u w:val="none"/>
                <w:lang w:val="en-US" w:eastAsia="zh-CN"/>
              </w:rPr>
              <w:t>001</w:t>
            </w:r>
          </w:p>
        </w:tc>
        <w:tc>
          <w:tcPr>
            <w:tcW w:w="185" w:type="pct"/>
            <w:vMerge w:val="restart"/>
            <w:tcBorders>
              <w:tl2br w:val="nil"/>
              <w:tr2bl w:val="nil"/>
            </w:tcBorders>
            <w:vAlign w:val="center"/>
          </w:tcPr>
          <w:p w14:paraId="77F72BBB">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大</w:t>
            </w:r>
            <w:r>
              <w:rPr>
                <w:rFonts w:hint="eastAsia" w:cs="Times New Roman"/>
                <w:color w:val="auto"/>
                <w:u w:val="none"/>
                <w:lang w:val="en-US" w:eastAsia="zh-CN"/>
              </w:rPr>
              <w:t>线氧化</w:t>
            </w:r>
            <w:r>
              <w:rPr>
                <w:rFonts w:hint="default" w:ascii="Times New Roman" w:hAnsi="Times New Roman" w:cs="Times New Roman"/>
                <w:color w:val="auto"/>
                <w:u w:val="none"/>
              </w:rPr>
              <w:t>自动线生产</w:t>
            </w:r>
          </w:p>
        </w:tc>
        <w:tc>
          <w:tcPr>
            <w:tcW w:w="193" w:type="pct"/>
            <w:tcBorders>
              <w:tl2br w:val="nil"/>
              <w:tr2bl w:val="nil"/>
            </w:tcBorders>
            <w:vAlign w:val="center"/>
          </w:tcPr>
          <w:p w14:paraId="19D01F6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186" w:type="pct"/>
            <w:vMerge w:val="restart"/>
            <w:tcBorders>
              <w:tl2br w:val="nil"/>
              <w:tr2bl w:val="nil"/>
            </w:tcBorders>
            <w:vAlign w:val="center"/>
          </w:tcPr>
          <w:p w14:paraId="793E80E6">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2万</w:t>
            </w:r>
          </w:p>
        </w:tc>
        <w:tc>
          <w:tcPr>
            <w:tcW w:w="389" w:type="pct"/>
            <w:tcBorders>
              <w:tl2br w:val="nil"/>
              <w:tr2bl w:val="nil"/>
            </w:tcBorders>
            <w:vAlign w:val="center"/>
          </w:tcPr>
          <w:p w14:paraId="66A71FD3">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3.0772</w:t>
            </w:r>
          </w:p>
        </w:tc>
        <w:tc>
          <w:tcPr>
            <w:tcW w:w="389" w:type="pct"/>
            <w:tcBorders>
              <w:tl2br w:val="nil"/>
              <w:tr2bl w:val="nil"/>
            </w:tcBorders>
            <w:vAlign w:val="center"/>
          </w:tcPr>
          <w:p w14:paraId="13920E72">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0.42739</w:t>
            </w:r>
          </w:p>
        </w:tc>
        <w:tc>
          <w:tcPr>
            <w:tcW w:w="425" w:type="pct"/>
            <w:tcBorders>
              <w:tl2br w:val="nil"/>
              <w:tr2bl w:val="nil"/>
            </w:tcBorders>
            <w:vAlign w:val="center"/>
          </w:tcPr>
          <w:p w14:paraId="3383939F">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21.3694</w:t>
            </w:r>
          </w:p>
        </w:tc>
        <w:tc>
          <w:tcPr>
            <w:tcW w:w="389" w:type="pct"/>
            <w:tcBorders>
              <w:tl2br w:val="nil"/>
              <w:tr2bl w:val="nil"/>
            </w:tcBorders>
            <w:vAlign w:val="center"/>
          </w:tcPr>
          <w:p w14:paraId="60269A22">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0.15386</w:t>
            </w:r>
          </w:p>
        </w:tc>
        <w:tc>
          <w:tcPr>
            <w:tcW w:w="390" w:type="pct"/>
            <w:tcBorders>
              <w:tl2br w:val="nil"/>
              <w:tr2bl w:val="nil"/>
            </w:tcBorders>
            <w:vAlign w:val="center"/>
          </w:tcPr>
          <w:p w14:paraId="696AAE7B">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0.02137</w:t>
            </w:r>
          </w:p>
        </w:tc>
        <w:tc>
          <w:tcPr>
            <w:tcW w:w="217" w:type="pct"/>
            <w:vMerge w:val="restart"/>
            <w:tcBorders>
              <w:tl2br w:val="nil"/>
              <w:tr2bl w:val="nil"/>
            </w:tcBorders>
            <w:vAlign w:val="center"/>
          </w:tcPr>
          <w:p w14:paraId="6B9356DE">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两级</w:t>
            </w:r>
            <w:r>
              <w:rPr>
                <w:rFonts w:hint="default" w:ascii="Times New Roman" w:hAnsi="Times New Roman" w:cs="Times New Roman"/>
                <w:color w:val="auto"/>
                <w:kern w:val="2"/>
                <w:u w:val="none"/>
              </w:rPr>
              <w:t>碱液喷淋塔</w:t>
            </w:r>
          </w:p>
        </w:tc>
        <w:tc>
          <w:tcPr>
            <w:tcW w:w="219" w:type="pct"/>
            <w:tcBorders>
              <w:tl2br w:val="nil"/>
              <w:tr2bl w:val="nil"/>
            </w:tcBorders>
            <w:vAlign w:val="center"/>
          </w:tcPr>
          <w:p w14:paraId="39C0265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90%</w:t>
            </w:r>
          </w:p>
        </w:tc>
        <w:tc>
          <w:tcPr>
            <w:tcW w:w="343" w:type="pct"/>
            <w:tcBorders>
              <w:tl2br w:val="nil"/>
              <w:tr2bl w:val="nil"/>
            </w:tcBorders>
            <w:vAlign w:val="center"/>
          </w:tcPr>
          <w:p w14:paraId="6995BB9B">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0.292334</w:t>
            </w:r>
          </w:p>
        </w:tc>
        <w:tc>
          <w:tcPr>
            <w:tcW w:w="388" w:type="pct"/>
            <w:tcBorders>
              <w:tl2br w:val="nil"/>
              <w:tr2bl w:val="nil"/>
            </w:tcBorders>
            <w:vAlign w:val="center"/>
          </w:tcPr>
          <w:p w14:paraId="69C8E42C">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0.0406</w:t>
            </w:r>
          </w:p>
        </w:tc>
        <w:tc>
          <w:tcPr>
            <w:tcW w:w="350" w:type="pct"/>
            <w:tcBorders>
              <w:tl2br w:val="nil"/>
              <w:tr2bl w:val="nil"/>
            </w:tcBorders>
            <w:vAlign w:val="center"/>
          </w:tcPr>
          <w:p w14:paraId="5FDC16C8">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2.03009</w:t>
            </w:r>
          </w:p>
        </w:tc>
        <w:tc>
          <w:tcPr>
            <w:tcW w:w="388" w:type="pct"/>
            <w:tcBorders>
              <w:tl2br w:val="nil"/>
              <w:tr2bl w:val="nil"/>
            </w:tcBorders>
            <w:vAlign w:val="center"/>
          </w:tcPr>
          <w:p w14:paraId="5D855442">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0.15386</w:t>
            </w:r>
          </w:p>
        </w:tc>
        <w:tc>
          <w:tcPr>
            <w:tcW w:w="389" w:type="pct"/>
            <w:tcBorders>
              <w:tl2br w:val="nil"/>
              <w:tr2bl w:val="nil"/>
            </w:tcBorders>
            <w:vAlign w:val="center"/>
          </w:tcPr>
          <w:p w14:paraId="4BEF7462">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0.02137</w:t>
            </w:r>
          </w:p>
        </w:tc>
      </w:tr>
      <w:tr w14:paraId="6B069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53" w:type="pct"/>
            <w:vMerge w:val="continue"/>
            <w:tcBorders>
              <w:tl2br w:val="nil"/>
              <w:tr2bl w:val="nil"/>
            </w:tcBorders>
            <w:vAlign w:val="center"/>
          </w:tcPr>
          <w:p w14:paraId="08485BD3">
            <w:pPr>
              <w:pStyle w:val="41"/>
              <w:rPr>
                <w:rFonts w:hint="default" w:ascii="Times New Roman" w:hAnsi="Times New Roman" w:cs="Times New Roman"/>
                <w:color w:val="auto"/>
                <w:u w:val="none"/>
              </w:rPr>
            </w:pPr>
          </w:p>
        </w:tc>
        <w:tc>
          <w:tcPr>
            <w:tcW w:w="185" w:type="pct"/>
            <w:vMerge w:val="continue"/>
            <w:tcBorders>
              <w:tl2br w:val="nil"/>
              <w:tr2bl w:val="nil"/>
            </w:tcBorders>
            <w:vAlign w:val="center"/>
          </w:tcPr>
          <w:p w14:paraId="62549E4C">
            <w:pPr>
              <w:pStyle w:val="41"/>
              <w:rPr>
                <w:rFonts w:hint="default" w:ascii="Times New Roman" w:hAnsi="Times New Roman" w:cs="Times New Roman"/>
                <w:color w:val="auto"/>
                <w:u w:val="none"/>
              </w:rPr>
            </w:pPr>
          </w:p>
        </w:tc>
        <w:tc>
          <w:tcPr>
            <w:tcW w:w="193" w:type="pct"/>
            <w:tcBorders>
              <w:tl2br w:val="nil"/>
              <w:tr2bl w:val="nil"/>
            </w:tcBorders>
            <w:vAlign w:val="center"/>
          </w:tcPr>
          <w:p w14:paraId="2F083A0B">
            <w:pPr>
              <w:pStyle w:val="41"/>
              <w:rPr>
                <w:rFonts w:hint="default" w:ascii="Times New Roman" w:hAnsi="Times New Roman" w:cs="Times New Roman"/>
                <w:color w:val="auto"/>
                <w:kern w:val="2"/>
                <w:u w:val="none"/>
              </w:rPr>
            </w:pPr>
            <w:r>
              <w:rPr>
                <w:kern w:val="2"/>
              </w:rPr>
              <w:t>氮氧化物</w:t>
            </w:r>
          </w:p>
        </w:tc>
        <w:tc>
          <w:tcPr>
            <w:tcW w:w="186" w:type="pct"/>
            <w:vMerge w:val="continue"/>
            <w:tcBorders>
              <w:tl2br w:val="nil"/>
              <w:tr2bl w:val="nil"/>
            </w:tcBorders>
            <w:vAlign w:val="center"/>
          </w:tcPr>
          <w:p w14:paraId="3A67A9F4">
            <w:pPr>
              <w:pStyle w:val="41"/>
              <w:rPr>
                <w:rFonts w:hint="default" w:ascii="Times New Roman" w:hAnsi="Times New Roman" w:cs="Times New Roman"/>
                <w:color w:val="auto"/>
                <w:u w:val="none"/>
              </w:rPr>
            </w:pPr>
          </w:p>
        </w:tc>
        <w:tc>
          <w:tcPr>
            <w:tcW w:w="389" w:type="pct"/>
            <w:tcBorders>
              <w:tl2br w:val="nil"/>
              <w:tr2bl w:val="nil"/>
            </w:tcBorders>
            <w:vAlign w:val="center"/>
          </w:tcPr>
          <w:p w14:paraId="04E78E90">
            <w:pPr>
              <w:pStyle w:val="41"/>
              <w:rPr>
                <w:rFonts w:hint="default" w:cs="Times New Roman"/>
                <w:color w:val="auto"/>
                <w:kern w:val="2"/>
                <w:u w:val="none"/>
                <w:lang w:val="en-US" w:eastAsia="zh-CN"/>
              </w:rPr>
            </w:pPr>
            <w:r>
              <w:rPr>
                <w:rFonts w:hint="eastAsia" w:cs="Times New Roman"/>
                <w:color w:val="auto"/>
                <w:kern w:val="2"/>
                <w:u w:val="none"/>
                <w:lang w:val="en-US" w:eastAsia="zh-CN"/>
              </w:rPr>
              <w:t>1.25286</w:t>
            </w:r>
          </w:p>
        </w:tc>
        <w:tc>
          <w:tcPr>
            <w:tcW w:w="389" w:type="pct"/>
            <w:tcBorders>
              <w:tl2br w:val="nil"/>
              <w:tr2bl w:val="nil"/>
            </w:tcBorders>
            <w:vAlign w:val="center"/>
          </w:tcPr>
          <w:p w14:paraId="30B97720">
            <w:pPr>
              <w:pStyle w:val="41"/>
              <w:rPr>
                <w:rFonts w:hint="default" w:cs="Times New Roman"/>
                <w:color w:val="auto"/>
                <w:kern w:val="2"/>
                <w:u w:val="none"/>
                <w:lang w:val="en-US" w:eastAsia="zh-CN"/>
              </w:rPr>
            </w:pPr>
            <w:r>
              <w:rPr>
                <w:rFonts w:hint="eastAsia" w:cs="Times New Roman"/>
                <w:color w:val="auto"/>
                <w:kern w:val="2"/>
                <w:u w:val="none"/>
                <w:lang w:val="en-US" w:eastAsia="zh-CN"/>
              </w:rPr>
              <w:t>0.174</w:t>
            </w:r>
          </w:p>
        </w:tc>
        <w:tc>
          <w:tcPr>
            <w:tcW w:w="425" w:type="pct"/>
            <w:tcBorders>
              <w:tl2br w:val="nil"/>
              <w:tr2bl w:val="nil"/>
            </w:tcBorders>
            <w:vAlign w:val="center"/>
          </w:tcPr>
          <w:p w14:paraId="1EC41BA3">
            <w:pPr>
              <w:pStyle w:val="41"/>
              <w:rPr>
                <w:rFonts w:hint="default" w:cs="Times New Roman"/>
                <w:color w:val="auto"/>
                <w:kern w:val="2"/>
                <w:u w:val="none"/>
                <w:lang w:val="en-US" w:eastAsia="zh-CN"/>
              </w:rPr>
            </w:pPr>
            <w:r>
              <w:rPr>
                <w:rFonts w:hint="eastAsia" w:cs="Times New Roman"/>
                <w:color w:val="auto"/>
                <w:kern w:val="2"/>
                <w:u w:val="none"/>
                <w:lang w:val="en-US" w:eastAsia="zh-CN"/>
              </w:rPr>
              <w:t>8.70041</w:t>
            </w:r>
          </w:p>
        </w:tc>
        <w:tc>
          <w:tcPr>
            <w:tcW w:w="389" w:type="pct"/>
            <w:tcBorders>
              <w:tl2br w:val="nil"/>
              <w:tr2bl w:val="nil"/>
            </w:tcBorders>
            <w:vAlign w:val="center"/>
          </w:tcPr>
          <w:p w14:paraId="5D14ACBF">
            <w:pPr>
              <w:pStyle w:val="41"/>
              <w:rPr>
                <w:rFonts w:hint="default" w:cs="Times New Roman"/>
                <w:color w:val="auto"/>
                <w:kern w:val="2"/>
                <w:u w:val="none"/>
                <w:lang w:val="en-US" w:eastAsia="zh-CN"/>
              </w:rPr>
            </w:pPr>
            <w:r>
              <w:rPr>
                <w:rFonts w:hint="eastAsia" w:cs="Times New Roman"/>
                <w:color w:val="auto"/>
                <w:kern w:val="2"/>
                <w:u w:val="none"/>
                <w:lang w:val="en-US" w:eastAsia="zh-CN"/>
              </w:rPr>
              <w:t>0.06594</w:t>
            </w:r>
          </w:p>
        </w:tc>
        <w:tc>
          <w:tcPr>
            <w:tcW w:w="390" w:type="pct"/>
            <w:tcBorders>
              <w:tl2br w:val="nil"/>
              <w:tr2bl w:val="nil"/>
            </w:tcBorders>
            <w:vAlign w:val="center"/>
          </w:tcPr>
          <w:p w14:paraId="4DCBEDB9">
            <w:pPr>
              <w:pStyle w:val="41"/>
              <w:rPr>
                <w:rFonts w:hint="default" w:cs="Times New Roman"/>
                <w:color w:val="auto"/>
                <w:kern w:val="2"/>
                <w:u w:val="none"/>
                <w:lang w:val="en-US" w:eastAsia="zh-CN"/>
              </w:rPr>
            </w:pPr>
            <w:r>
              <w:rPr>
                <w:rFonts w:hint="eastAsia" w:cs="Times New Roman"/>
                <w:color w:val="auto"/>
                <w:kern w:val="2"/>
                <w:u w:val="none"/>
                <w:lang w:val="en-US" w:eastAsia="zh-CN"/>
              </w:rPr>
              <w:t>0.009157</w:t>
            </w:r>
          </w:p>
        </w:tc>
        <w:tc>
          <w:tcPr>
            <w:tcW w:w="217" w:type="pct"/>
            <w:vMerge w:val="continue"/>
            <w:tcBorders>
              <w:tl2br w:val="nil"/>
              <w:tr2bl w:val="nil"/>
            </w:tcBorders>
            <w:vAlign w:val="center"/>
          </w:tcPr>
          <w:p w14:paraId="3A77E1B2">
            <w:pPr>
              <w:pStyle w:val="41"/>
              <w:rPr>
                <w:rFonts w:hint="default" w:ascii="Times New Roman" w:hAnsi="Times New Roman" w:cs="Times New Roman"/>
                <w:color w:val="auto"/>
                <w:kern w:val="2"/>
                <w:u w:val="none"/>
              </w:rPr>
            </w:pPr>
          </w:p>
        </w:tc>
        <w:tc>
          <w:tcPr>
            <w:tcW w:w="219" w:type="pct"/>
            <w:tcBorders>
              <w:tl2br w:val="nil"/>
              <w:tr2bl w:val="nil"/>
            </w:tcBorders>
            <w:vAlign w:val="center"/>
          </w:tcPr>
          <w:p w14:paraId="3733BCA0">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85</w:t>
            </w:r>
            <w:r>
              <w:rPr>
                <w:rFonts w:hint="default" w:ascii="Times New Roman" w:hAnsi="Times New Roman" w:cs="Times New Roman"/>
                <w:color w:val="auto"/>
                <w:kern w:val="2"/>
                <w:u w:val="none"/>
              </w:rPr>
              <w:t>%</w:t>
            </w:r>
          </w:p>
        </w:tc>
        <w:tc>
          <w:tcPr>
            <w:tcW w:w="343" w:type="pct"/>
            <w:tcBorders>
              <w:tl2br w:val="nil"/>
              <w:tr2bl w:val="nil"/>
            </w:tcBorders>
            <w:vAlign w:val="center"/>
          </w:tcPr>
          <w:p w14:paraId="06AFF2AF">
            <w:pPr>
              <w:pStyle w:val="41"/>
              <w:rPr>
                <w:rFonts w:hint="default" w:cs="Times New Roman"/>
                <w:color w:val="auto"/>
                <w:kern w:val="2"/>
                <w:u w:val="none"/>
                <w:lang w:val="en-US" w:eastAsia="zh-CN"/>
              </w:rPr>
            </w:pPr>
            <w:r>
              <w:rPr>
                <w:rFonts w:hint="eastAsia" w:cs="Times New Roman"/>
                <w:color w:val="auto"/>
                <w:kern w:val="2"/>
                <w:u w:val="none"/>
                <w:lang w:val="en-US" w:eastAsia="zh-CN"/>
              </w:rPr>
              <w:t>0.187929</w:t>
            </w:r>
          </w:p>
        </w:tc>
        <w:tc>
          <w:tcPr>
            <w:tcW w:w="388" w:type="pct"/>
            <w:tcBorders>
              <w:tl2br w:val="nil"/>
              <w:tr2bl w:val="nil"/>
            </w:tcBorders>
            <w:vAlign w:val="center"/>
          </w:tcPr>
          <w:p w14:paraId="05F84B1C">
            <w:pPr>
              <w:pStyle w:val="41"/>
              <w:rPr>
                <w:rFonts w:hint="default" w:cs="Times New Roman"/>
                <w:color w:val="auto"/>
                <w:kern w:val="2"/>
                <w:u w:val="none"/>
                <w:lang w:val="en-US" w:eastAsia="zh-CN"/>
              </w:rPr>
            </w:pPr>
            <w:r>
              <w:rPr>
                <w:rFonts w:hint="eastAsia" w:cs="Times New Roman"/>
                <w:color w:val="auto"/>
                <w:kern w:val="2"/>
                <w:u w:val="none"/>
                <w:lang w:val="en-US" w:eastAsia="zh-CN"/>
              </w:rPr>
              <w:t>0.026101</w:t>
            </w:r>
          </w:p>
        </w:tc>
        <w:tc>
          <w:tcPr>
            <w:tcW w:w="350" w:type="pct"/>
            <w:tcBorders>
              <w:tl2br w:val="nil"/>
              <w:tr2bl w:val="nil"/>
            </w:tcBorders>
            <w:vAlign w:val="center"/>
          </w:tcPr>
          <w:p w14:paraId="0D4B937F">
            <w:pPr>
              <w:pStyle w:val="41"/>
              <w:rPr>
                <w:rFonts w:hint="default" w:cs="Times New Roman"/>
                <w:color w:val="auto"/>
                <w:kern w:val="2"/>
                <w:u w:val="none"/>
                <w:lang w:val="en-US" w:eastAsia="zh-CN"/>
              </w:rPr>
            </w:pPr>
            <w:r>
              <w:rPr>
                <w:rFonts w:hint="eastAsia" w:cs="Times New Roman"/>
                <w:color w:val="auto"/>
                <w:kern w:val="2"/>
                <w:u w:val="none"/>
                <w:lang w:val="en-US" w:eastAsia="zh-CN"/>
              </w:rPr>
              <w:t>1.30506</w:t>
            </w:r>
          </w:p>
        </w:tc>
        <w:tc>
          <w:tcPr>
            <w:tcW w:w="388" w:type="pct"/>
            <w:tcBorders>
              <w:tl2br w:val="nil"/>
              <w:tr2bl w:val="nil"/>
            </w:tcBorders>
            <w:vAlign w:val="center"/>
          </w:tcPr>
          <w:p w14:paraId="036E5B31">
            <w:pPr>
              <w:pStyle w:val="41"/>
              <w:rPr>
                <w:rFonts w:hint="eastAsia" w:cs="Times New Roman"/>
                <w:color w:val="auto"/>
                <w:kern w:val="2"/>
                <w:u w:val="none"/>
                <w:lang w:val="en-US" w:eastAsia="zh-CN"/>
              </w:rPr>
            </w:pPr>
            <w:r>
              <w:rPr>
                <w:rFonts w:hint="eastAsia" w:cs="Times New Roman"/>
                <w:color w:val="auto"/>
                <w:kern w:val="2"/>
                <w:u w:val="none"/>
                <w:lang w:val="en-US" w:eastAsia="zh-CN"/>
              </w:rPr>
              <w:t>0.06594</w:t>
            </w:r>
          </w:p>
        </w:tc>
        <w:tc>
          <w:tcPr>
            <w:tcW w:w="389" w:type="pct"/>
            <w:tcBorders>
              <w:tl2br w:val="nil"/>
              <w:tr2bl w:val="nil"/>
            </w:tcBorders>
            <w:vAlign w:val="center"/>
          </w:tcPr>
          <w:p w14:paraId="135A3BE1">
            <w:pPr>
              <w:pStyle w:val="41"/>
              <w:rPr>
                <w:rFonts w:hint="eastAsia" w:cs="Times New Roman"/>
                <w:color w:val="auto"/>
                <w:kern w:val="2"/>
                <w:u w:val="none"/>
                <w:lang w:val="en-US" w:eastAsia="zh-CN"/>
              </w:rPr>
            </w:pPr>
            <w:r>
              <w:rPr>
                <w:rFonts w:hint="eastAsia" w:cs="Times New Roman"/>
                <w:color w:val="auto"/>
                <w:kern w:val="2"/>
                <w:u w:val="none"/>
                <w:lang w:val="en-US" w:eastAsia="zh-CN"/>
              </w:rPr>
              <w:t>0.009157</w:t>
            </w:r>
          </w:p>
        </w:tc>
      </w:tr>
      <w:tr w14:paraId="10D52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vAlign w:val="center"/>
          </w:tcPr>
          <w:p w14:paraId="3F62AE12">
            <w:pPr>
              <w:pStyle w:val="41"/>
              <w:rPr>
                <w:rFonts w:hint="default" w:ascii="Times New Roman" w:hAnsi="Times New Roman" w:cs="Times New Roman"/>
                <w:color w:val="auto"/>
                <w:u w:val="none"/>
              </w:rPr>
            </w:pPr>
          </w:p>
        </w:tc>
        <w:tc>
          <w:tcPr>
            <w:tcW w:w="185" w:type="pct"/>
            <w:vMerge w:val="restart"/>
            <w:tcBorders>
              <w:tl2br w:val="nil"/>
              <w:tr2bl w:val="nil"/>
            </w:tcBorders>
            <w:vAlign w:val="center"/>
          </w:tcPr>
          <w:p w14:paraId="5B5F45FD">
            <w:pPr>
              <w:pStyle w:val="41"/>
              <w:rPr>
                <w:rFonts w:hint="default" w:ascii="Times New Roman" w:hAnsi="Times New Roman" w:cs="Times New Roman"/>
                <w:color w:val="auto"/>
                <w:u w:val="none"/>
              </w:rPr>
            </w:pPr>
            <w:r>
              <w:rPr>
                <w:rFonts w:hint="default" w:ascii="Times New Roman" w:hAnsi="Times New Roman" w:cs="Times New Roman"/>
                <w:color w:val="auto"/>
                <w:u w:val="none"/>
              </w:rPr>
              <w:t>小线</w:t>
            </w:r>
            <w:r>
              <w:rPr>
                <w:rFonts w:hint="eastAsia" w:cs="Times New Roman"/>
                <w:color w:val="auto"/>
                <w:u w:val="none"/>
                <w:lang w:val="en-US" w:eastAsia="zh-CN"/>
              </w:rPr>
              <w:t>氧化</w:t>
            </w:r>
            <w:r>
              <w:rPr>
                <w:rFonts w:hint="default" w:ascii="Times New Roman" w:hAnsi="Times New Roman" w:cs="Times New Roman"/>
                <w:color w:val="auto"/>
                <w:u w:val="none"/>
              </w:rPr>
              <w:t>自动化生产线</w:t>
            </w:r>
          </w:p>
        </w:tc>
        <w:tc>
          <w:tcPr>
            <w:tcW w:w="193" w:type="pct"/>
            <w:tcBorders>
              <w:tl2br w:val="nil"/>
              <w:tr2bl w:val="nil"/>
            </w:tcBorders>
            <w:vAlign w:val="center"/>
          </w:tcPr>
          <w:p w14:paraId="1598F05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186" w:type="pct"/>
            <w:vMerge w:val="continue"/>
            <w:tcBorders>
              <w:tl2br w:val="nil"/>
              <w:tr2bl w:val="nil"/>
            </w:tcBorders>
            <w:vAlign w:val="center"/>
          </w:tcPr>
          <w:p w14:paraId="248CD764">
            <w:pPr>
              <w:pStyle w:val="41"/>
              <w:rPr>
                <w:rFonts w:hint="default" w:ascii="Times New Roman" w:hAnsi="Times New Roman" w:cs="Times New Roman"/>
                <w:color w:val="auto"/>
                <w:kern w:val="2"/>
                <w:u w:val="none"/>
              </w:rPr>
            </w:pPr>
          </w:p>
        </w:tc>
        <w:tc>
          <w:tcPr>
            <w:tcW w:w="389" w:type="pct"/>
            <w:tcBorders>
              <w:tl2br w:val="nil"/>
              <w:tr2bl w:val="nil"/>
            </w:tcBorders>
            <w:vAlign w:val="center"/>
          </w:tcPr>
          <w:p w14:paraId="792EAE3B">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0.4354</w:t>
            </w:r>
          </w:p>
        </w:tc>
        <w:tc>
          <w:tcPr>
            <w:tcW w:w="389" w:type="pct"/>
            <w:tcBorders>
              <w:tl2br w:val="nil"/>
              <w:tr2bl w:val="nil"/>
            </w:tcBorders>
            <w:vAlign w:val="center"/>
          </w:tcPr>
          <w:p w14:paraId="391A6D89">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0.06047</w:t>
            </w:r>
          </w:p>
        </w:tc>
        <w:tc>
          <w:tcPr>
            <w:tcW w:w="425" w:type="pct"/>
            <w:tcBorders>
              <w:tl2br w:val="nil"/>
              <w:tr2bl w:val="nil"/>
            </w:tcBorders>
            <w:vAlign w:val="center"/>
          </w:tcPr>
          <w:p w14:paraId="5B5BEDC8">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3.00236</w:t>
            </w:r>
          </w:p>
        </w:tc>
        <w:tc>
          <w:tcPr>
            <w:tcW w:w="389" w:type="pct"/>
            <w:tcBorders>
              <w:tl2br w:val="nil"/>
              <w:tr2bl w:val="nil"/>
            </w:tcBorders>
            <w:vAlign w:val="center"/>
          </w:tcPr>
          <w:p w14:paraId="260CC9DF">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0.02177</w:t>
            </w:r>
          </w:p>
        </w:tc>
        <w:tc>
          <w:tcPr>
            <w:tcW w:w="390" w:type="pct"/>
            <w:tcBorders>
              <w:tl2br w:val="nil"/>
              <w:tr2bl w:val="nil"/>
            </w:tcBorders>
            <w:vAlign w:val="center"/>
          </w:tcPr>
          <w:p w14:paraId="0D262AD6">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0.00302</w:t>
            </w:r>
          </w:p>
        </w:tc>
        <w:tc>
          <w:tcPr>
            <w:tcW w:w="217" w:type="pct"/>
            <w:vMerge w:val="continue"/>
            <w:tcBorders>
              <w:tl2br w:val="nil"/>
              <w:tr2bl w:val="nil"/>
            </w:tcBorders>
            <w:vAlign w:val="center"/>
          </w:tcPr>
          <w:p w14:paraId="38EBA80C">
            <w:pPr>
              <w:pStyle w:val="41"/>
              <w:rPr>
                <w:rFonts w:hint="default" w:ascii="Times New Roman" w:hAnsi="Times New Roman" w:cs="Times New Roman"/>
                <w:color w:val="auto"/>
                <w:kern w:val="2"/>
                <w:u w:val="none"/>
              </w:rPr>
            </w:pPr>
          </w:p>
        </w:tc>
        <w:tc>
          <w:tcPr>
            <w:tcW w:w="219" w:type="pct"/>
            <w:tcBorders>
              <w:tl2br w:val="nil"/>
              <w:tr2bl w:val="nil"/>
            </w:tcBorders>
            <w:vAlign w:val="center"/>
          </w:tcPr>
          <w:p w14:paraId="78091DC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90%</w:t>
            </w:r>
          </w:p>
        </w:tc>
        <w:tc>
          <w:tcPr>
            <w:tcW w:w="343" w:type="pct"/>
            <w:tcBorders>
              <w:tl2br w:val="nil"/>
              <w:tr2bl w:val="nil"/>
            </w:tcBorders>
            <w:vAlign w:val="center"/>
          </w:tcPr>
          <w:p w14:paraId="0B2314A4">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0.041363</w:t>
            </w:r>
          </w:p>
        </w:tc>
        <w:tc>
          <w:tcPr>
            <w:tcW w:w="388" w:type="pct"/>
            <w:tcBorders>
              <w:tl2br w:val="nil"/>
              <w:tr2bl w:val="nil"/>
            </w:tcBorders>
            <w:vAlign w:val="center"/>
          </w:tcPr>
          <w:p w14:paraId="4ABCECB7">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0.0057</w:t>
            </w:r>
          </w:p>
        </w:tc>
        <w:tc>
          <w:tcPr>
            <w:tcW w:w="350" w:type="pct"/>
            <w:tcBorders>
              <w:tl2br w:val="nil"/>
              <w:tr2bl w:val="nil"/>
            </w:tcBorders>
            <w:vAlign w:val="center"/>
          </w:tcPr>
          <w:p w14:paraId="45917D1E">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0.28724</w:t>
            </w:r>
          </w:p>
        </w:tc>
        <w:tc>
          <w:tcPr>
            <w:tcW w:w="388" w:type="pct"/>
            <w:tcBorders>
              <w:tl2br w:val="nil"/>
              <w:tr2bl w:val="nil"/>
            </w:tcBorders>
            <w:vAlign w:val="center"/>
          </w:tcPr>
          <w:p w14:paraId="5D08BE5F">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0.02177</w:t>
            </w:r>
          </w:p>
        </w:tc>
        <w:tc>
          <w:tcPr>
            <w:tcW w:w="389" w:type="pct"/>
            <w:tcBorders>
              <w:tl2br w:val="nil"/>
              <w:tr2bl w:val="nil"/>
            </w:tcBorders>
            <w:vAlign w:val="center"/>
          </w:tcPr>
          <w:p w14:paraId="314ACF34">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0.00302</w:t>
            </w:r>
          </w:p>
        </w:tc>
      </w:tr>
      <w:tr w14:paraId="7AD4D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vAlign w:val="center"/>
          </w:tcPr>
          <w:p w14:paraId="431D47F9">
            <w:pPr>
              <w:pStyle w:val="41"/>
              <w:rPr>
                <w:rFonts w:hint="default" w:ascii="Times New Roman" w:hAnsi="Times New Roman" w:cs="Times New Roman"/>
                <w:color w:val="auto"/>
                <w:u w:val="none"/>
              </w:rPr>
            </w:pPr>
          </w:p>
        </w:tc>
        <w:tc>
          <w:tcPr>
            <w:tcW w:w="185" w:type="pct"/>
            <w:vMerge w:val="continue"/>
            <w:tcBorders>
              <w:tl2br w:val="nil"/>
              <w:tr2bl w:val="nil"/>
            </w:tcBorders>
            <w:vAlign w:val="center"/>
          </w:tcPr>
          <w:p w14:paraId="6B779860">
            <w:pPr>
              <w:pStyle w:val="41"/>
              <w:rPr>
                <w:rFonts w:hint="default" w:ascii="Times New Roman" w:hAnsi="Times New Roman" w:cs="Times New Roman"/>
                <w:color w:val="auto"/>
                <w:u w:val="none"/>
              </w:rPr>
            </w:pPr>
          </w:p>
        </w:tc>
        <w:tc>
          <w:tcPr>
            <w:tcW w:w="193" w:type="pct"/>
            <w:tcBorders>
              <w:tl2br w:val="nil"/>
              <w:tr2bl w:val="nil"/>
            </w:tcBorders>
            <w:vAlign w:val="center"/>
          </w:tcPr>
          <w:p w14:paraId="1636ABCB">
            <w:pPr>
              <w:pStyle w:val="41"/>
              <w:rPr>
                <w:rFonts w:hint="default" w:ascii="Times New Roman" w:hAnsi="Times New Roman" w:cs="Times New Roman"/>
                <w:color w:val="auto"/>
                <w:kern w:val="2"/>
                <w:u w:val="none"/>
              </w:rPr>
            </w:pPr>
            <w:r>
              <w:rPr>
                <w:kern w:val="2"/>
              </w:rPr>
              <w:t>氮氧化物</w:t>
            </w:r>
          </w:p>
        </w:tc>
        <w:tc>
          <w:tcPr>
            <w:tcW w:w="186" w:type="pct"/>
            <w:vMerge w:val="continue"/>
            <w:tcBorders>
              <w:tl2br w:val="nil"/>
              <w:tr2bl w:val="nil"/>
            </w:tcBorders>
            <w:vAlign w:val="center"/>
          </w:tcPr>
          <w:p w14:paraId="2F15DB41">
            <w:pPr>
              <w:pStyle w:val="41"/>
              <w:rPr>
                <w:rFonts w:hint="default" w:ascii="Times New Roman" w:hAnsi="Times New Roman" w:cs="Times New Roman"/>
                <w:color w:val="auto"/>
                <w:kern w:val="2"/>
                <w:u w:val="none"/>
              </w:rPr>
            </w:pPr>
          </w:p>
        </w:tc>
        <w:tc>
          <w:tcPr>
            <w:tcW w:w="389" w:type="pct"/>
            <w:tcBorders>
              <w:tl2br w:val="nil"/>
              <w:tr2bl w:val="nil"/>
            </w:tcBorders>
            <w:vAlign w:val="center"/>
          </w:tcPr>
          <w:p w14:paraId="0914B2D0">
            <w:pPr>
              <w:pStyle w:val="41"/>
              <w:rPr>
                <w:rFonts w:hint="default" w:cs="Times New Roman"/>
                <w:color w:val="auto"/>
                <w:kern w:val="2"/>
                <w:u w:val="none"/>
                <w:lang w:val="en-US" w:eastAsia="zh-CN"/>
              </w:rPr>
            </w:pPr>
            <w:r>
              <w:rPr>
                <w:rFonts w:hint="eastAsia" w:cs="Times New Roman"/>
                <w:color w:val="auto"/>
                <w:kern w:val="2"/>
                <w:u w:val="none"/>
                <w:lang w:val="en-US" w:eastAsia="zh-CN"/>
              </w:rPr>
              <w:t>0.17727</w:t>
            </w:r>
          </w:p>
        </w:tc>
        <w:tc>
          <w:tcPr>
            <w:tcW w:w="389" w:type="pct"/>
            <w:tcBorders>
              <w:tl2br w:val="nil"/>
              <w:tr2bl w:val="nil"/>
            </w:tcBorders>
            <w:vAlign w:val="center"/>
          </w:tcPr>
          <w:p w14:paraId="0D3EAEDA">
            <w:pPr>
              <w:pStyle w:val="41"/>
              <w:rPr>
                <w:rFonts w:hint="default" w:cs="Times New Roman"/>
                <w:color w:val="auto"/>
                <w:kern w:val="2"/>
                <w:u w:val="none"/>
                <w:lang w:val="en-US" w:eastAsia="zh-CN"/>
              </w:rPr>
            </w:pPr>
            <w:r>
              <w:rPr>
                <w:rFonts w:hint="eastAsia" w:cs="Times New Roman"/>
                <w:color w:val="auto"/>
                <w:kern w:val="2"/>
                <w:u w:val="none"/>
                <w:lang w:val="en-US" w:eastAsia="zh-CN"/>
              </w:rPr>
              <w:t>0.02462</w:t>
            </w:r>
          </w:p>
        </w:tc>
        <w:tc>
          <w:tcPr>
            <w:tcW w:w="425" w:type="pct"/>
            <w:tcBorders>
              <w:tl2br w:val="nil"/>
              <w:tr2bl w:val="nil"/>
            </w:tcBorders>
            <w:vAlign w:val="center"/>
          </w:tcPr>
          <w:p w14:paraId="5DD78DDE">
            <w:pPr>
              <w:pStyle w:val="41"/>
              <w:rPr>
                <w:rFonts w:hint="default" w:cs="Times New Roman"/>
                <w:color w:val="auto"/>
                <w:kern w:val="2"/>
                <w:u w:val="none"/>
                <w:lang w:val="en-US" w:eastAsia="zh-CN"/>
              </w:rPr>
            </w:pPr>
            <w:r>
              <w:rPr>
                <w:rFonts w:hint="eastAsia" w:cs="Times New Roman"/>
                <w:color w:val="auto"/>
                <w:kern w:val="2"/>
                <w:u w:val="none"/>
                <w:lang w:val="en-US" w:eastAsia="zh-CN"/>
              </w:rPr>
              <w:t>1.23104</w:t>
            </w:r>
          </w:p>
        </w:tc>
        <w:tc>
          <w:tcPr>
            <w:tcW w:w="389" w:type="pct"/>
            <w:tcBorders>
              <w:tl2br w:val="nil"/>
              <w:tr2bl w:val="nil"/>
            </w:tcBorders>
            <w:vAlign w:val="center"/>
          </w:tcPr>
          <w:p w14:paraId="28915EC9">
            <w:pPr>
              <w:pStyle w:val="41"/>
              <w:rPr>
                <w:rFonts w:hint="default" w:cs="Times New Roman"/>
                <w:color w:val="auto"/>
                <w:kern w:val="2"/>
                <w:u w:val="none"/>
                <w:lang w:val="en-US" w:eastAsia="zh-CN"/>
              </w:rPr>
            </w:pPr>
            <w:r>
              <w:rPr>
                <w:rFonts w:hint="eastAsia" w:cs="Times New Roman"/>
                <w:color w:val="auto"/>
                <w:kern w:val="2"/>
                <w:u w:val="none"/>
                <w:lang w:val="en-US" w:eastAsia="zh-CN"/>
              </w:rPr>
              <w:t>0.00933</w:t>
            </w:r>
          </w:p>
        </w:tc>
        <w:tc>
          <w:tcPr>
            <w:tcW w:w="390" w:type="pct"/>
            <w:tcBorders>
              <w:tl2br w:val="nil"/>
              <w:tr2bl w:val="nil"/>
            </w:tcBorders>
            <w:vAlign w:val="center"/>
          </w:tcPr>
          <w:p w14:paraId="7DD2EA6F">
            <w:pPr>
              <w:pStyle w:val="41"/>
              <w:rPr>
                <w:rFonts w:hint="default" w:cs="Times New Roman"/>
                <w:color w:val="auto"/>
                <w:kern w:val="2"/>
                <w:u w:val="none"/>
                <w:lang w:val="en-US" w:eastAsia="zh-CN"/>
              </w:rPr>
            </w:pPr>
            <w:r>
              <w:rPr>
                <w:rFonts w:hint="eastAsia" w:cs="Times New Roman"/>
                <w:color w:val="auto"/>
                <w:kern w:val="2"/>
                <w:u w:val="none"/>
                <w:lang w:val="en-US" w:eastAsia="zh-CN"/>
              </w:rPr>
              <w:t>0.00129</w:t>
            </w:r>
          </w:p>
        </w:tc>
        <w:tc>
          <w:tcPr>
            <w:tcW w:w="217" w:type="pct"/>
            <w:vMerge w:val="continue"/>
            <w:tcBorders>
              <w:tl2br w:val="nil"/>
              <w:tr2bl w:val="nil"/>
            </w:tcBorders>
            <w:vAlign w:val="center"/>
          </w:tcPr>
          <w:p w14:paraId="5F5828F2">
            <w:pPr>
              <w:pStyle w:val="41"/>
              <w:rPr>
                <w:rFonts w:hint="default" w:ascii="Times New Roman" w:hAnsi="Times New Roman" w:cs="Times New Roman"/>
                <w:color w:val="auto"/>
                <w:kern w:val="2"/>
                <w:u w:val="none"/>
              </w:rPr>
            </w:pPr>
          </w:p>
        </w:tc>
        <w:tc>
          <w:tcPr>
            <w:tcW w:w="219" w:type="pct"/>
            <w:tcBorders>
              <w:tl2br w:val="nil"/>
              <w:tr2bl w:val="nil"/>
            </w:tcBorders>
            <w:vAlign w:val="center"/>
          </w:tcPr>
          <w:p w14:paraId="15B8EEC4">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85</w:t>
            </w:r>
            <w:r>
              <w:rPr>
                <w:rFonts w:hint="default" w:ascii="Times New Roman" w:hAnsi="Times New Roman" w:cs="Times New Roman"/>
                <w:color w:val="auto"/>
                <w:kern w:val="2"/>
                <w:u w:val="none"/>
              </w:rPr>
              <w:t>%</w:t>
            </w:r>
          </w:p>
        </w:tc>
        <w:tc>
          <w:tcPr>
            <w:tcW w:w="343" w:type="pct"/>
            <w:tcBorders>
              <w:tl2br w:val="nil"/>
              <w:tr2bl w:val="nil"/>
            </w:tcBorders>
            <w:vAlign w:val="center"/>
          </w:tcPr>
          <w:p w14:paraId="42057D66">
            <w:pPr>
              <w:pStyle w:val="41"/>
              <w:rPr>
                <w:rFonts w:hint="default" w:cs="Times New Roman"/>
                <w:color w:val="auto"/>
                <w:kern w:val="2"/>
                <w:u w:val="none"/>
                <w:lang w:val="en-US" w:eastAsia="zh-CN"/>
              </w:rPr>
            </w:pPr>
            <w:r>
              <w:rPr>
                <w:rFonts w:hint="eastAsia" w:cs="Times New Roman"/>
                <w:color w:val="auto"/>
                <w:kern w:val="2"/>
                <w:u w:val="none"/>
                <w:lang w:val="en-US" w:eastAsia="zh-CN"/>
              </w:rPr>
              <w:t>0.02659</w:t>
            </w:r>
          </w:p>
        </w:tc>
        <w:tc>
          <w:tcPr>
            <w:tcW w:w="388" w:type="pct"/>
            <w:tcBorders>
              <w:tl2br w:val="nil"/>
              <w:tr2bl w:val="nil"/>
            </w:tcBorders>
            <w:vAlign w:val="center"/>
          </w:tcPr>
          <w:p w14:paraId="605A3F3A">
            <w:pPr>
              <w:pStyle w:val="41"/>
              <w:rPr>
                <w:rFonts w:hint="default" w:cs="Times New Roman"/>
                <w:color w:val="auto"/>
                <w:kern w:val="2"/>
                <w:u w:val="none"/>
                <w:lang w:val="en-US" w:eastAsia="zh-CN"/>
              </w:rPr>
            </w:pPr>
            <w:r>
              <w:rPr>
                <w:rFonts w:hint="eastAsia" w:cs="Times New Roman"/>
                <w:color w:val="auto"/>
                <w:kern w:val="2"/>
                <w:u w:val="none"/>
                <w:lang w:val="en-US" w:eastAsia="zh-CN"/>
              </w:rPr>
              <w:t>0.00369</w:t>
            </w:r>
          </w:p>
        </w:tc>
        <w:tc>
          <w:tcPr>
            <w:tcW w:w="350" w:type="pct"/>
            <w:tcBorders>
              <w:tl2br w:val="nil"/>
              <w:tr2bl w:val="nil"/>
            </w:tcBorders>
            <w:vAlign w:val="center"/>
          </w:tcPr>
          <w:p w14:paraId="36FCBF0F">
            <w:pPr>
              <w:pStyle w:val="41"/>
              <w:rPr>
                <w:rFonts w:hint="default" w:cs="Times New Roman"/>
                <w:color w:val="auto"/>
                <w:kern w:val="2"/>
                <w:u w:val="none"/>
                <w:lang w:val="en-US" w:eastAsia="zh-CN"/>
              </w:rPr>
            </w:pPr>
            <w:r>
              <w:rPr>
                <w:rFonts w:hint="eastAsia" w:cs="Times New Roman"/>
                <w:color w:val="auto"/>
                <w:kern w:val="2"/>
                <w:u w:val="none"/>
                <w:lang w:val="en-US" w:eastAsia="zh-CN"/>
              </w:rPr>
              <w:t>0.18465</w:t>
            </w:r>
          </w:p>
        </w:tc>
        <w:tc>
          <w:tcPr>
            <w:tcW w:w="388" w:type="pct"/>
            <w:tcBorders>
              <w:tl2br w:val="nil"/>
              <w:tr2bl w:val="nil"/>
            </w:tcBorders>
            <w:vAlign w:val="center"/>
          </w:tcPr>
          <w:p w14:paraId="2F3314B2">
            <w:pPr>
              <w:pStyle w:val="41"/>
              <w:rPr>
                <w:rFonts w:hint="eastAsia" w:cs="Times New Roman"/>
                <w:color w:val="auto"/>
                <w:kern w:val="2"/>
                <w:u w:val="none"/>
                <w:lang w:val="en-US" w:eastAsia="zh-CN"/>
              </w:rPr>
            </w:pPr>
            <w:r>
              <w:rPr>
                <w:rFonts w:hint="eastAsia" w:cs="Times New Roman"/>
                <w:color w:val="auto"/>
                <w:kern w:val="2"/>
                <w:u w:val="none"/>
                <w:lang w:val="en-US" w:eastAsia="zh-CN"/>
              </w:rPr>
              <w:t>0.00933</w:t>
            </w:r>
          </w:p>
        </w:tc>
        <w:tc>
          <w:tcPr>
            <w:tcW w:w="389" w:type="pct"/>
            <w:tcBorders>
              <w:tl2br w:val="nil"/>
              <w:tr2bl w:val="nil"/>
            </w:tcBorders>
            <w:vAlign w:val="center"/>
          </w:tcPr>
          <w:p w14:paraId="6B98731E">
            <w:pPr>
              <w:pStyle w:val="41"/>
              <w:rPr>
                <w:rFonts w:hint="eastAsia" w:cs="Times New Roman"/>
                <w:color w:val="auto"/>
                <w:kern w:val="2"/>
                <w:u w:val="none"/>
                <w:lang w:val="en-US" w:eastAsia="zh-CN"/>
              </w:rPr>
            </w:pPr>
            <w:r>
              <w:rPr>
                <w:rFonts w:hint="eastAsia" w:cs="Times New Roman"/>
                <w:color w:val="auto"/>
                <w:kern w:val="2"/>
                <w:u w:val="none"/>
                <w:lang w:val="en-US" w:eastAsia="zh-CN"/>
              </w:rPr>
              <w:t>0.00129</w:t>
            </w:r>
          </w:p>
        </w:tc>
      </w:tr>
      <w:tr w14:paraId="5BA33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vAlign w:val="center"/>
          </w:tcPr>
          <w:p w14:paraId="5D6987E0">
            <w:pPr>
              <w:pStyle w:val="41"/>
              <w:rPr>
                <w:rFonts w:hint="default" w:ascii="Times New Roman" w:hAnsi="Times New Roman" w:cs="Times New Roman"/>
                <w:color w:val="auto"/>
                <w:u w:val="none"/>
              </w:rPr>
            </w:pPr>
            <w:r>
              <w:rPr>
                <w:rFonts w:hint="default" w:ascii="Times New Roman" w:hAnsi="Times New Roman" w:cs="Times New Roman"/>
                <w:color w:val="auto"/>
                <w:u w:val="none"/>
              </w:rPr>
              <w:t>DA</w:t>
            </w:r>
            <w:r>
              <w:rPr>
                <w:rFonts w:hint="eastAsia" w:cs="Times New Roman"/>
                <w:color w:val="auto"/>
                <w:u w:val="none"/>
                <w:lang w:val="en-US" w:eastAsia="zh-CN"/>
              </w:rPr>
              <w:t>002</w:t>
            </w:r>
          </w:p>
        </w:tc>
        <w:tc>
          <w:tcPr>
            <w:tcW w:w="185" w:type="pct"/>
            <w:tcBorders>
              <w:tl2br w:val="nil"/>
              <w:tr2bl w:val="nil"/>
            </w:tcBorders>
            <w:vAlign w:val="center"/>
          </w:tcPr>
          <w:p w14:paraId="33D22A73">
            <w:pPr>
              <w:pStyle w:val="41"/>
              <w:rPr>
                <w:rFonts w:hint="default" w:ascii="Times New Roman" w:hAnsi="Times New Roman" w:cs="Times New Roman"/>
                <w:color w:val="auto"/>
                <w:u w:val="none"/>
              </w:rPr>
            </w:pPr>
            <w:r>
              <w:rPr>
                <w:rFonts w:hint="default" w:ascii="Times New Roman" w:hAnsi="Times New Roman" w:cs="Times New Roman"/>
                <w:color w:val="auto"/>
                <w:u w:val="none"/>
              </w:rPr>
              <w:t>大</w:t>
            </w:r>
            <w:r>
              <w:rPr>
                <w:rFonts w:hint="eastAsia" w:cs="Times New Roman"/>
                <w:color w:val="auto"/>
                <w:u w:val="none"/>
                <w:lang w:val="en-US" w:eastAsia="zh-CN"/>
              </w:rPr>
              <w:t>线氧化</w:t>
            </w:r>
            <w:r>
              <w:rPr>
                <w:rFonts w:hint="default" w:ascii="Times New Roman" w:hAnsi="Times New Roman" w:cs="Times New Roman"/>
                <w:color w:val="auto"/>
                <w:u w:val="none"/>
              </w:rPr>
              <w:t>自动线生产</w:t>
            </w:r>
          </w:p>
        </w:tc>
        <w:tc>
          <w:tcPr>
            <w:tcW w:w="193" w:type="pct"/>
            <w:tcBorders>
              <w:tl2br w:val="nil"/>
              <w:tr2bl w:val="nil"/>
            </w:tcBorders>
            <w:vAlign w:val="center"/>
          </w:tcPr>
          <w:p w14:paraId="75196693">
            <w:pPr>
              <w:pStyle w:val="41"/>
              <w:rPr>
                <w:rFonts w:hint="eastAsia" w:eastAsia="宋体"/>
                <w:kern w:val="2"/>
                <w:lang w:val="en-US" w:eastAsia="zh-CN"/>
              </w:rPr>
            </w:pPr>
            <w:r>
              <w:rPr>
                <w:rFonts w:hint="eastAsia"/>
                <w:kern w:val="2"/>
                <w:lang w:val="en-US" w:eastAsia="zh-CN"/>
              </w:rPr>
              <w:t>铬酸雾</w:t>
            </w:r>
          </w:p>
        </w:tc>
        <w:tc>
          <w:tcPr>
            <w:tcW w:w="186" w:type="pct"/>
            <w:vMerge w:val="restart"/>
            <w:tcBorders>
              <w:tl2br w:val="nil"/>
              <w:tr2bl w:val="nil"/>
            </w:tcBorders>
            <w:vAlign w:val="center"/>
          </w:tcPr>
          <w:p w14:paraId="6E96FECA">
            <w:pPr>
              <w:pStyle w:val="41"/>
              <w:rPr>
                <w:rFonts w:hint="default" w:ascii="Times New Roman" w:hAnsi="Times New Roman" w:cs="Times New Roman"/>
                <w:color w:val="auto"/>
                <w:kern w:val="2"/>
                <w:u w:val="none"/>
              </w:rPr>
            </w:pPr>
            <w:r>
              <w:rPr>
                <w:rFonts w:hint="eastAsia" w:cs="Times New Roman"/>
                <w:color w:val="auto"/>
                <w:u w:val="none"/>
                <w:lang w:val="en-US" w:eastAsia="zh-CN"/>
              </w:rPr>
              <w:t>3</w:t>
            </w:r>
            <w:r>
              <w:rPr>
                <w:rFonts w:hint="default" w:ascii="Times New Roman" w:hAnsi="Times New Roman" w:cs="Times New Roman"/>
                <w:color w:val="auto"/>
                <w:u w:val="none"/>
              </w:rPr>
              <w:t>万</w:t>
            </w:r>
          </w:p>
        </w:tc>
        <w:tc>
          <w:tcPr>
            <w:tcW w:w="389" w:type="pct"/>
            <w:tcBorders>
              <w:tl2br w:val="nil"/>
              <w:tr2bl w:val="nil"/>
            </w:tcBorders>
            <w:vAlign w:val="center"/>
          </w:tcPr>
          <w:p w14:paraId="06F9E8CD">
            <w:pPr>
              <w:pStyle w:val="41"/>
              <w:rPr>
                <w:rFonts w:hint="default" w:cs="Times New Roman"/>
                <w:color w:val="auto"/>
                <w:kern w:val="2"/>
                <w:u w:val="none"/>
                <w:lang w:val="en-US" w:eastAsia="zh-CN"/>
              </w:rPr>
            </w:pPr>
            <w:r>
              <w:rPr>
                <w:rFonts w:hint="eastAsia" w:cs="Times New Roman"/>
                <w:color w:val="auto"/>
                <w:kern w:val="2"/>
                <w:u w:val="none"/>
                <w:lang w:val="en-US" w:eastAsia="zh-CN"/>
              </w:rPr>
              <w:t>0.37107</w:t>
            </w:r>
          </w:p>
        </w:tc>
        <w:tc>
          <w:tcPr>
            <w:tcW w:w="389" w:type="pct"/>
            <w:tcBorders>
              <w:tl2br w:val="nil"/>
              <w:tr2bl w:val="nil"/>
            </w:tcBorders>
            <w:vAlign w:val="center"/>
          </w:tcPr>
          <w:p w14:paraId="6F19A2F5">
            <w:pPr>
              <w:pStyle w:val="41"/>
              <w:rPr>
                <w:rFonts w:hint="default" w:cs="Times New Roman"/>
                <w:color w:val="auto"/>
                <w:kern w:val="2"/>
                <w:u w:val="none"/>
                <w:lang w:val="en-US" w:eastAsia="zh-CN"/>
              </w:rPr>
            </w:pPr>
            <w:r>
              <w:rPr>
                <w:rFonts w:hint="eastAsia" w:cs="Times New Roman"/>
                <w:color w:val="auto"/>
                <w:kern w:val="2"/>
                <w:u w:val="none"/>
                <w:lang w:val="en-US" w:eastAsia="zh-CN"/>
              </w:rPr>
              <w:t>0.05154</w:t>
            </w:r>
          </w:p>
        </w:tc>
        <w:tc>
          <w:tcPr>
            <w:tcW w:w="425" w:type="pct"/>
            <w:tcBorders>
              <w:tl2br w:val="nil"/>
              <w:tr2bl w:val="nil"/>
            </w:tcBorders>
            <w:vAlign w:val="center"/>
          </w:tcPr>
          <w:p w14:paraId="7E13618B">
            <w:pPr>
              <w:pStyle w:val="41"/>
              <w:rPr>
                <w:rFonts w:hint="default" w:cs="Times New Roman"/>
                <w:color w:val="auto"/>
                <w:kern w:val="2"/>
                <w:u w:val="none"/>
                <w:lang w:val="en-US" w:eastAsia="zh-CN"/>
              </w:rPr>
            </w:pPr>
            <w:r>
              <w:rPr>
                <w:rFonts w:hint="eastAsia" w:cs="Times New Roman"/>
                <w:color w:val="auto"/>
                <w:kern w:val="2"/>
                <w:u w:val="none"/>
                <w:lang w:val="en-US" w:eastAsia="zh-CN"/>
              </w:rPr>
              <w:t>1.71792</w:t>
            </w:r>
          </w:p>
        </w:tc>
        <w:tc>
          <w:tcPr>
            <w:tcW w:w="389" w:type="pct"/>
            <w:tcBorders>
              <w:tl2br w:val="nil"/>
              <w:tr2bl w:val="nil"/>
            </w:tcBorders>
            <w:vAlign w:val="center"/>
          </w:tcPr>
          <w:p w14:paraId="5FCD3022">
            <w:pPr>
              <w:pStyle w:val="41"/>
              <w:rPr>
                <w:rFonts w:hint="default" w:cs="Times New Roman"/>
                <w:color w:val="auto"/>
                <w:kern w:val="2"/>
                <w:u w:val="none"/>
                <w:lang w:val="en-US" w:eastAsia="zh-CN"/>
              </w:rPr>
            </w:pPr>
            <w:r>
              <w:rPr>
                <w:rFonts w:hint="eastAsia" w:cs="Times New Roman"/>
                <w:color w:val="auto"/>
                <w:kern w:val="2"/>
                <w:u w:val="none"/>
                <w:lang w:val="en-US" w:eastAsia="zh-CN"/>
              </w:rPr>
              <w:t>0.01953</w:t>
            </w:r>
          </w:p>
        </w:tc>
        <w:tc>
          <w:tcPr>
            <w:tcW w:w="390" w:type="pct"/>
            <w:tcBorders>
              <w:tl2br w:val="nil"/>
              <w:tr2bl w:val="nil"/>
            </w:tcBorders>
            <w:vAlign w:val="center"/>
          </w:tcPr>
          <w:p w14:paraId="4185C256">
            <w:pPr>
              <w:pStyle w:val="41"/>
              <w:rPr>
                <w:rFonts w:hint="default" w:cs="Times New Roman"/>
                <w:color w:val="auto"/>
                <w:kern w:val="2"/>
                <w:u w:val="none"/>
                <w:lang w:val="en-US" w:eastAsia="zh-CN"/>
              </w:rPr>
            </w:pPr>
            <w:r>
              <w:rPr>
                <w:rFonts w:hint="eastAsia" w:cs="Times New Roman"/>
                <w:color w:val="auto"/>
                <w:kern w:val="2"/>
                <w:u w:val="none"/>
                <w:lang w:val="en-US" w:eastAsia="zh-CN"/>
              </w:rPr>
              <w:t>0.0027</w:t>
            </w:r>
          </w:p>
        </w:tc>
        <w:tc>
          <w:tcPr>
            <w:tcW w:w="217" w:type="pct"/>
            <w:vMerge w:val="restart"/>
            <w:tcBorders>
              <w:tl2br w:val="nil"/>
              <w:tr2bl w:val="nil"/>
            </w:tcBorders>
            <w:vAlign w:val="center"/>
          </w:tcPr>
          <w:p w14:paraId="68E89D7B">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两级</w:t>
            </w:r>
            <w:r>
              <w:rPr>
                <w:rFonts w:hint="default" w:ascii="Times New Roman" w:hAnsi="Times New Roman" w:cs="Times New Roman"/>
                <w:color w:val="auto"/>
                <w:kern w:val="2"/>
                <w:u w:val="none"/>
              </w:rPr>
              <w:t>碱液喷淋塔</w:t>
            </w:r>
          </w:p>
        </w:tc>
        <w:tc>
          <w:tcPr>
            <w:tcW w:w="219" w:type="pct"/>
            <w:tcBorders>
              <w:tl2br w:val="nil"/>
              <w:tr2bl w:val="nil"/>
            </w:tcBorders>
            <w:vAlign w:val="center"/>
          </w:tcPr>
          <w:p w14:paraId="6D425084">
            <w:pPr>
              <w:pStyle w:val="41"/>
              <w:rPr>
                <w:rFonts w:hint="default" w:cs="Times New Roman"/>
                <w:color w:val="auto"/>
                <w:kern w:val="2"/>
                <w:u w:val="none"/>
                <w:lang w:val="en-US" w:eastAsia="zh-CN"/>
              </w:rPr>
            </w:pPr>
            <w:r>
              <w:rPr>
                <w:rFonts w:hint="eastAsia" w:cs="Times New Roman"/>
                <w:color w:val="auto"/>
                <w:kern w:val="2"/>
                <w:u w:val="none"/>
                <w:lang w:val="en-US" w:eastAsia="zh-CN"/>
              </w:rPr>
              <w:t>90</w:t>
            </w:r>
            <w:r>
              <w:rPr>
                <w:rFonts w:hint="default" w:ascii="Times New Roman" w:hAnsi="Times New Roman" w:cs="Times New Roman"/>
                <w:color w:val="auto"/>
                <w:kern w:val="2"/>
                <w:u w:val="none"/>
              </w:rPr>
              <w:t>%</w:t>
            </w:r>
          </w:p>
        </w:tc>
        <w:tc>
          <w:tcPr>
            <w:tcW w:w="343" w:type="pct"/>
            <w:tcBorders>
              <w:tl2br w:val="nil"/>
              <w:tr2bl w:val="nil"/>
            </w:tcBorders>
            <w:vAlign w:val="center"/>
          </w:tcPr>
          <w:p w14:paraId="765228D9">
            <w:pPr>
              <w:pStyle w:val="41"/>
              <w:rPr>
                <w:rFonts w:hint="default" w:cs="Times New Roman"/>
                <w:color w:val="auto"/>
                <w:kern w:val="2"/>
                <w:u w:val="none"/>
                <w:lang w:val="en-US" w:eastAsia="zh-CN"/>
              </w:rPr>
            </w:pPr>
            <w:r>
              <w:rPr>
                <w:rFonts w:hint="eastAsia" w:cs="Times New Roman"/>
                <w:color w:val="auto"/>
                <w:kern w:val="2"/>
                <w:u w:val="none"/>
                <w:lang w:val="en-US" w:eastAsia="zh-CN"/>
              </w:rPr>
              <w:t>0.03717</w:t>
            </w:r>
          </w:p>
        </w:tc>
        <w:tc>
          <w:tcPr>
            <w:tcW w:w="388" w:type="pct"/>
            <w:tcBorders>
              <w:tl2br w:val="nil"/>
              <w:tr2bl w:val="nil"/>
            </w:tcBorders>
            <w:vAlign w:val="center"/>
          </w:tcPr>
          <w:p w14:paraId="61D177BD">
            <w:pPr>
              <w:pStyle w:val="41"/>
              <w:rPr>
                <w:rFonts w:hint="default" w:cs="Times New Roman"/>
                <w:color w:val="auto"/>
                <w:kern w:val="2"/>
                <w:u w:val="none"/>
                <w:lang w:val="en-US" w:eastAsia="zh-CN"/>
              </w:rPr>
            </w:pPr>
            <w:r>
              <w:rPr>
                <w:rFonts w:hint="eastAsia" w:cs="Times New Roman"/>
                <w:color w:val="auto"/>
                <w:kern w:val="2"/>
                <w:u w:val="none"/>
                <w:lang w:val="en-US" w:eastAsia="zh-CN"/>
              </w:rPr>
              <w:t>0.005162</w:t>
            </w:r>
          </w:p>
        </w:tc>
        <w:tc>
          <w:tcPr>
            <w:tcW w:w="350" w:type="pct"/>
            <w:tcBorders>
              <w:tl2br w:val="nil"/>
              <w:tr2bl w:val="nil"/>
            </w:tcBorders>
            <w:vAlign w:val="center"/>
          </w:tcPr>
          <w:p w14:paraId="218396FD">
            <w:pPr>
              <w:pStyle w:val="41"/>
              <w:rPr>
                <w:rFonts w:hint="eastAsia" w:cs="Times New Roman"/>
                <w:color w:val="auto"/>
                <w:kern w:val="2"/>
                <w:u w:val="none"/>
                <w:lang w:val="en-US" w:eastAsia="zh-CN"/>
              </w:rPr>
            </w:pPr>
            <w:r>
              <w:rPr>
                <w:rFonts w:hint="eastAsia" w:cs="Times New Roman"/>
                <w:color w:val="auto"/>
                <w:kern w:val="2"/>
                <w:u w:val="none"/>
                <w:lang w:val="en-US" w:eastAsia="zh-CN"/>
              </w:rPr>
              <w:t>0.17208</w:t>
            </w:r>
          </w:p>
        </w:tc>
        <w:tc>
          <w:tcPr>
            <w:tcW w:w="388" w:type="pct"/>
            <w:tcBorders>
              <w:tl2br w:val="nil"/>
              <w:tr2bl w:val="nil"/>
            </w:tcBorders>
            <w:vAlign w:val="center"/>
          </w:tcPr>
          <w:p w14:paraId="588FB8EF">
            <w:pPr>
              <w:pStyle w:val="41"/>
              <w:rPr>
                <w:rFonts w:hint="eastAsia" w:cs="Times New Roman"/>
                <w:color w:val="auto"/>
                <w:kern w:val="2"/>
                <w:u w:val="none"/>
                <w:lang w:val="en-US" w:eastAsia="zh-CN"/>
              </w:rPr>
            </w:pPr>
            <w:r>
              <w:rPr>
                <w:rFonts w:hint="eastAsia" w:cs="Times New Roman"/>
                <w:color w:val="auto"/>
                <w:kern w:val="2"/>
                <w:u w:val="none"/>
                <w:lang w:val="en-US" w:eastAsia="zh-CN"/>
              </w:rPr>
              <w:t>0.01953</w:t>
            </w:r>
          </w:p>
        </w:tc>
        <w:tc>
          <w:tcPr>
            <w:tcW w:w="389" w:type="pct"/>
            <w:tcBorders>
              <w:tl2br w:val="nil"/>
              <w:tr2bl w:val="nil"/>
            </w:tcBorders>
            <w:vAlign w:val="center"/>
          </w:tcPr>
          <w:p w14:paraId="3505DD9A">
            <w:pPr>
              <w:pStyle w:val="41"/>
              <w:rPr>
                <w:rFonts w:hint="eastAsia" w:cs="Times New Roman"/>
                <w:color w:val="auto"/>
                <w:kern w:val="2"/>
                <w:u w:val="none"/>
                <w:lang w:val="en-US" w:eastAsia="zh-CN"/>
              </w:rPr>
            </w:pPr>
            <w:r>
              <w:rPr>
                <w:rFonts w:hint="eastAsia" w:cs="Times New Roman"/>
                <w:color w:val="auto"/>
                <w:kern w:val="2"/>
                <w:u w:val="none"/>
                <w:lang w:val="en-US" w:eastAsia="zh-CN"/>
              </w:rPr>
              <w:t>0.0027</w:t>
            </w:r>
          </w:p>
        </w:tc>
      </w:tr>
      <w:tr w14:paraId="2B453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vAlign w:val="center"/>
          </w:tcPr>
          <w:p w14:paraId="35818AC8">
            <w:pPr>
              <w:pStyle w:val="41"/>
              <w:rPr>
                <w:rFonts w:hint="default" w:ascii="Times New Roman" w:hAnsi="Times New Roman" w:cs="Times New Roman"/>
                <w:color w:val="auto"/>
                <w:u w:val="none"/>
              </w:rPr>
            </w:pPr>
          </w:p>
        </w:tc>
        <w:tc>
          <w:tcPr>
            <w:tcW w:w="185" w:type="pct"/>
            <w:tcBorders>
              <w:tl2br w:val="nil"/>
              <w:tr2bl w:val="nil"/>
            </w:tcBorders>
            <w:vAlign w:val="center"/>
          </w:tcPr>
          <w:p w14:paraId="2879D01B">
            <w:pPr>
              <w:pStyle w:val="41"/>
              <w:rPr>
                <w:rFonts w:hint="default" w:ascii="Times New Roman" w:hAnsi="Times New Roman" w:cs="Times New Roman"/>
                <w:color w:val="auto"/>
                <w:u w:val="none"/>
              </w:rPr>
            </w:pPr>
            <w:r>
              <w:rPr>
                <w:rFonts w:hint="default" w:ascii="Times New Roman" w:hAnsi="Times New Roman" w:cs="Times New Roman"/>
                <w:color w:val="auto"/>
                <w:u w:val="none"/>
              </w:rPr>
              <w:t>小线</w:t>
            </w:r>
            <w:r>
              <w:rPr>
                <w:rFonts w:hint="eastAsia" w:cs="Times New Roman"/>
                <w:color w:val="auto"/>
                <w:u w:val="none"/>
                <w:lang w:val="en-US" w:eastAsia="zh-CN"/>
              </w:rPr>
              <w:t>氧化</w:t>
            </w:r>
            <w:r>
              <w:rPr>
                <w:rFonts w:hint="default" w:ascii="Times New Roman" w:hAnsi="Times New Roman" w:cs="Times New Roman"/>
                <w:color w:val="auto"/>
                <w:u w:val="none"/>
              </w:rPr>
              <w:t>自动化生产线</w:t>
            </w:r>
          </w:p>
        </w:tc>
        <w:tc>
          <w:tcPr>
            <w:tcW w:w="193" w:type="pct"/>
            <w:tcBorders>
              <w:tl2br w:val="nil"/>
              <w:tr2bl w:val="nil"/>
            </w:tcBorders>
            <w:vAlign w:val="center"/>
          </w:tcPr>
          <w:p w14:paraId="25B6565A">
            <w:pPr>
              <w:pStyle w:val="41"/>
              <w:rPr>
                <w:kern w:val="2"/>
              </w:rPr>
            </w:pPr>
            <w:r>
              <w:rPr>
                <w:rFonts w:hint="eastAsia"/>
                <w:kern w:val="2"/>
                <w:lang w:val="en-US" w:eastAsia="zh-CN"/>
              </w:rPr>
              <w:t>铬酸雾</w:t>
            </w:r>
          </w:p>
        </w:tc>
        <w:tc>
          <w:tcPr>
            <w:tcW w:w="186" w:type="pct"/>
            <w:vMerge w:val="continue"/>
            <w:tcBorders>
              <w:tl2br w:val="nil"/>
              <w:tr2bl w:val="nil"/>
            </w:tcBorders>
            <w:vAlign w:val="center"/>
          </w:tcPr>
          <w:p w14:paraId="70882BCD">
            <w:pPr>
              <w:pStyle w:val="41"/>
              <w:rPr>
                <w:rFonts w:hint="default" w:ascii="Times New Roman" w:hAnsi="Times New Roman" w:cs="Times New Roman"/>
                <w:color w:val="auto"/>
                <w:kern w:val="2"/>
                <w:u w:val="none"/>
              </w:rPr>
            </w:pPr>
          </w:p>
        </w:tc>
        <w:tc>
          <w:tcPr>
            <w:tcW w:w="389" w:type="pct"/>
            <w:tcBorders>
              <w:tl2br w:val="nil"/>
              <w:tr2bl w:val="nil"/>
            </w:tcBorders>
            <w:vAlign w:val="center"/>
          </w:tcPr>
          <w:p w14:paraId="4924FC8A">
            <w:pPr>
              <w:pStyle w:val="41"/>
              <w:rPr>
                <w:rFonts w:hint="default" w:cs="Times New Roman"/>
                <w:color w:val="auto"/>
                <w:kern w:val="2"/>
                <w:u w:val="none"/>
                <w:lang w:val="en-US" w:eastAsia="zh-CN"/>
              </w:rPr>
            </w:pPr>
            <w:r>
              <w:rPr>
                <w:rFonts w:hint="eastAsia" w:cs="Times New Roman"/>
                <w:color w:val="auto"/>
                <w:kern w:val="2"/>
                <w:u w:val="none"/>
                <w:lang w:val="en-US" w:eastAsia="zh-CN"/>
              </w:rPr>
              <w:t>0.015561</w:t>
            </w:r>
          </w:p>
        </w:tc>
        <w:tc>
          <w:tcPr>
            <w:tcW w:w="389" w:type="pct"/>
            <w:tcBorders>
              <w:tl2br w:val="nil"/>
              <w:tr2bl w:val="nil"/>
            </w:tcBorders>
            <w:vAlign w:val="center"/>
          </w:tcPr>
          <w:p w14:paraId="385E395E">
            <w:pPr>
              <w:pStyle w:val="41"/>
              <w:rPr>
                <w:rFonts w:hint="default" w:cs="Times New Roman"/>
                <w:color w:val="auto"/>
                <w:kern w:val="2"/>
                <w:u w:val="none"/>
                <w:lang w:val="en-US" w:eastAsia="zh-CN"/>
              </w:rPr>
            </w:pPr>
            <w:r>
              <w:rPr>
                <w:rFonts w:hint="eastAsia" w:cs="Times New Roman"/>
                <w:color w:val="auto"/>
                <w:kern w:val="2"/>
                <w:u w:val="none"/>
                <w:lang w:val="en-US" w:eastAsia="zh-CN"/>
              </w:rPr>
              <w:t>0.00216</w:t>
            </w:r>
          </w:p>
        </w:tc>
        <w:tc>
          <w:tcPr>
            <w:tcW w:w="425" w:type="pct"/>
            <w:tcBorders>
              <w:tl2br w:val="nil"/>
              <w:tr2bl w:val="nil"/>
            </w:tcBorders>
            <w:vAlign w:val="center"/>
          </w:tcPr>
          <w:p w14:paraId="1E74A089">
            <w:pPr>
              <w:pStyle w:val="41"/>
              <w:rPr>
                <w:rFonts w:hint="eastAsia" w:cs="Times New Roman"/>
                <w:color w:val="auto"/>
                <w:kern w:val="2"/>
                <w:u w:val="none"/>
                <w:lang w:val="en-US" w:eastAsia="zh-CN"/>
              </w:rPr>
            </w:pPr>
            <w:r>
              <w:rPr>
                <w:rFonts w:hint="eastAsia" w:cs="Times New Roman"/>
                <w:color w:val="auto"/>
                <w:kern w:val="2"/>
                <w:u w:val="none"/>
                <w:lang w:val="en-US" w:eastAsia="zh-CN"/>
              </w:rPr>
              <w:t>0.07204</w:t>
            </w:r>
          </w:p>
        </w:tc>
        <w:tc>
          <w:tcPr>
            <w:tcW w:w="389" w:type="pct"/>
            <w:tcBorders>
              <w:tl2br w:val="nil"/>
              <w:tr2bl w:val="nil"/>
            </w:tcBorders>
            <w:vAlign w:val="center"/>
          </w:tcPr>
          <w:p w14:paraId="102AE76F">
            <w:pPr>
              <w:pStyle w:val="41"/>
              <w:rPr>
                <w:rFonts w:hint="default" w:cs="Times New Roman"/>
                <w:color w:val="auto"/>
                <w:kern w:val="2"/>
                <w:u w:val="none"/>
                <w:lang w:val="en-US" w:eastAsia="zh-CN"/>
              </w:rPr>
            </w:pPr>
            <w:r>
              <w:rPr>
                <w:rFonts w:hint="eastAsia" w:cs="Times New Roman"/>
                <w:color w:val="auto"/>
                <w:kern w:val="2"/>
                <w:u w:val="none"/>
                <w:lang w:val="en-US" w:eastAsia="zh-CN"/>
              </w:rPr>
              <w:t>0.000819</w:t>
            </w:r>
          </w:p>
        </w:tc>
        <w:tc>
          <w:tcPr>
            <w:tcW w:w="390" w:type="pct"/>
            <w:tcBorders>
              <w:tl2br w:val="nil"/>
              <w:tr2bl w:val="nil"/>
            </w:tcBorders>
            <w:vAlign w:val="center"/>
          </w:tcPr>
          <w:p w14:paraId="41E4F9ED">
            <w:pPr>
              <w:pStyle w:val="41"/>
              <w:rPr>
                <w:rFonts w:hint="default" w:cs="Times New Roman"/>
                <w:color w:val="auto"/>
                <w:kern w:val="2"/>
                <w:u w:val="none"/>
                <w:lang w:val="en-US" w:eastAsia="zh-CN"/>
              </w:rPr>
            </w:pPr>
            <w:r>
              <w:rPr>
                <w:rFonts w:hint="eastAsia" w:cs="Times New Roman"/>
                <w:color w:val="auto"/>
                <w:kern w:val="2"/>
                <w:u w:val="none"/>
                <w:lang w:val="en-US" w:eastAsia="zh-CN"/>
              </w:rPr>
              <w:t>0.00011375</w:t>
            </w:r>
          </w:p>
        </w:tc>
        <w:tc>
          <w:tcPr>
            <w:tcW w:w="217" w:type="pct"/>
            <w:vMerge w:val="continue"/>
            <w:tcBorders>
              <w:tl2br w:val="nil"/>
              <w:tr2bl w:val="nil"/>
            </w:tcBorders>
            <w:vAlign w:val="center"/>
          </w:tcPr>
          <w:p w14:paraId="3388AE17">
            <w:pPr>
              <w:pStyle w:val="41"/>
              <w:rPr>
                <w:rFonts w:hint="default" w:ascii="Times New Roman" w:hAnsi="Times New Roman" w:cs="Times New Roman"/>
                <w:color w:val="auto"/>
                <w:kern w:val="2"/>
                <w:u w:val="none"/>
              </w:rPr>
            </w:pPr>
          </w:p>
        </w:tc>
        <w:tc>
          <w:tcPr>
            <w:tcW w:w="219" w:type="pct"/>
            <w:tcBorders>
              <w:tl2br w:val="nil"/>
              <w:tr2bl w:val="nil"/>
            </w:tcBorders>
            <w:vAlign w:val="center"/>
          </w:tcPr>
          <w:p w14:paraId="0C834F9E">
            <w:pPr>
              <w:pStyle w:val="41"/>
              <w:rPr>
                <w:rFonts w:hint="eastAsia" w:cs="Times New Roman"/>
                <w:color w:val="auto"/>
                <w:kern w:val="2"/>
                <w:u w:val="none"/>
                <w:lang w:val="en-US" w:eastAsia="zh-CN"/>
              </w:rPr>
            </w:pPr>
            <w:r>
              <w:rPr>
                <w:rFonts w:hint="eastAsia" w:cs="Times New Roman"/>
                <w:color w:val="auto"/>
                <w:kern w:val="2"/>
                <w:u w:val="none"/>
                <w:lang w:val="en-US" w:eastAsia="zh-CN"/>
              </w:rPr>
              <w:t>90</w:t>
            </w:r>
            <w:r>
              <w:rPr>
                <w:rFonts w:hint="default" w:ascii="Times New Roman" w:hAnsi="Times New Roman" w:cs="Times New Roman"/>
                <w:color w:val="auto"/>
                <w:kern w:val="2"/>
                <w:u w:val="none"/>
              </w:rPr>
              <w:t>%</w:t>
            </w:r>
          </w:p>
        </w:tc>
        <w:tc>
          <w:tcPr>
            <w:tcW w:w="343" w:type="pct"/>
            <w:tcBorders>
              <w:tl2br w:val="nil"/>
              <w:tr2bl w:val="nil"/>
            </w:tcBorders>
            <w:vAlign w:val="center"/>
          </w:tcPr>
          <w:p w14:paraId="5116A85C">
            <w:pPr>
              <w:pStyle w:val="41"/>
              <w:rPr>
                <w:rFonts w:hint="default" w:cs="Times New Roman"/>
                <w:color w:val="auto"/>
                <w:kern w:val="2"/>
                <w:u w:val="none"/>
                <w:lang w:val="en-US" w:eastAsia="zh-CN"/>
              </w:rPr>
            </w:pPr>
            <w:r>
              <w:rPr>
                <w:rFonts w:hint="eastAsia" w:cs="Times New Roman"/>
                <w:color w:val="auto"/>
                <w:kern w:val="2"/>
                <w:u w:val="none"/>
                <w:lang w:val="en-US" w:eastAsia="zh-CN"/>
              </w:rPr>
              <w:t>0.0015561</w:t>
            </w:r>
          </w:p>
        </w:tc>
        <w:tc>
          <w:tcPr>
            <w:tcW w:w="388" w:type="pct"/>
            <w:tcBorders>
              <w:tl2br w:val="nil"/>
              <w:tr2bl w:val="nil"/>
            </w:tcBorders>
            <w:vAlign w:val="center"/>
          </w:tcPr>
          <w:p w14:paraId="43E3E21D">
            <w:pPr>
              <w:pStyle w:val="41"/>
              <w:rPr>
                <w:rFonts w:hint="default" w:cs="Times New Roman"/>
                <w:color w:val="auto"/>
                <w:kern w:val="2"/>
                <w:u w:val="none"/>
                <w:lang w:val="en-US" w:eastAsia="zh-CN"/>
              </w:rPr>
            </w:pPr>
            <w:r>
              <w:rPr>
                <w:rFonts w:hint="eastAsia" w:cs="Times New Roman"/>
                <w:color w:val="auto"/>
                <w:kern w:val="2"/>
                <w:u w:val="none"/>
                <w:lang w:val="en-US" w:eastAsia="zh-CN"/>
              </w:rPr>
              <w:t>0.0002162</w:t>
            </w:r>
          </w:p>
        </w:tc>
        <w:tc>
          <w:tcPr>
            <w:tcW w:w="350" w:type="pct"/>
            <w:tcBorders>
              <w:tl2br w:val="nil"/>
              <w:tr2bl w:val="nil"/>
            </w:tcBorders>
            <w:vAlign w:val="center"/>
          </w:tcPr>
          <w:p w14:paraId="1611CF6A">
            <w:pPr>
              <w:pStyle w:val="41"/>
              <w:rPr>
                <w:rFonts w:hint="default" w:cs="Times New Roman"/>
                <w:color w:val="auto"/>
                <w:kern w:val="2"/>
                <w:u w:val="none"/>
                <w:lang w:val="en-US" w:eastAsia="zh-CN"/>
              </w:rPr>
            </w:pPr>
            <w:r>
              <w:rPr>
                <w:rFonts w:hint="eastAsia" w:cs="Times New Roman"/>
                <w:color w:val="auto"/>
                <w:kern w:val="2"/>
                <w:u w:val="none"/>
                <w:lang w:val="en-US" w:eastAsia="zh-CN"/>
              </w:rPr>
              <w:t>0.007204</w:t>
            </w:r>
          </w:p>
        </w:tc>
        <w:tc>
          <w:tcPr>
            <w:tcW w:w="1218" w:type="dxa"/>
            <w:tcBorders>
              <w:tl2br w:val="nil"/>
              <w:tr2bl w:val="nil"/>
            </w:tcBorders>
            <w:vAlign w:val="center"/>
          </w:tcPr>
          <w:p w14:paraId="2762F4E7">
            <w:pPr>
              <w:pStyle w:val="41"/>
              <w:rPr>
                <w:rFonts w:hint="eastAsia" w:cs="Times New Roman"/>
                <w:color w:val="auto"/>
                <w:kern w:val="2"/>
                <w:u w:val="none"/>
                <w:lang w:val="en-US" w:eastAsia="zh-CN"/>
              </w:rPr>
            </w:pPr>
            <w:r>
              <w:rPr>
                <w:rFonts w:hint="eastAsia" w:cs="Times New Roman"/>
                <w:color w:val="auto"/>
                <w:kern w:val="2"/>
                <w:u w:val="none"/>
                <w:lang w:val="en-US" w:eastAsia="zh-CN"/>
              </w:rPr>
              <w:t>0.000819</w:t>
            </w:r>
          </w:p>
        </w:tc>
        <w:tc>
          <w:tcPr>
            <w:tcW w:w="1221" w:type="dxa"/>
            <w:tcBorders>
              <w:tl2br w:val="nil"/>
              <w:tr2bl w:val="nil"/>
            </w:tcBorders>
            <w:vAlign w:val="center"/>
          </w:tcPr>
          <w:p w14:paraId="18FBBDF2">
            <w:pPr>
              <w:pStyle w:val="41"/>
              <w:rPr>
                <w:rFonts w:hint="eastAsia" w:cs="Times New Roman"/>
                <w:color w:val="auto"/>
                <w:kern w:val="2"/>
                <w:u w:val="none"/>
                <w:lang w:val="en-US" w:eastAsia="zh-CN"/>
              </w:rPr>
            </w:pPr>
            <w:r>
              <w:rPr>
                <w:rFonts w:hint="eastAsia" w:cs="Times New Roman"/>
                <w:color w:val="auto"/>
                <w:kern w:val="2"/>
                <w:u w:val="none"/>
                <w:lang w:val="en-US" w:eastAsia="zh-CN"/>
              </w:rPr>
              <w:t>0.00011375</w:t>
            </w:r>
          </w:p>
        </w:tc>
      </w:tr>
      <w:tr w14:paraId="677AC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restart"/>
            <w:tcBorders>
              <w:tl2br w:val="nil"/>
              <w:tr2bl w:val="nil"/>
            </w:tcBorders>
            <w:vAlign w:val="center"/>
          </w:tcPr>
          <w:p w14:paraId="4AD8B379">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合计</w:t>
            </w:r>
          </w:p>
        </w:tc>
        <w:tc>
          <w:tcPr>
            <w:tcW w:w="185" w:type="pct"/>
            <w:vMerge w:val="restart"/>
            <w:tcBorders>
              <w:tl2br w:val="nil"/>
              <w:tr2bl w:val="nil"/>
            </w:tcBorders>
            <w:vAlign w:val="center"/>
          </w:tcPr>
          <w:p w14:paraId="1625040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DA001</w:t>
            </w:r>
          </w:p>
        </w:tc>
        <w:tc>
          <w:tcPr>
            <w:tcW w:w="193" w:type="pct"/>
            <w:tcBorders>
              <w:tl2br w:val="nil"/>
              <w:tr2bl w:val="nil"/>
            </w:tcBorders>
            <w:vAlign w:val="center"/>
          </w:tcPr>
          <w:p w14:paraId="4E07AAD5">
            <w:pPr>
              <w:pStyle w:val="41"/>
              <w:rPr>
                <w:kern w:val="2"/>
              </w:rPr>
            </w:pPr>
            <w:r>
              <w:rPr>
                <w:rFonts w:hint="default" w:ascii="Times New Roman" w:hAnsi="Times New Roman" w:cs="Times New Roman"/>
                <w:color w:val="auto"/>
                <w:kern w:val="2"/>
                <w:u w:val="none"/>
              </w:rPr>
              <w:t>硫酸雾</w:t>
            </w:r>
          </w:p>
        </w:tc>
        <w:tc>
          <w:tcPr>
            <w:tcW w:w="186" w:type="pct"/>
            <w:vMerge w:val="restart"/>
            <w:tcBorders>
              <w:tl2br w:val="nil"/>
              <w:tr2bl w:val="nil"/>
            </w:tcBorders>
            <w:vAlign w:val="center"/>
          </w:tcPr>
          <w:p w14:paraId="7FCF84FC">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2万</w:t>
            </w:r>
          </w:p>
        </w:tc>
        <w:tc>
          <w:tcPr>
            <w:tcW w:w="389" w:type="pct"/>
            <w:tcBorders>
              <w:tl2br w:val="nil"/>
              <w:tr2bl w:val="nil"/>
            </w:tcBorders>
            <w:vAlign w:val="center"/>
          </w:tcPr>
          <w:p w14:paraId="225817A5">
            <w:pPr>
              <w:pStyle w:val="41"/>
              <w:rPr>
                <w:rFonts w:hint="default" w:cs="Times New Roman"/>
                <w:color w:val="auto"/>
                <w:kern w:val="2"/>
                <w:u w:val="none"/>
                <w:lang w:val="en-US" w:eastAsia="zh-CN"/>
              </w:rPr>
            </w:pPr>
            <w:r>
              <w:rPr>
                <w:rFonts w:hint="eastAsia" w:cs="Times New Roman"/>
                <w:color w:val="auto"/>
                <w:kern w:val="2"/>
                <w:u w:val="none"/>
                <w:lang w:val="en-US" w:eastAsia="zh-CN"/>
              </w:rPr>
              <w:t>/</w:t>
            </w:r>
          </w:p>
        </w:tc>
        <w:tc>
          <w:tcPr>
            <w:tcW w:w="389" w:type="pct"/>
            <w:tcBorders>
              <w:tl2br w:val="nil"/>
              <w:tr2bl w:val="nil"/>
            </w:tcBorders>
            <w:vAlign w:val="center"/>
          </w:tcPr>
          <w:p w14:paraId="10DDA48A">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425" w:type="pct"/>
            <w:tcBorders>
              <w:tl2br w:val="nil"/>
              <w:tr2bl w:val="nil"/>
            </w:tcBorders>
            <w:vAlign w:val="center"/>
          </w:tcPr>
          <w:p w14:paraId="35DC87A7">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389" w:type="pct"/>
            <w:tcBorders>
              <w:tl2br w:val="nil"/>
              <w:tr2bl w:val="nil"/>
            </w:tcBorders>
            <w:vAlign w:val="center"/>
          </w:tcPr>
          <w:p w14:paraId="65A532EB">
            <w:pPr>
              <w:pStyle w:val="41"/>
              <w:rPr>
                <w:rFonts w:hint="default" w:cs="Times New Roman"/>
                <w:color w:val="auto"/>
                <w:kern w:val="2"/>
                <w:u w:val="none"/>
                <w:lang w:val="en-US" w:eastAsia="zh-CN"/>
              </w:rPr>
            </w:pPr>
            <w:r>
              <w:rPr>
                <w:rFonts w:hint="eastAsia" w:cs="Times New Roman"/>
                <w:color w:val="auto"/>
                <w:kern w:val="2"/>
                <w:u w:val="none"/>
                <w:lang w:val="en-US" w:eastAsia="zh-CN"/>
              </w:rPr>
              <w:t>0.17563</w:t>
            </w:r>
          </w:p>
        </w:tc>
        <w:tc>
          <w:tcPr>
            <w:tcW w:w="390" w:type="pct"/>
            <w:tcBorders>
              <w:tl2br w:val="nil"/>
              <w:tr2bl w:val="nil"/>
            </w:tcBorders>
            <w:vAlign w:val="center"/>
          </w:tcPr>
          <w:p w14:paraId="3974C703">
            <w:pPr>
              <w:pStyle w:val="41"/>
              <w:rPr>
                <w:rFonts w:hint="default" w:cs="Times New Roman"/>
                <w:color w:val="auto"/>
                <w:kern w:val="2"/>
                <w:u w:val="none"/>
                <w:lang w:val="en-US" w:eastAsia="zh-CN"/>
              </w:rPr>
            </w:pPr>
            <w:r>
              <w:rPr>
                <w:rFonts w:hint="eastAsia" w:cs="Times New Roman"/>
                <w:color w:val="auto"/>
                <w:kern w:val="2"/>
                <w:u w:val="none"/>
                <w:lang w:val="en-US" w:eastAsia="zh-CN"/>
              </w:rPr>
              <w:t>0.02439</w:t>
            </w:r>
          </w:p>
        </w:tc>
        <w:tc>
          <w:tcPr>
            <w:tcW w:w="217" w:type="pct"/>
            <w:vMerge w:val="restart"/>
            <w:tcBorders>
              <w:tl2br w:val="nil"/>
              <w:tr2bl w:val="nil"/>
            </w:tcBorders>
            <w:vAlign w:val="center"/>
          </w:tcPr>
          <w:p w14:paraId="3DDFF8CD">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两级</w:t>
            </w:r>
            <w:r>
              <w:rPr>
                <w:rFonts w:hint="default" w:ascii="Times New Roman" w:hAnsi="Times New Roman" w:cs="Times New Roman"/>
                <w:color w:val="auto"/>
                <w:kern w:val="2"/>
                <w:u w:val="none"/>
              </w:rPr>
              <w:t>碱液喷淋塔</w:t>
            </w:r>
          </w:p>
        </w:tc>
        <w:tc>
          <w:tcPr>
            <w:tcW w:w="219" w:type="pct"/>
            <w:tcBorders>
              <w:tl2br w:val="nil"/>
              <w:tr2bl w:val="nil"/>
            </w:tcBorders>
            <w:vAlign w:val="center"/>
          </w:tcPr>
          <w:p w14:paraId="7827B334">
            <w:pPr>
              <w:pStyle w:val="41"/>
              <w:rPr>
                <w:rFonts w:hint="eastAsia" w:cs="Times New Roman"/>
                <w:color w:val="auto"/>
                <w:kern w:val="2"/>
                <w:u w:val="none"/>
                <w:lang w:val="en-US" w:eastAsia="zh-CN"/>
              </w:rPr>
            </w:pPr>
            <w:r>
              <w:rPr>
                <w:rFonts w:hint="default" w:ascii="Times New Roman" w:hAnsi="Times New Roman" w:cs="Times New Roman"/>
                <w:color w:val="auto"/>
                <w:kern w:val="2"/>
                <w:u w:val="none"/>
              </w:rPr>
              <w:t>90%</w:t>
            </w:r>
          </w:p>
        </w:tc>
        <w:tc>
          <w:tcPr>
            <w:tcW w:w="343" w:type="pct"/>
            <w:tcBorders>
              <w:tl2br w:val="nil"/>
              <w:tr2bl w:val="nil"/>
            </w:tcBorders>
            <w:vAlign w:val="center"/>
          </w:tcPr>
          <w:p w14:paraId="15792DA7">
            <w:pPr>
              <w:pStyle w:val="41"/>
              <w:rPr>
                <w:rFonts w:hint="default" w:cs="Times New Roman"/>
                <w:color w:val="auto"/>
                <w:kern w:val="2"/>
                <w:u w:val="none"/>
                <w:lang w:val="en-US" w:eastAsia="zh-CN"/>
              </w:rPr>
            </w:pPr>
            <w:r>
              <w:rPr>
                <w:rFonts w:hint="eastAsia" w:cs="Times New Roman"/>
                <w:color w:val="auto"/>
                <w:kern w:val="2"/>
                <w:u w:val="none"/>
                <w:lang w:val="en-US" w:eastAsia="zh-CN"/>
              </w:rPr>
              <w:t>0.333697</w:t>
            </w:r>
          </w:p>
        </w:tc>
        <w:tc>
          <w:tcPr>
            <w:tcW w:w="388" w:type="pct"/>
            <w:tcBorders>
              <w:tl2br w:val="nil"/>
              <w:tr2bl w:val="nil"/>
            </w:tcBorders>
            <w:vAlign w:val="center"/>
          </w:tcPr>
          <w:p w14:paraId="68DD99CE">
            <w:pPr>
              <w:pStyle w:val="41"/>
              <w:rPr>
                <w:rFonts w:hint="default" w:cs="Times New Roman"/>
                <w:color w:val="auto"/>
                <w:kern w:val="2"/>
                <w:u w:val="none"/>
                <w:lang w:val="en-US" w:eastAsia="zh-CN"/>
              </w:rPr>
            </w:pPr>
            <w:r>
              <w:rPr>
                <w:rFonts w:hint="eastAsia" w:cs="Times New Roman"/>
                <w:color w:val="auto"/>
                <w:kern w:val="2"/>
                <w:u w:val="none"/>
                <w:lang w:val="en-US" w:eastAsia="zh-CN"/>
              </w:rPr>
              <w:t>0.046346</w:t>
            </w:r>
          </w:p>
        </w:tc>
        <w:tc>
          <w:tcPr>
            <w:tcW w:w="350" w:type="pct"/>
            <w:tcBorders>
              <w:tl2br w:val="nil"/>
              <w:tr2bl w:val="nil"/>
            </w:tcBorders>
            <w:vAlign w:val="center"/>
          </w:tcPr>
          <w:p w14:paraId="6722CA96">
            <w:pPr>
              <w:pStyle w:val="41"/>
              <w:rPr>
                <w:rFonts w:hint="default" w:cs="Times New Roman"/>
                <w:color w:val="auto"/>
                <w:kern w:val="2"/>
                <w:u w:val="none"/>
                <w:lang w:val="en-US" w:eastAsia="zh-CN"/>
              </w:rPr>
            </w:pPr>
            <w:r>
              <w:rPr>
                <w:rFonts w:hint="eastAsia" w:cs="Times New Roman"/>
                <w:color w:val="auto"/>
                <w:kern w:val="2"/>
                <w:u w:val="none"/>
                <w:lang w:val="en-US" w:eastAsia="zh-CN"/>
              </w:rPr>
              <w:t>2.31734</w:t>
            </w:r>
          </w:p>
        </w:tc>
        <w:tc>
          <w:tcPr>
            <w:tcW w:w="388" w:type="pct"/>
            <w:tcBorders>
              <w:tl2br w:val="nil"/>
              <w:tr2bl w:val="nil"/>
            </w:tcBorders>
            <w:vAlign w:val="center"/>
          </w:tcPr>
          <w:p w14:paraId="58DCADED">
            <w:pPr>
              <w:pStyle w:val="41"/>
              <w:rPr>
                <w:rFonts w:hint="eastAsia" w:cs="Times New Roman"/>
                <w:color w:val="auto"/>
                <w:kern w:val="2"/>
                <w:u w:val="none"/>
                <w:lang w:val="en-US" w:eastAsia="zh-CN"/>
              </w:rPr>
            </w:pPr>
            <w:r>
              <w:rPr>
                <w:rFonts w:hint="eastAsia" w:cs="Times New Roman"/>
                <w:color w:val="auto"/>
                <w:kern w:val="2"/>
                <w:u w:val="none"/>
                <w:lang w:val="en-US" w:eastAsia="zh-CN"/>
              </w:rPr>
              <w:t>0.17563</w:t>
            </w:r>
          </w:p>
        </w:tc>
        <w:tc>
          <w:tcPr>
            <w:tcW w:w="389" w:type="pct"/>
            <w:tcBorders>
              <w:tl2br w:val="nil"/>
              <w:tr2bl w:val="nil"/>
            </w:tcBorders>
            <w:vAlign w:val="center"/>
          </w:tcPr>
          <w:p w14:paraId="17C8D985">
            <w:pPr>
              <w:pStyle w:val="41"/>
              <w:rPr>
                <w:rFonts w:hint="eastAsia" w:cs="Times New Roman"/>
                <w:color w:val="auto"/>
                <w:kern w:val="2"/>
                <w:u w:val="none"/>
                <w:lang w:val="en-US" w:eastAsia="zh-CN"/>
              </w:rPr>
            </w:pPr>
            <w:r>
              <w:rPr>
                <w:rFonts w:hint="eastAsia" w:cs="Times New Roman"/>
                <w:color w:val="auto"/>
                <w:kern w:val="2"/>
                <w:u w:val="none"/>
                <w:lang w:val="en-US" w:eastAsia="zh-CN"/>
              </w:rPr>
              <w:t>0.02439</w:t>
            </w:r>
          </w:p>
        </w:tc>
      </w:tr>
      <w:tr w14:paraId="79E98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vAlign w:val="center"/>
          </w:tcPr>
          <w:p w14:paraId="316B8479">
            <w:pPr>
              <w:pStyle w:val="41"/>
              <w:rPr>
                <w:rFonts w:hint="default" w:ascii="Times New Roman" w:hAnsi="Times New Roman" w:cs="Times New Roman"/>
                <w:color w:val="auto"/>
                <w:u w:val="none"/>
              </w:rPr>
            </w:pPr>
          </w:p>
        </w:tc>
        <w:tc>
          <w:tcPr>
            <w:tcW w:w="185" w:type="pct"/>
            <w:vMerge w:val="continue"/>
            <w:tcBorders>
              <w:tl2br w:val="nil"/>
              <w:tr2bl w:val="nil"/>
            </w:tcBorders>
            <w:vAlign w:val="center"/>
          </w:tcPr>
          <w:p w14:paraId="7334F6B3">
            <w:pPr>
              <w:pStyle w:val="41"/>
              <w:rPr>
                <w:rFonts w:hint="eastAsia" w:ascii="Times New Roman" w:hAnsi="Times New Roman" w:eastAsia="宋体" w:cs="Times New Roman"/>
                <w:color w:val="auto"/>
                <w:u w:val="none"/>
                <w:lang w:val="en-US" w:eastAsia="zh-CN"/>
              </w:rPr>
            </w:pPr>
          </w:p>
        </w:tc>
        <w:tc>
          <w:tcPr>
            <w:tcW w:w="193" w:type="pct"/>
            <w:tcBorders>
              <w:tl2br w:val="nil"/>
              <w:tr2bl w:val="nil"/>
            </w:tcBorders>
            <w:vAlign w:val="center"/>
          </w:tcPr>
          <w:p w14:paraId="3B075EC5">
            <w:pPr>
              <w:pStyle w:val="41"/>
              <w:rPr>
                <w:kern w:val="2"/>
              </w:rPr>
            </w:pPr>
            <w:r>
              <w:rPr>
                <w:kern w:val="2"/>
              </w:rPr>
              <w:t>氮氧化物</w:t>
            </w:r>
          </w:p>
        </w:tc>
        <w:tc>
          <w:tcPr>
            <w:tcW w:w="186" w:type="pct"/>
            <w:vMerge w:val="continue"/>
            <w:tcBorders>
              <w:tl2br w:val="nil"/>
              <w:tr2bl w:val="nil"/>
            </w:tcBorders>
            <w:vAlign w:val="center"/>
          </w:tcPr>
          <w:p w14:paraId="68B4A929">
            <w:pPr>
              <w:pStyle w:val="41"/>
              <w:rPr>
                <w:rFonts w:hint="default" w:ascii="Times New Roman" w:hAnsi="Times New Roman" w:cs="Times New Roman"/>
                <w:color w:val="auto"/>
                <w:kern w:val="2"/>
                <w:u w:val="none"/>
              </w:rPr>
            </w:pPr>
          </w:p>
        </w:tc>
        <w:tc>
          <w:tcPr>
            <w:tcW w:w="1219" w:type="dxa"/>
            <w:tcBorders>
              <w:tl2br w:val="nil"/>
              <w:tr2bl w:val="nil"/>
            </w:tcBorders>
            <w:vAlign w:val="center"/>
          </w:tcPr>
          <w:p w14:paraId="4620BB97">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1219" w:type="dxa"/>
            <w:tcBorders>
              <w:tl2br w:val="nil"/>
              <w:tr2bl w:val="nil"/>
            </w:tcBorders>
            <w:vAlign w:val="center"/>
          </w:tcPr>
          <w:p w14:paraId="37E4358F">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1333" w:type="dxa"/>
            <w:tcBorders>
              <w:tl2br w:val="nil"/>
              <w:tr2bl w:val="nil"/>
            </w:tcBorders>
            <w:vAlign w:val="center"/>
          </w:tcPr>
          <w:p w14:paraId="5BCA1B54">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389" w:type="pct"/>
            <w:tcBorders>
              <w:tl2br w:val="nil"/>
              <w:tr2bl w:val="nil"/>
            </w:tcBorders>
            <w:vAlign w:val="center"/>
          </w:tcPr>
          <w:p w14:paraId="289D61E8">
            <w:pPr>
              <w:pStyle w:val="41"/>
              <w:rPr>
                <w:rFonts w:hint="default" w:cs="Times New Roman"/>
                <w:color w:val="auto"/>
                <w:kern w:val="2"/>
                <w:u w:val="none"/>
                <w:lang w:val="en-US" w:eastAsia="zh-CN"/>
              </w:rPr>
            </w:pPr>
            <w:r>
              <w:rPr>
                <w:rFonts w:hint="eastAsia" w:cs="Times New Roman"/>
                <w:color w:val="auto"/>
                <w:kern w:val="2"/>
                <w:u w:val="none"/>
                <w:lang w:val="en-US" w:eastAsia="zh-CN"/>
              </w:rPr>
              <w:t>0.07527</w:t>
            </w:r>
          </w:p>
        </w:tc>
        <w:tc>
          <w:tcPr>
            <w:tcW w:w="390" w:type="pct"/>
            <w:tcBorders>
              <w:tl2br w:val="nil"/>
              <w:tr2bl w:val="nil"/>
            </w:tcBorders>
            <w:vAlign w:val="center"/>
          </w:tcPr>
          <w:p w14:paraId="408A3AB3">
            <w:pPr>
              <w:pStyle w:val="41"/>
              <w:rPr>
                <w:rFonts w:hint="default" w:cs="Times New Roman"/>
                <w:color w:val="auto"/>
                <w:kern w:val="2"/>
                <w:u w:val="none"/>
                <w:lang w:val="en-US" w:eastAsia="zh-CN"/>
              </w:rPr>
            </w:pPr>
            <w:r>
              <w:rPr>
                <w:rFonts w:hint="eastAsia" w:cs="Times New Roman"/>
                <w:color w:val="auto"/>
                <w:kern w:val="2"/>
                <w:u w:val="none"/>
                <w:lang w:val="en-US" w:eastAsia="zh-CN"/>
              </w:rPr>
              <w:t>0.01045</w:t>
            </w:r>
          </w:p>
        </w:tc>
        <w:tc>
          <w:tcPr>
            <w:tcW w:w="217" w:type="pct"/>
            <w:vMerge w:val="continue"/>
            <w:tcBorders>
              <w:tl2br w:val="nil"/>
              <w:tr2bl w:val="nil"/>
            </w:tcBorders>
            <w:vAlign w:val="center"/>
          </w:tcPr>
          <w:p w14:paraId="272AB016">
            <w:pPr>
              <w:pStyle w:val="41"/>
              <w:rPr>
                <w:rFonts w:hint="default" w:ascii="Times New Roman" w:hAnsi="Times New Roman" w:cs="Times New Roman"/>
                <w:color w:val="auto"/>
                <w:kern w:val="2"/>
                <w:u w:val="none"/>
              </w:rPr>
            </w:pPr>
          </w:p>
        </w:tc>
        <w:tc>
          <w:tcPr>
            <w:tcW w:w="219" w:type="pct"/>
            <w:tcBorders>
              <w:tl2br w:val="nil"/>
              <w:tr2bl w:val="nil"/>
            </w:tcBorders>
            <w:vAlign w:val="center"/>
          </w:tcPr>
          <w:p w14:paraId="56BC0409">
            <w:pPr>
              <w:pStyle w:val="41"/>
              <w:rPr>
                <w:rFonts w:hint="eastAsia" w:cs="Times New Roman"/>
                <w:color w:val="auto"/>
                <w:kern w:val="2"/>
                <w:u w:val="none"/>
                <w:lang w:val="en-US" w:eastAsia="zh-CN"/>
              </w:rPr>
            </w:pPr>
            <w:r>
              <w:rPr>
                <w:rFonts w:hint="eastAsia" w:cs="Times New Roman"/>
                <w:color w:val="auto"/>
                <w:kern w:val="2"/>
                <w:u w:val="none"/>
                <w:lang w:val="en-US" w:eastAsia="zh-CN"/>
              </w:rPr>
              <w:t>85</w:t>
            </w:r>
            <w:r>
              <w:rPr>
                <w:rFonts w:hint="default" w:ascii="Times New Roman" w:hAnsi="Times New Roman" w:cs="Times New Roman"/>
                <w:color w:val="auto"/>
                <w:kern w:val="2"/>
                <w:u w:val="none"/>
              </w:rPr>
              <w:t>%</w:t>
            </w:r>
          </w:p>
        </w:tc>
        <w:tc>
          <w:tcPr>
            <w:tcW w:w="343" w:type="pct"/>
            <w:tcBorders>
              <w:tl2br w:val="nil"/>
              <w:tr2bl w:val="nil"/>
            </w:tcBorders>
            <w:vAlign w:val="center"/>
          </w:tcPr>
          <w:p w14:paraId="0F704163">
            <w:pPr>
              <w:pStyle w:val="41"/>
              <w:rPr>
                <w:rFonts w:hint="default" w:cs="Times New Roman"/>
                <w:color w:val="auto"/>
                <w:kern w:val="2"/>
                <w:u w:val="none"/>
                <w:lang w:val="en-US" w:eastAsia="zh-CN"/>
              </w:rPr>
            </w:pPr>
            <w:r>
              <w:rPr>
                <w:rFonts w:hint="eastAsia" w:cs="Times New Roman"/>
                <w:color w:val="auto"/>
                <w:kern w:val="2"/>
                <w:u w:val="none"/>
                <w:lang w:val="en-US" w:eastAsia="zh-CN"/>
              </w:rPr>
              <w:t>0.214519</w:t>
            </w:r>
          </w:p>
        </w:tc>
        <w:tc>
          <w:tcPr>
            <w:tcW w:w="388" w:type="pct"/>
            <w:tcBorders>
              <w:tl2br w:val="nil"/>
              <w:tr2bl w:val="nil"/>
            </w:tcBorders>
            <w:vAlign w:val="center"/>
          </w:tcPr>
          <w:p w14:paraId="6B0498EC">
            <w:pPr>
              <w:pStyle w:val="41"/>
              <w:rPr>
                <w:rFonts w:hint="default" w:cs="Times New Roman"/>
                <w:color w:val="auto"/>
                <w:kern w:val="2"/>
                <w:u w:val="none"/>
                <w:lang w:val="en-US" w:eastAsia="zh-CN"/>
              </w:rPr>
            </w:pPr>
            <w:r>
              <w:rPr>
                <w:rFonts w:hint="eastAsia" w:cs="Times New Roman"/>
                <w:color w:val="auto"/>
                <w:kern w:val="2"/>
                <w:u w:val="none"/>
                <w:lang w:val="en-US" w:eastAsia="zh-CN"/>
              </w:rPr>
              <w:t>0.02979</w:t>
            </w:r>
          </w:p>
        </w:tc>
        <w:tc>
          <w:tcPr>
            <w:tcW w:w="350" w:type="pct"/>
            <w:tcBorders>
              <w:tl2br w:val="nil"/>
              <w:tr2bl w:val="nil"/>
            </w:tcBorders>
            <w:vAlign w:val="center"/>
          </w:tcPr>
          <w:p w14:paraId="223995E9">
            <w:pPr>
              <w:pStyle w:val="41"/>
              <w:rPr>
                <w:rFonts w:hint="default" w:cs="Times New Roman"/>
                <w:color w:val="auto"/>
                <w:kern w:val="2"/>
                <w:u w:val="none"/>
                <w:lang w:val="en-US" w:eastAsia="zh-CN"/>
              </w:rPr>
            </w:pPr>
            <w:r>
              <w:rPr>
                <w:rFonts w:hint="eastAsia" w:cs="Times New Roman"/>
                <w:color w:val="auto"/>
                <w:kern w:val="2"/>
                <w:u w:val="none"/>
                <w:lang w:val="en-US" w:eastAsia="zh-CN"/>
              </w:rPr>
              <w:t>1.489715</w:t>
            </w:r>
          </w:p>
        </w:tc>
        <w:tc>
          <w:tcPr>
            <w:tcW w:w="388" w:type="pct"/>
            <w:tcBorders>
              <w:tl2br w:val="nil"/>
              <w:tr2bl w:val="nil"/>
            </w:tcBorders>
            <w:vAlign w:val="center"/>
          </w:tcPr>
          <w:p w14:paraId="0A01238C">
            <w:pPr>
              <w:pStyle w:val="41"/>
              <w:rPr>
                <w:rFonts w:hint="eastAsia" w:cs="Times New Roman"/>
                <w:color w:val="auto"/>
                <w:kern w:val="2"/>
                <w:u w:val="none"/>
                <w:lang w:val="en-US" w:eastAsia="zh-CN"/>
              </w:rPr>
            </w:pPr>
            <w:r>
              <w:rPr>
                <w:rFonts w:hint="eastAsia" w:cs="Times New Roman"/>
                <w:color w:val="auto"/>
                <w:kern w:val="2"/>
                <w:u w:val="none"/>
                <w:lang w:val="en-US" w:eastAsia="zh-CN"/>
              </w:rPr>
              <w:t>0.07527</w:t>
            </w:r>
          </w:p>
        </w:tc>
        <w:tc>
          <w:tcPr>
            <w:tcW w:w="389" w:type="pct"/>
            <w:tcBorders>
              <w:tl2br w:val="nil"/>
              <w:tr2bl w:val="nil"/>
            </w:tcBorders>
            <w:vAlign w:val="center"/>
          </w:tcPr>
          <w:p w14:paraId="5F6D2874">
            <w:pPr>
              <w:pStyle w:val="41"/>
              <w:rPr>
                <w:rFonts w:hint="eastAsia" w:cs="Times New Roman"/>
                <w:color w:val="auto"/>
                <w:kern w:val="2"/>
                <w:u w:val="none"/>
                <w:lang w:val="en-US" w:eastAsia="zh-CN"/>
              </w:rPr>
            </w:pPr>
            <w:r>
              <w:rPr>
                <w:rFonts w:hint="eastAsia" w:cs="Times New Roman"/>
                <w:color w:val="auto"/>
                <w:kern w:val="2"/>
                <w:u w:val="none"/>
                <w:lang w:val="en-US" w:eastAsia="zh-CN"/>
              </w:rPr>
              <w:t>0.01045</w:t>
            </w:r>
          </w:p>
        </w:tc>
      </w:tr>
      <w:tr w14:paraId="0822A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53" w:type="pct"/>
            <w:vMerge w:val="continue"/>
            <w:tcBorders>
              <w:tl2br w:val="nil"/>
              <w:tr2bl w:val="nil"/>
            </w:tcBorders>
            <w:vAlign w:val="center"/>
          </w:tcPr>
          <w:p w14:paraId="10122A47">
            <w:pPr>
              <w:pStyle w:val="41"/>
              <w:rPr>
                <w:rFonts w:hint="default" w:ascii="Times New Roman" w:hAnsi="Times New Roman" w:cs="Times New Roman"/>
                <w:color w:val="auto"/>
                <w:u w:val="none"/>
              </w:rPr>
            </w:pPr>
          </w:p>
        </w:tc>
        <w:tc>
          <w:tcPr>
            <w:tcW w:w="185" w:type="pct"/>
            <w:tcBorders>
              <w:tl2br w:val="nil"/>
              <w:tr2bl w:val="nil"/>
            </w:tcBorders>
            <w:vAlign w:val="center"/>
          </w:tcPr>
          <w:p w14:paraId="01CB210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DA002</w:t>
            </w:r>
          </w:p>
        </w:tc>
        <w:tc>
          <w:tcPr>
            <w:tcW w:w="193" w:type="pct"/>
            <w:tcBorders>
              <w:tl2br w:val="nil"/>
              <w:tr2bl w:val="nil"/>
            </w:tcBorders>
            <w:vAlign w:val="center"/>
          </w:tcPr>
          <w:p w14:paraId="7C7CA93C">
            <w:pPr>
              <w:pStyle w:val="41"/>
              <w:rPr>
                <w:kern w:val="2"/>
              </w:rPr>
            </w:pPr>
            <w:r>
              <w:rPr>
                <w:rFonts w:hint="eastAsia"/>
                <w:kern w:val="2"/>
                <w:lang w:val="en-US" w:eastAsia="zh-CN"/>
              </w:rPr>
              <w:t>铬酸雾</w:t>
            </w:r>
          </w:p>
        </w:tc>
        <w:tc>
          <w:tcPr>
            <w:tcW w:w="186" w:type="pct"/>
            <w:tcBorders>
              <w:tl2br w:val="nil"/>
              <w:tr2bl w:val="nil"/>
            </w:tcBorders>
            <w:vAlign w:val="center"/>
          </w:tcPr>
          <w:p w14:paraId="5ECC6C14">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3万</w:t>
            </w:r>
          </w:p>
        </w:tc>
        <w:tc>
          <w:tcPr>
            <w:tcW w:w="1219" w:type="dxa"/>
            <w:tcBorders>
              <w:tl2br w:val="nil"/>
              <w:tr2bl w:val="nil"/>
            </w:tcBorders>
            <w:vAlign w:val="center"/>
          </w:tcPr>
          <w:p w14:paraId="1727770A">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1219" w:type="dxa"/>
            <w:tcBorders>
              <w:tl2br w:val="nil"/>
              <w:tr2bl w:val="nil"/>
            </w:tcBorders>
            <w:vAlign w:val="center"/>
          </w:tcPr>
          <w:p w14:paraId="2912286B">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1333" w:type="dxa"/>
            <w:tcBorders>
              <w:tl2br w:val="nil"/>
              <w:tr2bl w:val="nil"/>
            </w:tcBorders>
            <w:vAlign w:val="center"/>
          </w:tcPr>
          <w:p w14:paraId="4240C35B">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389" w:type="pct"/>
            <w:tcBorders>
              <w:tl2br w:val="nil"/>
              <w:tr2bl w:val="nil"/>
            </w:tcBorders>
            <w:vAlign w:val="center"/>
          </w:tcPr>
          <w:p w14:paraId="6F520001">
            <w:pPr>
              <w:pStyle w:val="41"/>
              <w:rPr>
                <w:rFonts w:hint="default" w:cs="Times New Roman"/>
                <w:color w:val="auto"/>
                <w:kern w:val="2"/>
                <w:u w:val="none"/>
                <w:lang w:val="en-US" w:eastAsia="zh-CN"/>
              </w:rPr>
            </w:pPr>
            <w:r>
              <w:rPr>
                <w:rFonts w:hint="eastAsia" w:cs="Times New Roman"/>
                <w:color w:val="auto"/>
                <w:kern w:val="2"/>
                <w:u w:val="none"/>
                <w:lang w:val="en-US" w:eastAsia="zh-CN"/>
              </w:rPr>
              <w:t>0.020349</w:t>
            </w:r>
          </w:p>
        </w:tc>
        <w:tc>
          <w:tcPr>
            <w:tcW w:w="390" w:type="pct"/>
            <w:tcBorders>
              <w:tl2br w:val="nil"/>
              <w:tr2bl w:val="nil"/>
            </w:tcBorders>
            <w:vAlign w:val="center"/>
          </w:tcPr>
          <w:p w14:paraId="65E5C9AE">
            <w:pPr>
              <w:pStyle w:val="41"/>
              <w:rPr>
                <w:rFonts w:hint="default" w:cs="Times New Roman"/>
                <w:color w:val="auto"/>
                <w:kern w:val="2"/>
                <w:u w:val="none"/>
                <w:lang w:val="en-US" w:eastAsia="zh-CN"/>
              </w:rPr>
            </w:pPr>
            <w:r>
              <w:rPr>
                <w:rFonts w:hint="eastAsia" w:cs="Times New Roman"/>
                <w:color w:val="auto"/>
                <w:kern w:val="2"/>
                <w:u w:val="none"/>
                <w:lang w:val="en-US" w:eastAsia="zh-CN"/>
              </w:rPr>
              <w:t>0.002826</w:t>
            </w:r>
          </w:p>
        </w:tc>
        <w:tc>
          <w:tcPr>
            <w:tcW w:w="217" w:type="pct"/>
            <w:tcBorders>
              <w:tl2br w:val="nil"/>
              <w:tr2bl w:val="nil"/>
            </w:tcBorders>
            <w:vAlign w:val="center"/>
          </w:tcPr>
          <w:p w14:paraId="0CCD6BB8">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两级</w:t>
            </w:r>
            <w:r>
              <w:rPr>
                <w:rFonts w:hint="default" w:ascii="Times New Roman" w:hAnsi="Times New Roman" w:cs="Times New Roman"/>
                <w:color w:val="auto"/>
                <w:kern w:val="2"/>
                <w:u w:val="none"/>
              </w:rPr>
              <w:t>碱液喷淋塔</w:t>
            </w:r>
          </w:p>
        </w:tc>
        <w:tc>
          <w:tcPr>
            <w:tcW w:w="219" w:type="pct"/>
            <w:tcBorders>
              <w:tl2br w:val="nil"/>
              <w:tr2bl w:val="nil"/>
            </w:tcBorders>
            <w:vAlign w:val="center"/>
          </w:tcPr>
          <w:p w14:paraId="2879627B">
            <w:pPr>
              <w:pStyle w:val="41"/>
              <w:rPr>
                <w:rFonts w:hint="eastAsia" w:cs="Times New Roman"/>
                <w:color w:val="auto"/>
                <w:kern w:val="2"/>
                <w:u w:val="none"/>
                <w:lang w:val="en-US" w:eastAsia="zh-CN"/>
              </w:rPr>
            </w:pPr>
            <w:r>
              <w:rPr>
                <w:rFonts w:hint="eastAsia" w:cs="Times New Roman"/>
                <w:color w:val="auto"/>
                <w:kern w:val="2"/>
                <w:u w:val="none"/>
                <w:lang w:val="en-US" w:eastAsia="zh-CN"/>
              </w:rPr>
              <w:t>90</w:t>
            </w:r>
            <w:r>
              <w:rPr>
                <w:rFonts w:hint="default" w:ascii="Times New Roman" w:hAnsi="Times New Roman" w:cs="Times New Roman"/>
                <w:color w:val="auto"/>
                <w:kern w:val="2"/>
                <w:u w:val="none"/>
              </w:rPr>
              <w:t>%</w:t>
            </w:r>
          </w:p>
        </w:tc>
        <w:tc>
          <w:tcPr>
            <w:tcW w:w="343" w:type="pct"/>
            <w:tcBorders>
              <w:tl2br w:val="nil"/>
              <w:tr2bl w:val="nil"/>
            </w:tcBorders>
            <w:vAlign w:val="center"/>
          </w:tcPr>
          <w:p w14:paraId="7112FF6F">
            <w:pPr>
              <w:pStyle w:val="41"/>
              <w:rPr>
                <w:rFonts w:hint="default" w:cs="Times New Roman"/>
                <w:color w:val="auto"/>
                <w:kern w:val="2"/>
                <w:u w:val="none"/>
                <w:lang w:val="en-US" w:eastAsia="zh-CN"/>
              </w:rPr>
            </w:pPr>
            <w:r>
              <w:rPr>
                <w:rFonts w:hint="eastAsia" w:cs="Times New Roman"/>
                <w:color w:val="auto"/>
                <w:kern w:val="2"/>
                <w:u w:val="none"/>
                <w:lang w:val="en-US" w:eastAsia="zh-CN"/>
              </w:rPr>
              <w:t>0.0387261</w:t>
            </w:r>
          </w:p>
        </w:tc>
        <w:tc>
          <w:tcPr>
            <w:tcW w:w="388" w:type="pct"/>
            <w:tcBorders>
              <w:tl2br w:val="nil"/>
              <w:tr2bl w:val="nil"/>
            </w:tcBorders>
            <w:vAlign w:val="center"/>
          </w:tcPr>
          <w:p w14:paraId="5D216C63">
            <w:pPr>
              <w:pStyle w:val="41"/>
              <w:rPr>
                <w:rFonts w:hint="default" w:cs="Times New Roman"/>
                <w:color w:val="auto"/>
                <w:kern w:val="2"/>
                <w:u w:val="none"/>
                <w:lang w:val="en-US" w:eastAsia="zh-CN"/>
              </w:rPr>
            </w:pPr>
            <w:r>
              <w:rPr>
                <w:rFonts w:hint="eastAsia" w:cs="Times New Roman"/>
                <w:color w:val="auto"/>
                <w:kern w:val="2"/>
                <w:u w:val="none"/>
                <w:lang w:val="en-US" w:eastAsia="zh-CN"/>
              </w:rPr>
              <w:t>0.0053786</w:t>
            </w:r>
          </w:p>
        </w:tc>
        <w:tc>
          <w:tcPr>
            <w:tcW w:w="350" w:type="pct"/>
            <w:tcBorders>
              <w:tl2br w:val="nil"/>
              <w:tr2bl w:val="nil"/>
            </w:tcBorders>
            <w:vAlign w:val="center"/>
          </w:tcPr>
          <w:p w14:paraId="42E6E38E">
            <w:pPr>
              <w:pStyle w:val="41"/>
              <w:rPr>
                <w:rFonts w:hint="default" w:cs="Times New Roman"/>
                <w:color w:val="auto"/>
                <w:kern w:val="2"/>
                <w:u w:val="none"/>
                <w:lang w:val="en-US" w:eastAsia="zh-CN"/>
              </w:rPr>
            </w:pPr>
            <w:r>
              <w:rPr>
                <w:rFonts w:hint="eastAsia" w:cs="Times New Roman"/>
                <w:color w:val="auto"/>
                <w:kern w:val="2"/>
                <w:u w:val="none"/>
                <w:lang w:val="en-US" w:eastAsia="zh-CN"/>
              </w:rPr>
              <w:t>0.17928</w:t>
            </w:r>
          </w:p>
        </w:tc>
        <w:tc>
          <w:tcPr>
            <w:tcW w:w="1218" w:type="dxa"/>
            <w:tcBorders>
              <w:tl2br w:val="nil"/>
              <w:tr2bl w:val="nil"/>
            </w:tcBorders>
            <w:vAlign w:val="center"/>
          </w:tcPr>
          <w:p w14:paraId="7A7DF913">
            <w:pPr>
              <w:pStyle w:val="41"/>
              <w:rPr>
                <w:rFonts w:hint="eastAsia" w:cs="Times New Roman"/>
                <w:color w:val="auto"/>
                <w:kern w:val="2"/>
                <w:u w:val="none"/>
                <w:lang w:val="en-US" w:eastAsia="zh-CN"/>
              </w:rPr>
            </w:pPr>
            <w:r>
              <w:rPr>
                <w:rFonts w:hint="eastAsia" w:cs="Times New Roman"/>
                <w:color w:val="auto"/>
                <w:kern w:val="2"/>
                <w:u w:val="none"/>
                <w:lang w:val="en-US" w:eastAsia="zh-CN"/>
              </w:rPr>
              <w:t>0.020349</w:t>
            </w:r>
          </w:p>
        </w:tc>
        <w:tc>
          <w:tcPr>
            <w:tcW w:w="1221" w:type="dxa"/>
            <w:tcBorders>
              <w:tl2br w:val="nil"/>
              <w:tr2bl w:val="nil"/>
            </w:tcBorders>
            <w:vAlign w:val="center"/>
          </w:tcPr>
          <w:p w14:paraId="2550D8EF">
            <w:pPr>
              <w:pStyle w:val="41"/>
              <w:rPr>
                <w:rFonts w:hint="eastAsia" w:cs="Times New Roman"/>
                <w:color w:val="auto"/>
                <w:kern w:val="2"/>
                <w:u w:val="none"/>
                <w:lang w:val="en-US" w:eastAsia="zh-CN"/>
              </w:rPr>
            </w:pPr>
            <w:r>
              <w:rPr>
                <w:rFonts w:hint="eastAsia" w:cs="Times New Roman"/>
                <w:color w:val="auto"/>
                <w:kern w:val="2"/>
                <w:u w:val="none"/>
                <w:lang w:val="en-US" w:eastAsia="zh-CN"/>
              </w:rPr>
              <w:t>0.002826</w:t>
            </w:r>
          </w:p>
        </w:tc>
      </w:tr>
    </w:tbl>
    <w:p w14:paraId="234E72F1">
      <w:pPr>
        <w:pStyle w:val="39"/>
        <w:rPr>
          <w:rFonts w:hint="default" w:ascii="Times New Roman" w:hAnsi="Times New Roman" w:cs="Times New Roman"/>
          <w:color w:val="auto"/>
          <w:u w:val="none"/>
        </w:rPr>
        <w:sectPr>
          <w:pgSz w:w="16838" w:h="11906" w:orient="landscape"/>
          <w:pgMar w:top="850" w:right="1134" w:bottom="850" w:left="1134" w:header="850" w:footer="510" w:gutter="0"/>
          <w:pgBorders>
            <w:top w:val="none" w:sz="0" w:space="0"/>
            <w:left w:val="none" w:sz="0" w:space="0"/>
            <w:bottom w:val="none" w:sz="0" w:space="0"/>
            <w:right w:val="none" w:sz="0" w:space="0"/>
          </w:pgBorders>
          <w:pgNumType w:fmt="decimal"/>
          <w:cols w:space="720" w:num="1"/>
          <w:docGrid w:linePitch="312" w:charSpace="0"/>
        </w:sectPr>
      </w:pPr>
    </w:p>
    <w:p w14:paraId="6F5BD29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4</w:t>
      </w:r>
      <w:r>
        <w:rPr>
          <w:rFonts w:hint="default" w:ascii="Times New Roman" w:hAnsi="Times New Roman" w:cs="Times New Roman"/>
          <w:b/>
          <w:bCs/>
          <w:color w:val="auto"/>
          <w:u w:val="none"/>
        </w:rPr>
        <w:t xml:space="preserve">  排气筒设计参数</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94"/>
        <w:gridCol w:w="1303"/>
        <w:gridCol w:w="1644"/>
        <w:gridCol w:w="1471"/>
        <w:gridCol w:w="1340"/>
        <w:gridCol w:w="1336"/>
        <w:gridCol w:w="1276"/>
      </w:tblGrid>
      <w:tr w14:paraId="6D0ED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9" w:type="pct"/>
            <w:vMerge w:val="restart"/>
            <w:tcBorders>
              <w:tl2br w:val="nil"/>
              <w:tr2bl w:val="nil"/>
            </w:tcBorders>
            <w:vAlign w:val="center"/>
          </w:tcPr>
          <w:p w14:paraId="72E522B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排气筒编号</w:t>
            </w:r>
          </w:p>
        </w:tc>
        <w:tc>
          <w:tcPr>
            <w:tcW w:w="674" w:type="pct"/>
            <w:vMerge w:val="restart"/>
            <w:tcBorders>
              <w:tl2br w:val="nil"/>
              <w:tr2bl w:val="nil"/>
            </w:tcBorders>
            <w:vAlign w:val="center"/>
          </w:tcPr>
          <w:p w14:paraId="5FB5B2C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产污环节</w:t>
            </w:r>
          </w:p>
        </w:tc>
        <w:tc>
          <w:tcPr>
            <w:tcW w:w="850" w:type="pct"/>
            <w:vMerge w:val="restart"/>
            <w:tcBorders>
              <w:tl2br w:val="nil"/>
              <w:tr2bl w:val="nil"/>
            </w:tcBorders>
            <w:vAlign w:val="center"/>
          </w:tcPr>
          <w:p w14:paraId="06F2A7E0">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761" w:type="pct"/>
            <w:vMerge w:val="restart"/>
            <w:tcBorders>
              <w:tl2br w:val="nil"/>
              <w:tr2bl w:val="nil"/>
            </w:tcBorders>
            <w:vAlign w:val="center"/>
          </w:tcPr>
          <w:p w14:paraId="7462485F">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废气量m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/h</w:t>
            </w:r>
          </w:p>
        </w:tc>
        <w:tc>
          <w:tcPr>
            <w:tcW w:w="2044" w:type="pct"/>
            <w:gridSpan w:val="3"/>
            <w:tcBorders>
              <w:tl2br w:val="nil"/>
              <w:tr2bl w:val="nil"/>
            </w:tcBorders>
            <w:vAlign w:val="center"/>
          </w:tcPr>
          <w:p w14:paraId="32D2DDBD">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排气筒情况</w:t>
            </w:r>
          </w:p>
        </w:tc>
      </w:tr>
      <w:tr w14:paraId="5FA01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9" w:type="pct"/>
            <w:vMerge w:val="continue"/>
            <w:tcBorders>
              <w:tl2br w:val="nil"/>
              <w:tr2bl w:val="nil"/>
            </w:tcBorders>
            <w:vAlign w:val="center"/>
          </w:tcPr>
          <w:p w14:paraId="0DF50075">
            <w:pPr>
              <w:pStyle w:val="41"/>
              <w:rPr>
                <w:rFonts w:hint="default" w:ascii="Times New Roman" w:hAnsi="Times New Roman" w:cs="Times New Roman"/>
                <w:b/>
                <w:bCs/>
                <w:color w:val="auto"/>
                <w:u w:val="none"/>
              </w:rPr>
            </w:pPr>
          </w:p>
        </w:tc>
        <w:tc>
          <w:tcPr>
            <w:tcW w:w="674" w:type="pct"/>
            <w:vMerge w:val="continue"/>
            <w:tcBorders>
              <w:tl2br w:val="nil"/>
              <w:tr2bl w:val="nil"/>
            </w:tcBorders>
            <w:vAlign w:val="center"/>
          </w:tcPr>
          <w:p w14:paraId="0AD7F8AD">
            <w:pPr>
              <w:pStyle w:val="41"/>
              <w:rPr>
                <w:rFonts w:hint="default" w:ascii="Times New Roman" w:hAnsi="Times New Roman" w:cs="Times New Roman"/>
                <w:b/>
                <w:bCs/>
                <w:color w:val="auto"/>
                <w:u w:val="none"/>
              </w:rPr>
            </w:pPr>
          </w:p>
        </w:tc>
        <w:tc>
          <w:tcPr>
            <w:tcW w:w="850" w:type="pct"/>
            <w:vMerge w:val="continue"/>
            <w:tcBorders>
              <w:tl2br w:val="nil"/>
              <w:tr2bl w:val="nil"/>
            </w:tcBorders>
            <w:vAlign w:val="center"/>
          </w:tcPr>
          <w:p w14:paraId="4E92BE5B">
            <w:pPr>
              <w:pStyle w:val="41"/>
              <w:rPr>
                <w:rFonts w:hint="default" w:ascii="Times New Roman" w:hAnsi="Times New Roman" w:cs="Times New Roman"/>
                <w:b/>
                <w:bCs/>
                <w:color w:val="auto"/>
                <w:u w:val="none"/>
              </w:rPr>
            </w:pPr>
          </w:p>
        </w:tc>
        <w:tc>
          <w:tcPr>
            <w:tcW w:w="761" w:type="pct"/>
            <w:vMerge w:val="continue"/>
            <w:tcBorders>
              <w:tl2br w:val="nil"/>
              <w:tr2bl w:val="nil"/>
            </w:tcBorders>
            <w:vAlign w:val="center"/>
          </w:tcPr>
          <w:p w14:paraId="2D02D08F">
            <w:pPr>
              <w:pStyle w:val="41"/>
              <w:rPr>
                <w:rFonts w:hint="default" w:ascii="Times New Roman" w:hAnsi="Times New Roman" w:cs="Times New Roman"/>
                <w:b/>
                <w:bCs/>
                <w:color w:val="auto"/>
                <w:u w:val="none"/>
              </w:rPr>
            </w:pPr>
          </w:p>
        </w:tc>
        <w:tc>
          <w:tcPr>
            <w:tcW w:w="693" w:type="pct"/>
            <w:tcBorders>
              <w:tl2br w:val="nil"/>
              <w:tr2bl w:val="nil"/>
            </w:tcBorders>
            <w:vAlign w:val="center"/>
          </w:tcPr>
          <w:p w14:paraId="7F99110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数量(个)</w:t>
            </w:r>
          </w:p>
        </w:tc>
        <w:tc>
          <w:tcPr>
            <w:tcW w:w="691" w:type="pct"/>
            <w:tcBorders>
              <w:tl2br w:val="nil"/>
              <w:tr2bl w:val="nil"/>
            </w:tcBorders>
            <w:vAlign w:val="center"/>
          </w:tcPr>
          <w:p w14:paraId="16D9123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高度(m)</w:t>
            </w:r>
          </w:p>
        </w:tc>
        <w:tc>
          <w:tcPr>
            <w:tcW w:w="660" w:type="pct"/>
            <w:tcBorders>
              <w:tl2br w:val="nil"/>
              <w:tr2bl w:val="nil"/>
            </w:tcBorders>
            <w:vAlign w:val="center"/>
          </w:tcPr>
          <w:p w14:paraId="56360B0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内径(m)</w:t>
            </w:r>
          </w:p>
        </w:tc>
      </w:tr>
      <w:tr w14:paraId="02ACCF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9" w:type="pct"/>
            <w:vMerge w:val="restart"/>
            <w:tcBorders>
              <w:tl2br w:val="nil"/>
              <w:tr2bl w:val="nil"/>
            </w:tcBorders>
            <w:vAlign w:val="center"/>
          </w:tcPr>
          <w:p w14:paraId="1DE49AE6">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674" w:type="pct"/>
            <w:vMerge w:val="restart"/>
            <w:tcBorders>
              <w:tl2br w:val="nil"/>
              <w:tr2bl w:val="nil"/>
            </w:tcBorders>
            <w:vAlign w:val="center"/>
          </w:tcPr>
          <w:p w14:paraId="108257F6">
            <w:pPr>
              <w:pStyle w:val="41"/>
              <w:ind w:right="113"/>
              <w:rPr>
                <w:rFonts w:hint="default" w:ascii="Times New Roman" w:hAnsi="Times New Roman" w:cs="Times New Roman"/>
                <w:color w:val="auto"/>
                <w:u w:val="none"/>
              </w:rPr>
            </w:pPr>
            <w:r>
              <w:rPr>
                <w:rFonts w:hint="default" w:ascii="Times New Roman" w:hAnsi="Times New Roman" w:cs="Times New Roman"/>
                <w:color w:val="auto"/>
                <w:u w:val="none"/>
              </w:rPr>
              <w:t>阳极氧化线（</w:t>
            </w:r>
            <w:r>
              <w:rPr>
                <w:rFonts w:hint="eastAsia" w:cs="Times New Roman"/>
                <w:color w:val="auto"/>
                <w:u w:val="none"/>
                <w:lang w:val="en-US" w:eastAsia="zh-CN"/>
              </w:rPr>
              <w:t>2</w:t>
            </w:r>
            <w:r>
              <w:rPr>
                <w:rFonts w:hint="default" w:ascii="Times New Roman" w:hAnsi="Times New Roman" w:cs="Times New Roman"/>
                <w:color w:val="auto"/>
                <w:u w:val="none"/>
              </w:rPr>
              <w:t>条）</w:t>
            </w:r>
          </w:p>
        </w:tc>
        <w:tc>
          <w:tcPr>
            <w:tcW w:w="850" w:type="pct"/>
            <w:tcBorders>
              <w:tl2br w:val="nil"/>
              <w:tr2bl w:val="nil"/>
            </w:tcBorders>
            <w:vAlign w:val="center"/>
          </w:tcPr>
          <w:p w14:paraId="711BBC30">
            <w:pPr>
              <w:pStyle w:val="41"/>
              <w:ind w:right="113"/>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761" w:type="pct"/>
            <w:vMerge w:val="restart"/>
            <w:tcBorders>
              <w:tl2br w:val="nil"/>
              <w:tr2bl w:val="nil"/>
            </w:tcBorders>
            <w:vAlign w:val="center"/>
          </w:tcPr>
          <w:p w14:paraId="2B68BBB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20000</w:t>
            </w:r>
          </w:p>
        </w:tc>
        <w:tc>
          <w:tcPr>
            <w:tcW w:w="693" w:type="pct"/>
            <w:vMerge w:val="restart"/>
            <w:tcBorders>
              <w:tl2br w:val="nil"/>
              <w:tr2bl w:val="nil"/>
            </w:tcBorders>
            <w:vAlign w:val="center"/>
          </w:tcPr>
          <w:p w14:paraId="312C6808">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91" w:type="pct"/>
            <w:vMerge w:val="restart"/>
            <w:tcBorders>
              <w:tl2br w:val="nil"/>
              <w:tr2bl w:val="nil"/>
            </w:tcBorders>
            <w:vAlign w:val="center"/>
          </w:tcPr>
          <w:p w14:paraId="7EC4644B">
            <w:pPr>
              <w:pStyle w:val="41"/>
              <w:rPr>
                <w:rFonts w:hint="default" w:ascii="Times New Roman" w:hAnsi="Times New Roman" w:cs="Times New Roman"/>
                <w:color w:val="auto"/>
                <w:u w:val="none"/>
              </w:rPr>
            </w:pPr>
            <w:r>
              <w:rPr>
                <w:rFonts w:hint="default" w:ascii="Times New Roman" w:hAnsi="Times New Roman" w:cs="Times New Roman"/>
                <w:color w:val="auto"/>
                <w:u w:val="none"/>
              </w:rPr>
              <w:t>25.5</w:t>
            </w:r>
          </w:p>
        </w:tc>
        <w:tc>
          <w:tcPr>
            <w:tcW w:w="660" w:type="pct"/>
            <w:vMerge w:val="restart"/>
            <w:tcBorders>
              <w:tl2br w:val="nil"/>
              <w:tr2bl w:val="nil"/>
            </w:tcBorders>
            <w:vAlign w:val="center"/>
          </w:tcPr>
          <w:p w14:paraId="54BEDB9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0.8</w:t>
            </w:r>
          </w:p>
        </w:tc>
      </w:tr>
      <w:tr w14:paraId="34F4B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9" w:type="pct"/>
            <w:vMerge w:val="continue"/>
            <w:tcBorders>
              <w:tl2br w:val="nil"/>
              <w:tr2bl w:val="nil"/>
            </w:tcBorders>
            <w:vAlign w:val="center"/>
          </w:tcPr>
          <w:p w14:paraId="5AD5E062">
            <w:pPr>
              <w:pStyle w:val="41"/>
              <w:rPr>
                <w:rFonts w:hint="default" w:ascii="Times New Roman" w:hAnsi="Times New Roman" w:cs="Times New Roman"/>
                <w:color w:val="auto"/>
                <w:u w:val="none"/>
              </w:rPr>
            </w:pPr>
          </w:p>
        </w:tc>
        <w:tc>
          <w:tcPr>
            <w:tcW w:w="674" w:type="pct"/>
            <w:vMerge w:val="continue"/>
            <w:tcBorders>
              <w:tl2br w:val="nil"/>
              <w:tr2bl w:val="nil"/>
            </w:tcBorders>
            <w:vAlign w:val="center"/>
          </w:tcPr>
          <w:p w14:paraId="1C7A82C2">
            <w:pPr>
              <w:pStyle w:val="41"/>
              <w:ind w:right="113"/>
              <w:rPr>
                <w:rFonts w:hint="default" w:ascii="Times New Roman" w:hAnsi="Times New Roman" w:cs="Times New Roman"/>
                <w:color w:val="auto"/>
                <w:u w:val="none"/>
              </w:rPr>
            </w:pPr>
          </w:p>
        </w:tc>
        <w:tc>
          <w:tcPr>
            <w:tcW w:w="850" w:type="pct"/>
            <w:tcBorders>
              <w:tl2br w:val="nil"/>
              <w:tr2bl w:val="nil"/>
            </w:tcBorders>
            <w:vAlign w:val="center"/>
          </w:tcPr>
          <w:p w14:paraId="4EB53674">
            <w:pPr>
              <w:pStyle w:val="41"/>
              <w:ind w:right="113"/>
              <w:rPr>
                <w:rFonts w:hint="default" w:ascii="Times New Roman" w:hAnsi="Times New Roman" w:cs="Times New Roman"/>
                <w:color w:val="auto"/>
                <w:u w:val="none"/>
              </w:rPr>
            </w:pPr>
            <w:r>
              <w:rPr>
                <w:kern w:val="2"/>
              </w:rPr>
              <w:t>氮氧化物</w:t>
            </w:r>
          </w:p>
        </w:tc>
        <w:tc>
          <w:tcPr>
            <w:tcW w:w="761" w:type="pct"/>
            <w:vMerge w:val="continue"/>
            <w:tcBorders>
              <w:tl2br w:val="nil"/>
              <w:tr2bl w:val="nil"/>
            </w:tcBorders>
            <w:vAlign w:val="center"/>
          </w:tcPr>
          <w:p w14:paraId="59D808E3">
            <w:pPr>
              <w:pStyle w:val="41"/>
              <w:rPr>
                <w:rFonts w:hint="eastAsia" w:cs="Times New Roman"/>
                <w:color w:val="auto"/>
                <w:u w:val="none"/>
                <w:lang w:val="en-US" w:eastAsia="zh-CN"/>
              </w:rPr>
            </w:pPr>
          </w:p>
        </w:tc>
        <w:tc>
          <w:tcPr>
            <w:tcW w:w="693" w:type="pct"/>
            <w:vMerge w:val="continue"/>
            <w:tcBorders>
              <w:tl2br w:val="nil"/>
              <w:tr2bl w:val="nil"/>
            </w:tcBorders>
            <w:vAlign w:val="center"/>
          </w:tcPr>
          <w:p w14:paraId="45825DA5">
            <w:pPr>
              <w:pStyle w:val="41"/>
              <w:rPr>
                <w:rFonts w:hint="default" w:ascii="Times New Roman" w:hAnsi="Times New Roman" w:cs="Times New Roman"/>
                <w:color w:val="auto"/>
                <w:u w:val="none"/>
              </w:rPr>
            </w:pPr>
          </w:p>
        </w:tc>
        <w:tc>
          <w:tcPr>
            <w:tcW w:w="691" w:type="pct"/>
            <w:vMerge w:val="continue"/>
            <w:tcBorders>
              <w:tl2br w:val="nil"/>
              <w:tr2bl w:val="nil"/>
            </w:tcBorders>
            <w:vAlign w:val="center"/>
          </w:tcPr>
          <w:p w14:paraId="52D09764">
            <w:pPr>
              <w:pStyle w:val="41"/>
              <w:rPr>
                <w:rFonts w:hint="default" w:ascii="Times New Roman" w:hAnsi="Times New Roman" w:cs="Times New Roman"/>
                <w:color w:val="auto"/>
                <w:u w:val="none"/>
              </w:rPr>
            </w:pPr>
          </w:p>
        </w:tc>
        <w:tc>
          <w:tcPr>
            <w:tcW w:w="660" w:type="pct"/>
            <w:vMerge w:val="continue"/>
            <w:tcBorders>
              <w:tl2br w:val="nil"/>
              <w:tr2bl w:val="nil"/>
            </w:tcBorders>
            <w:vAlign w:val="center"/>
          </w:tcPr>
          <w:p w14:paraId="0F7A3353">
            <w:pPr>
              <w:pStyle w:val="41"/>
              <w:rPr>
                <w:rFonts w:hint="eastAsia" w:cs="Times New Roman"/>
                <w:color w:val="auto"/>
                <w:u w:val="none"/>
                <w:lang w:val="en-US" w:eastAsia="zh-CN"/>
              </w:rPr>
            </w:pPr>
          </w:p>
        </w:tc>
      </w:tr>
      <w:tr w14:paraId="5A033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69" w:type="pct"/>
            <w:tcBorders>
              <w:tl2br w:val="nil"/>
              <w:tr2bl w:val="nil"/>
            </w:tcBorders>
            <w:vAlign w:val="center"/>
          </w:tcPr>
          <w:p w14:paraId="32CC2448">
            <w:pPr>
              <w:pStyle w:val="41"/>
              <w:rPr>
                <w:rFonts w:hint="default" w:ascii="Times New Roman" w:hAnsi="Times New Roman" w:cs="Times New Roman"/>
                <w:color w:val="auto"/>
                <w:u w:val="none"/>
              </w:rPr>
            </w:pPr>
            <w:r>
              <w:rPr>
                <w:rFonts w:hint="default" w:ascii="Times New Roman" w:hAnsi="Times New Roman" w:cs="Times New Roman"/>
                <w:color w:val="auto"/>
                <w:u w:val="none"/>
              </w:rPr>
              <w:t>DA0</w:t>
            </w:r>
            <w:r>
              <w:rPr>
                <w:rFonts w:hint="eastAsia" w:cs="Times New Roman"/>
                <w:color w:val="auto"/>
                <w:u w:val="none"/>
                <w:lang w:val="en-US" w:eastAsia="zh-CN"/>
              </w:rPr>
              <w:t>02</w:t>
            </w:r>
          </w:p>
        </w:tc>
        <w:tc>
          <w:tcPr>
            <w:tcW w:w="674" w:type="pct"/>
            <w:tcBorders>
              <w:tl2br w:val="nil"/>
              <w:tr2bl w:val="nil"/>
            </w:tcBorders>
            <w:vAlign w:val="center"/>
          </w:tcPr>
          <w:p w14:paraId="6B7322D8">
            <w:pPr>
              <w:pStyle w:val="41"/>
              <w:ind w:right="113"/>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铬酸盐封闭</w:t>
            </w:r>
            <w:r>
              <w:rPr>
                <w:rFonts w:hint="eastAsia" w:cs="Times New Roman"/>
                <w:color w:val="auto"/>
                <w:u w:val="none"/>
                <w:lang w:val="en-US" w:eastAsia="zh-CN"/>
              </w:rPr>
              <w:t>（2条）</w:t>
            </w:r>
          </w:p>
        </w:tc>
        <w:tc>
          <w:tcPr>
            <w:tcW w:w="850" w:type="pct"/>
            <w:tcBorders>
              <w:tl2br w:val="nil"/>
              <w:tr2bl w:val="nil"/>
            </w:tcBorders>
            <w:vAlign w:val="center"/>
          </w:tcPr>
          <w:p w14:paraId="0E6BC152">
            <w:pPr>
              <w:pStyle w:val="41"/>
              <w:ind w:right="113"/>
              <w:rPr>
                <w:kern w:val="2"/>
              </w:rPr>
            </w:pPr>
            <w:r>
              <w:rPr>
                <w:rFonts w:hint="eastAsia"/>
                <w:kern w:val="2"/>
                <w:lang w:val="en-US" w:eastAsia="zh-CN"/>
              </w:rPr>
              <w:t>铬酸雾</w:t>
            </w:r>
          </w:p>
        </w:tc>
        <w:tc>
          <w:tcPr>
            <w:tcW w:w="761" w:type="pct"/>
            <w:tcBorders>
              <w:tl2br w:val="nil"/>
              <w:tr2bl w:val="nil"/>
            </w:tcBorders>
            <w:vAlign w:val="center"/>
          </w:tcPr>
          <w:p w14:paraId="2E8F1BC4">
            <w:pPr>
              <w:pStyle w:val="41"/>
              <w:rPr>
                <w:rFonts w:hint="default" w:cs="Times New Roman"/>
                <w:color w:val="auto"/>
                <w:u w:val="none"/>
                <w:lang w:val="en-US" w:eastAsia="zh-CN"/>
              </w:rPr>
            </w:pPr>
            <w:r>
              <w:rPr>
                <w:rFonts w:hint="eastAsia" w:cs="Times New Roman"/>
                <w:color w:val="auto"/>
                <w:u w:val="none"/>
                <w:lang w:val="en-US" w:eastAsia="zh-CN"/>
              </w:rPr>
              <w:t>30000</w:t>
            </w:r>
          </w:p>
        </w:tc>
        <w:tc>
          <w:tcPr>
            <w:tcW w:w="693" w:type="pct"/>
            <w:tcBorders>
              <w:tl2br w:val="nil"/>
              <w:tr2bl w:val="nil"/>
            </w:tcBorders>
            <w:vAlign w:val="center"/>
          </w:tcPr>
          <w:p w14:paraId="67042EC7">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1</w:t>
            </w:r>
          </w:p>
        </w:tc>
        <w:tc>
          <w:tcPr>
            <w:tcW w:w="691" w:type="pct"/>
            <w:tcBorders>
              <w:tl2br w:val="nil"/>
              <w:tr2bl w:val="nil"/>
            </w:tcBorders>
            <w:vAlign w:val="center"/>
          </w:tcPr>
          <w:p w14:paraId="3F4D0F2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25.5</w:t>
            </w:r>
          </w:p>
        </w:tc>
        <w:tc>
          <w:tcPr>
            <w:tcW w:w="660" w:type="pct"/>
            <w:tcBorders>
              <w:tl2br w:val="nil"/>
              <w:tr2bl w:val="nil"/>
            </w:tcBorders>
            <w:vAlign w:val="center"/>
          </w:tcPr>
          <w:p w14:paraId="77DCAB99">
            <w:pPr>
              <w:pStyle w:val="41"/>
              <w:rPr>
                <w:rFonts w:hint="default" w:cs="Times New Roman"/>
                <w:color w:val="auto"/>
                <w:u w:val="none"/>
                <w:lang w:val="en-US" w:eastAsia="zh-CN"/>
              </w:rPr>
            </w:pPr>
            <w:r>
              <w:rPr>
                <w:rFonts w:hint="eastAsia" w:cs="Times New Roman"/>
                <w:color w:val="auto"/>
                <w:u w:val="none"/>
                <w:lang w:val="en-US" w:eastAsia="zh-CN"/>
              </w:rPr>
              <w:t>0.8</w:t>
            </w:r>
          </w:p>
        </w:tc>
      </w:tr>
    </w:tbl>
    <w:p w14:paraId="6397D35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5</w:t>
      </w:r>
      <w:r>
        <w:rPr>
          <w:rFonts w:hint="default" w:ascii="Times New Roman" w:hAnsi="Times New Roman" w:cs="Times New Roman"/>
          <w:b/>
          <w:bCs/>
          <w:color w:val="auto"/>
          <w:u w:val="none"/>
        </w:rPr>
        <w:t xml:space="preserve">   生产车间无组织废气污染物产生情况汇总表</w:t>
      </w:r>
    </w:p>
    <w:tbl>
      <w:tblPr>
        <w:tblStyle w:val="30"/>
        <w:tblW w:w="4935"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682"/>
        <w:gridCol w:w="1221"/>
        <w:gridCol w:w="1538"/>
        <w:gridCol w:w="1538"/>
        <w:gridCol w:w="1225"/>
        <w:gridCol w:w="1522"/>
      </w:tblGrid>
      <w:tr w14:paraId="6CC663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8" w:type="pct"/>
            <w:tcBorders>
              <w:tl2br w:val="nil"/>
              <w:tr2bl w:val="nil"/>
            </w:tcBorders>
            <w:vAlign w:val="center"/>
          </w:tcPr>
          <w:p w14:paraId="330716CE">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位置</w:t>
            </w:r>
          </w:p>
        </w:tc>
        <w:tc>
          <w:tcPr>
            <w:tcW w:w="627" w:type="pct"/>
            <w:tcBorders>
              <w:tl2br w:val="nil"/>
              <w:tr2bl w:val="nil"/>
            </w:tcBorders>
            <w:vAlign w:val="center"/>
          </w:tcPr>
          <w:p w14:paraId="2B1545B1">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污染物名称</w:t>
            </w:r>
          </w:p>
        </w:tc>
        <w:tc>
          <w:tcPr>
            <w:tcW w:w="790" w:type="pct"/>
            <w:tcBorders>
              <w:tl2br w:val="nil"/>
              <w:tr2bl w:val="nil"/>
            </w:tcBorders>
            <w:vAlign w:val="center"/>
          </w:tcPr>
          <w:p w14:paraId="7AACF381">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排放量（t/a）</w:t>
            </w:r>
          </w:p>
        </w:tc>
        <w:tc>
          <w:tcPr>
            <w:tcW w:w="790" w:type="pct"/>
            <w:tcBorders>
              <w:tl2br w:val="nil"/>
              <w:tr2bl w:val="nil"/>
            </w:tcBorders>
            <w:vAlign w:val="center"/>
          </w:tcPr>
          <w:p w14:paraId="3DE5DF83">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排放速率（kg/h）</w:t>
            </w:r>
          </w:p>
        </w:tc>
        <w:tc>
          <w:tcPr>
            <w:tcW w:w="629" w:type="pct"/>
            <w:tcBorders>
              <w:tl2br w:val="nil"/>
              <w:tr2bl w:val="nil"/>
            </w:tcBorders>
            <w:vAlign w:val="center"/>
          </w:tcPr>
          <w:p w14:paraId="08D469F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长×宽（m）</w:t>
            </w:r>
          </w:p>
        </w:tc>
        <w:tc>
          <w:tcPr>
            <w:tcW w:w="782" w:type="pct"/>
            <w:tcBorders>
              <w:tl2br w:val="nil"/>
              <w:tr2bl w:val="nil"/>
            </w:tcBorders>
            <w:vAlign w:val="center"/>
          </w:tcPr>
          <w:p w14:paraId="7079E76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面源高度（m）</w:t>
            </w:r>
          </w:p>
        </w:tc>
      </w:tr>
      <w:tr w14:paraId="796012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8" w:type="pct"/>
            <w:vMerge w:val="restart"/>
            <w:tcBorders>
              <w:tl2br w:val="nil"/>
              <w:tr2bl w:val="nil"/>
            </w:tcBorders>
            <w:vAlign w:val="center"/>
          </w:tcPr>
          <w:p w14:paraId="51253473">
            <w:pPr>
              <w:pStyle w:val="41"/>
              <w:rPr>
                <w:rFonts w:hint="default" w:ascii="Times New Roman" w:hAnsi="Times New Roman" w:cs="Times New Roman"/>
                <w:color w:val="auto"/>
                <w:u w:val="none"/>
              </w:rPr>
            </w:pPr>
            <w:r>
              <w:rPr>
                <w:rFonts w:hint="default" w:ascii="Times New Roman" w:hAnsi="Times New Roman" w:cs="Times New Roman"/>
                <w:color w:val="auto"/>
                <w:u w:val="none"/>
              </w:rPr>
              <w:t>生产车间</w:t>
            </w:r>
          </w:p>
        </w:tc>
        <w:tc>
          <w:tcPr>
            <w:tcW w:w="627" w:type="pct"/>
            <w:tcBorders>
              <w:tl2br w:val="nil"/>
              <w:tr2bl w:val="nil"/>
            </w:tcBorders>
            <w:vAlign w:val="center"/>
          </w:tcPr>
          <w:p w14:paraId="7430FCB6">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790" w:type="pct"/>
            <w:tcBorders>
              <w:tl2br w:val="nil"/>
              <w:tr2bl w:val="nil"/>
            </w:tcBorders>
            <w:vAlign w:val="center"/>
          </w:tcPr>
          <w:p w14:paraId="08121E39">
            <w:pPr>
              <w:pStyle w:val="41"/>
              <w:rPr>
                <w:rFonts w:hint="default" w:ascii="Times New Roman" w:hAnsi="Times New Roman" w:eastAsia="宋体" w:cs="Times New Roman"/>
                <w:color w:val="auto"/>
                <w:u w:val="none"/>
                <w:lang w:val="en-US" w:eastAsia="zh-CN"/>
              </w:rPr>
            </w:pPr>
            <w:r>
              <w:rPr>
                <w:rFonts w:hint="eastAsia" w:cs="Times New Roman"/>
                <w:color w:val="auto"/>
                <w:kern w:val="2"/>
                <w:u w:val="none"/>
                <w:lang w:val="en-US" w:eastAsia="zh-CN"/>
              </w:rPr>
              <w:t>0.1756</w:t>
            </w:r>
          </w:p>
        </w:tc>
        <w:tc>
          <w:tcPr>
            <w:tcW w:w="790" w:type="pct"/>
            <w:tcBorders>
              <w:tl2br w:val="nil"/>
              <w:tr2bl w:val="nil"/>
            </w:tcBorders>
            <w:vAlign w:val="center"/>
          </w:tcPr>
          <w:p w14:paraId="4545DF63">
            <w:pPr>
              <w:pStyle w:val="41"/>
              <w:rPr>
                <w:rFonts w:hint="default" w:ascii="Times New Roman" w:hAnsi="Times New Roman" w:eastAsia="宋体" w:cs="Times New Roman"/>
                <w:color w:val="auto"/>
                <w:u w:val="none"/>
                <w:lang w:val="en-US" w:eastAsia="zh-CN"/>
              </w:rPr>
            </w:pPr>
            <w:r>
              <w:rPr>
                <w:rFonts w:hint="eastAsia" w:cs="Times New Roman"/>
                <w:color w:val="auto"/>
                <w:kern w:val="2"/>
                <w:u w:val="none"/>
                <w:lang w:val="en-US" w:eastAsia="zh-CN"/>
              </w:rPr>
              <w:t>0.02439</w:t>
            </w:r>
          </w:p>
        </w:tc>
        <w:tc>
          <w:tcPr>
            <w:tcW w:w="629" w:type="pct"/>
            <w:vMerge w:val="restart"/>
            <w:tcBorders>
              <w:tl2br w:val="nil"/>
              <w:tr2bl w:val="nil"/>
            </w:tcBorders>
            <w:vAlign w:val="center"/>
          </w:tcPr>
          <w:p w14:paraId="0D8D25F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60</w:t>
            </w:r>
            <w:r>
              <w:rPr>
                <w:rFonts w:hint="default" w:ascii="Times New Roman" w:hAnsi="Times New Roman" w:cs="Times New Roman"/>
                <w:color w:val="auto"/>
                <w:u w:val="none"/>
              </w:rPr>
              <w:t>×</w:t>
            </w:r>
            <w:r>
              <w:rPr>
                <w:rFonts w:hint="eastAsia" w:cs="Times New Roman"/>
                <w:color w:val="auto"/>
                <w:u w:val="none"/>
                <w:lang w:val="en-US" w:eastAsia="zh-CN"/>
              </w:rPr>
              <w:t>35</w:t>
            </w:r>
          </w:p>
        </w:tc>
        <w:tc>
          <w:tcPr>
            <w:tcW w:w="782" w:type="pct"/>
            <w:vMerge w:val="restart"/>
            <w:tcBorders>
              <w:tl2br w:val="nil"/>
              <w:tr2bl w:val="nil"/>
            </w:tcBorders>
            <w:vAlign w:val="center"/>
          </w:tcPr>
          <w:p w14:paraId="2684F2C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18</w:t>
            </w:r>
          </w:p>
        </w:tc>
      </w:tr>
      <w:tr w14:paraId="379B93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8" w:type="pct"/>
            <w:vMerge w:val="continue"/>
            <w:tcBorders>
              <w:tl2br w:val="nil"/>
              <w:tr2bl w:val="nil"/>
            </w:tcBorders>
            <w:vAlign w:val="center"/>
          </w:tcPr>
          <w:p w14:paraId="4E537C9B">
            <w:pPr>
              <w:pStyle w:val="41"/>
              <w:rPr>
                <w:rFonts w:hint="default" w:ascii="Times New Roman" w:hAnsi="Times New Roman" w:cs="Times New Roman"/>
                <w:color w:val="auto"/>
                <w:u w:val="none"/>
              </w:rPr>
            </w:pPr>
          </w:p>
        </w:tc>
        <w:tc>
          <w:tcPr>
            <w:tcW w:w="627" w:type="pct"/>
            <w:tcBorders>
              <w:tl2br w:val="nil"/>
              <w:tr2bl w:val="nil"/>
            </w:tcBorders>
            <w:vAlign w:val="center"/>
          </w:tcPr>
          <w:p w14:paraId="5D368A29">
            <w:pPr>
              <w:pStyle w:val="41"/>
              <w:rPr>
                <w:rFonts w:hint="default" w:ascii="Times New Roman" w:hAnsi="Times New Roman" w:cs="Times New Roman"/>
                <w:color w:val="auto"/>
                <w:u w:val="none"/>
              </w:rPr>
            </w:pPr>
            <w:r>
              <w:rPr>
                <w:kern w:val="2"/>
              </w:rPr>
              <w:t>氮氧化物</w:t>
            </w:r>
          </w:p>
        </w:tc>
        <w:tc>
          <w:tcPr>
            <w:tcW w:w="790" w:type="pct"/>
            <w:tcBorders>
              <w:tl2br w:val="nil"/>
              <w:tr2bl w:val="nil"/>
            </w:tcBorders>
            <w:vAlign w:val="center"/>
          </w:tcPr>
          <w:p w14:paraId="6684624D">
            <w:pPr>
              <w:pStyle w:val="41"/>
              <w:rPr>
                <w:rFonts w:hint="default" w:cs="Times New Roman"/>
                <w:color w:val="auto"/>
                <w:kern w:val="2"/>
                <w:u w:val="none"/>
                <w:lang w:val="en-US" w:eastAsia="zh-CN"/>
              </w:rPr>
            </w:pPr>
            <w:r>
              <w:rPr>
                <w:rFonts w:hint="eastAsia" w:cs="Times New Roman"/>
                <w:color w:val="auto"/>
                <w:kern w:val="2"/>
                <w:u w:val="none"/>
                <w:lang w:val="en-US" w:eastAsia="zh-CN"/>
              </w:rPr>
              <w:t>0.07527</w:t>
            </w:r>
          </w:p>
        </w:tc>
        <w:tc>
          <w:tcPr>
            <w:tcW w:w="790" w:type="pct"/>
            <w:tcBorders>
              <w:tl2br w:val="nil"/>
              <w:tr2bl w:val="nil"/>
            </w:tcBorders>
            <w:vAlign w:val="center"/>
          </w:tcPr>
          <w:p w14:paraId="6028C55D">
            <w:pPr>
              <w:pStyle w:val="41"/>
              <w:rPr>
                <w:rFonts w:hint="default" w:cs="Times New Roman"/>
                <w:color w:val="auto"/>
                <w:kern w:val="2"/>
                <w:u w:val="none"/>
                <w:lang w:val="en-US" w:eastAsia="zh-CN"/>
              </w:rPr>
            </w:pPr>
            <w:r>
              <w:rPr>
                <w:rFonts w:hint="eastAsia" w:cs="Times New Roman"/>
                <w:color w:val="auto"/>
                <w:kern w:val="2"/>
                <w:u w:val="none"/>
                <w:lang w:val="en-US" w:eastAsia="zh-CN"/>
              </w:rPr>
              <w:t>0.01045</w:t>
            </w:r>
          </w:p>
        </w:tc>
        <w:tc>
          <w:tcPr>
            <w:tcW w:w="629" w:type="pct"/>
            <w:vMerge w:val="continue"/>
            <w:tcBorders>
              <w:tl2br w:val="nil"/>
              <w:tr2bl w:val="nil"/>
            </w:tcBorders>
            <w:vAlign w:val="center"/>
          </w:tcPr>
          <w:p w14:paraId="54DEE783">
            <w:pPr>
              <w:pStyle w:val="41"/>
              <w:rPr>
                <w:rFonts w:hint="eastAsia" w:cs="Times New Roman"/>
                <w:color w:val="auto"/>
                <w:u w:val="none"/>
                <w:lang w:val="en-US" w:eastAsia="zh-CN"/>
              </w:rPr>
            </w:pPr>
          </w:p>
        </w:tc>
        <w:tc>
          <w:tcPr>
            <w:tcW w:w="782" w:type="pct"/>
            <w:vMerge w:val="continue"/>
            <w:tcBorders>
              <w:tl2br w:val="nil"/>
              <w:tr2bl w:val="nil"/>
            </w:tcBorders>
            <w:vAlign w:val="center"/>
          </w:tcPr>
          <w:p w14:paraId="04FB03BA">
            <w:pPr>
              <w:pStyle w:val="41"/>
              <w:rPr>
                <w:rFonts w:hint="eastAsia" w:cs="Times New Roman"/>
                <w:color w:val="auto"/>
                <w:u w:val="none"/>
                <w:lang w:val="en-US" w:eastAsia="zh-CN"/>
              </w:rPr>
            </w:pPr>
          </w:p>
        </w:tc>
      </w:tr>
      <w:tr w14:paraId="0F06B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378" w:type="pct"/>
            <w:vMerge w:val="continue"/>
            <w:tcBorders>
              <w:tl2br w:val="nil"/>
              <w:tr2bl w:val="nil"/>
            </w:tcBorders>
            <w:vAlign w:val="center"/>
          </w:tcPr>
          <w:p w14:paraId="39F50136">
            <w:pPr>
              <w:pStyle w:val="41"/>
              <w:rPr>
                <w:rFonts w:hint="default" w:ascii="Times New Roman" w:hAnsi="Times New Roman" w:cs="Times New Roman"/>
                <w:color w:val="auto"/>
                <w:u w:val="none"/>
              </w:rPr>
            </w:pPr>
          </w:p>
        </w:tc>
        <w:tc>
          <w:tcPr>
            <w:tcW w:w="627" w:type="pct"/>
            <w:tcBorders>
              <w:tl2br w:val="nil"/>
              <w:tr2bl w:val="nil"/>
            </w:tcBorders>
            <w:vAlign w:val="center"/>
          </w:tcPr>
          <w:p w14:paraId="38708498">
            <w:pPr>
              <w:pStyle w:val="41"/>
              <w:rPr>
                <w:kern w:val="2"/>
              </w:rPr>
            </w:pPr>
            <w:r>
              <w:rPr>
                <w:rFonts w:hint="eastAsia"/>
                <w:kern w:val="2"/>
                <w:lang w:val="en-US" w:eastAsia="zh-CN"/>
              </w:rPr>
              <w:t>铬酸雾</w:t>
            </w:r>
          </w:p>
        </w:tc>
        <w:tc>
          <w:tcPr>
            <w:tcW w:w="790" w:type="pct"/>
            <w:tcBorders>
              <w:tl2br w:val="nil"/>
              <w:tr2bl w:val="nil"/>
            </w:tcBorders>
            <w:vAlign w:val="center"/>
          </w:tcPr>
          <w:p w14:paraId="53614DF7">
            <w:pPr>
              <w:pStyle w:val="41"/>
              <w:rPr>
                <w:rFonts w:hint="eastAsia" w:cs="Times New Roman"/>
                <w:color w:val="auto"/>
                <w:kern w:val="2"/>
                <w:u w:val="none"/>
                <w:lang w:val="en-US" w:eastAsia="zh-CN"/>
              </w:rPr>
            </w:pPr>
            <w:r>
              <w:rPr>
                <w:rFonts w:hint="eastAsia" w:cs="Times New Roman"/>
                <w:color w:val="auto"/>
                <w:kern w:val="2"/>
                <w:u w:val="none"/>
                <w:lang w:val="en-US" w:eastAsia="zh-CN"/>
              </w:rPr>
              <w:t>0.020349</w:t>
            </w:r>
          </w:p>
        </w:tc>
        <w:tc>
          <w:tcPr>
            <w:tcW w:w="790" w:type="pct"/>
            <w:tcBorders>
              <w:tl2br w:val="nil"/>
              <w:tr2bl w:val="nil"/>
            </w:tcBorders>
            <w:vAlign w:val="center"/>
          </w:tcPr>
          <w:p w14:paraId="1C357538">
            <w:pPr>
              <w:pStyle w:val="41"/>
              <w:rPr>
                <w:rFonts w:hint="eastAsia" w:cs="Times New Roman"/>
                <w:color w:val="auto"/>
                <w:kern w:val="2"/>
                <w:u w:val="none"/>
                <w:lang w:val="en-US" w:eastAsia="zh-CN"/>
              </w:rPr>
            </w:pPr>
            <w:r>
              <w:rPr>
                <w:rFonts w:hint="eastAsia" w:cs="Times New Roman"/>
                <w:color w:val="auto"/>
                <w:kern w:val="2"/>
                <w:u w:val="none"/>
                <w:lang w:val="en-US" w:eastAsia="zh-CN"/>
              </w:rPr>
              <w:t>0.002826</w:t>
            </w:r>
          </w:p>
        </w:tc>
        <w:tc>
          <w:tcPr>
            <w:tcW w:w="629" w:type="pct"/>
            <w:vMerge w:val="continue"/>
            <w:tcBorders>
              <w:tl2br w:val="nil"/>
              <w:tr2bl w:val="nil"/>
            </w:tcBorders>
            <w:vAlign w:val="center"/>
          </w:tcPr>
          <w:p w14:paraId="34FB3A78">
            <w:pPr>
              <w:pStyle w:val="41"/>
              <w:rPr>
                <w:rFonts w:hint="eastAsia" w:cs="Times New Roman"/>
                <w:color w:val="auto"/>
                <w:u w:val="none"/>
                <w:lang w:val="en-US" w:eastAsia="zh-CN"/>
              </w:rPr>
            </w:pPr>
          </w:p>
        </w:tc>
        <w:tc>
          <w:tcPr>
            <w:tcW w:w="782" w:type="pct"/>
            <w:vMerge w:val="continue"/>
            <w:tcBorders>
              <w:tl2br w:val="nil"/>
              <w:tr2bl w:val="nil"/>
            </w:tcBorders>
            <w:vAlign w:val="center"/>
          </w:tcPr>
          <w:p w14:paraId="3A61ADEA">
            <w:pPr>
              <w:pStyle w:val="41"/>
              <w:rPr>
                <w:rFonts w:hint="eastAsia" w:cs="Times New Roman"/>
                <w:color w:val="auto"/>
                <w:u w:val="none"/>
                <w:lang w:val="en-US" w:eastAsia="zh-CN"/>
              </w:rPr>
            </w:pPr>
          </w:p>
        </w:tc>
      </w:tr>
    </w:tbl>
    <w:p w14:paraId="7835CDE3">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w:t>
      </w:r>
      <w:r>
        <w:rPr>
          <w:rFonts w:hint="eastAsia" w:ascii="Times New Roman" w:hAnsi="Times New Roman" w:cs="Times New Roman"/>
          <w:color w:val="auto"/>
          <w:kern w:val="0"/>
          <w:u w:val="none"/>
          <w:lang w:val="en-US" w:eastAsia="zh-CN" w:bidi="ar"/>
        </w:rPr>
        <w:t>2</w:t>
      </w:r>
      <w:r>
        <w:rPr>
          <w:rFonts w:hint="default" w:ascii="Times New Roman" w:hAnsi="Times New Roman" w:cs="Times New Roman"/>
          <w:color w:val="auto"/>
          <w:kern w:val="0"/>
          <w:u w:val="none"/>
          <w:lang w:bidi="ar"/>
        </w:rPr>
        <w:t>）基准排气量</w:t>
      </w:r>
    </w:p>
    <w:p w14:paraId="53EA2129">
      <w:pPr>
        <w:widowControl/>
        <w:ind w:firstLine="480"/>
        <w:jc w:val="left"/>
        <w:rPr>
          <w:rFonts w:hint="eastAsia" w:ascii="Times New Roman" w:hAnsi="Times New Roman" w:eastAsia="宋体" w:cs="Times New Roman"/>
          <w:color w:val="auto"/>
          <w:u w:val="none"/>
          <w:lang w:eastAsia="zh-CN"/>
        </w:rPr>
      </w:pPr>
      <w:r>
        <w:rPr>
          <w:rFonts w:hint="default" w:ascii="Times New Roman" w:hAnsi="Times New Roman" w:cs="Times New Roman"/>
          <w:color w:val="auto"/>
          <w:kern w:val="0"/>
          <w:u w:val="none"/>
          <w:lang w:bidi="ar"/>
        </w:rPr>
        <w:t>根据《电镀污染物排放标准》（GB 21900-2008），现有和新建企业单位产品基准排气量应按照下表规定执行</w:t>
      </w:r>
      <w:r>
        <w:rPr>
          <w:rFonts w:hint="eastAsia" w:ascii="Times New Roman" w:hAnsi="Times New Roman" w:cs="Times New Roman"/>
          <w:color w:val="auto"/>
          <w:kern w:val="0"/>
          <w:u w:val="none"/>
          <w:lang w:eastAsia="zh-CN" w:bidi="ar"/>
        </w:rPr>
        <w:t>。</w:t>
      </w:r>
    </w:p>
    <w:p w14:paraId="2D02106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 xml:space="preserve">6 </w:t>
      </w:r>
      <w:r>
        <w:rPr>
          <w:rFonts w:hint="default" w:ascii="Times New Roman" w:hAnsi="Times New Roman" w:cs="Times New Roman"/>
          <w:b/>
          <w:bCs/>
          <w:color w:val="auto"/>
          <w:u w:val="none"/>
        </w:rPr>
        <w:t xml:space="preserve"> 单位产品基准排气量标准</w:t>
      </w:r>
    </w:p>
    <w:tbl>
      <w:tblPr>
        <w:tblStyle w:val="31"/>
        <w:tblW w:w="494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51"/>
        <w:gridCol w:w="2463"/>
        <w:gridCol w:w="2464"/>
        <w:gridCol w:w="2464"/>
      </w:tblGrid>
      <w:tr w14:paraId="63718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52" w:type="dxa"/>
            <w:tcBorders>
              <w:tl2br w:val="nil"/>
              <w:tr2bl w:val="nil"/>
            </w:tcBorders>
            <w:vAlign w:val="center"/>
          </w:tcPr>
          <w:p w14:paraId="1F06EEAF">
            <w:pPr>
              <w:pStyle w:val="41"/>
              <w:widowControl w:val="0"/>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2463" w:type="dxa"/>
            <w:tcBorders>
              <w:tl2br w:val="nil"/>
              <w:tr2bl w:val="nil"/>
            </w:tcBorders>
            <w:vAlign w:val="center"/>
          </w:tcPr>
          <w:p w14:paraId="4353750B">
            <w:pPr>
              <w:pStyle w:val="41"/>
              <w:widowControl w:val="0"/>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工艺种类</w:t>
            </w:r>
          </w:p>
        </w:tc>
        <w:tc>
          <w:tcPr>
            <w:tcW w:w="2464" w:type="dxa"/>
            <w:tcBorders>
              <w:tl2br w:val="nil"/>
              <w:tr2bl w:val="nil"/>
            </w:tcBorders>
            <w:vAlign w:val="center"/>
          </w:tcPr>
          <w:p w14:paraId="774BC702">
            <w:pPr>
              <w:pStyle w:val="41"/>
              <w:widowControl w:val="0"/>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基准排气量 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（镀件镀层）</w:t>
            </w:r>
          </w:p>
        </w:tc>
        <w:tc>
          <w:tcPr>
            <w:tcW w:w="2464" w:type="dxa"/>
            <w:tcBorders>
              <w:tl2br w:val="nil"/>
              <w:tr2bl w:val="nil"/>
            </w:tcBorders>
            <w:vAlign w:val="center"/>
          </w:tcPr>
          <w:p w14:paraId="1C6FEC0F">
            <w:pPr>
              <w:pStyle w:val="41"/>
              <w:widowControl w:val="0"/>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排气量计量位置</w:t>
            </w:r>
          </w:p>
        </w:tc>
      </w:tr>
      <w:tr w14:paraId="6BDD7E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52" w:type="dxa"/>
            <w:tcBorders>
              <w:tl2br w:val="nil"/>
              <w:tr2bl w:val="nil"/>
            </w:tcBorders>
            <w:vAlign w:val="center"/>
          </w:tcPr>
          <w:p w14:paraId="0792EC65">
            <w:pPr>
              <w:pStyle w:val="41"/>
              <w:widowControl w:val="0"/>
              <w:jc w:val="center"/>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2463" w:type="dxa"/>
            <w:tcBorders>
              <w:tl2br w:val="nil"/>
              <w:tr2bl w:val="nil"/>
            </w:tcBorders>
            <w:vAlign w:val="center"/>
          </w:tcPr>
          <w:p w14:paraId="7BA15A31">
            <w:pPr>
              <w:pStyle w:val="41"/>
              <w:widowControl w:val="0"/>
              <w:jc w:val="center"/>
              <w:rPr>
                <w:rFonts w:hint="default" w:ascii="Times New Roman" w:hAnsi="Times New Roman" w:cs="Times New Roman"/>
                <w:color w:val="auto"/>
                <w:u w:val="none"/>
              </w:rPr>
            </w:pPr>
            <w:r>
              <w:rPr>
                <w:rFonts w:hint="default" w:ascii="Times New Roman" w:hAnsi="Times New Roman" w:cs="Times New Roman"/>
                <w:color w:val="auto"/>
                <w:u w:val="none"/>
              </w:rPr>
              <w:t>阳极氧化</w:t>
            </w:r>
          </w:p>
        </w:tc>
        <w:tc>
          <w:tcPr>
            <w:tcW w:w="2464" w:type="dxa"/>
            <w:tcBorders>
              <w:tl2br w:val="nil"/>
              <w:tr2bl w:val="nil"/>
            </w:tcBorders>
            <w:vAlign w:val="center"/>
          </w:tcPr>
          <w:p w14:paraId="42177645">
            <w:pPr>
              <w:pStyle w:val="41"/>
              <w:widowControl w:val="0"/>
              <w:jc w:val="center"/>
              <w:rPr>
                <w:rFonts w:hint="default" w:ascii="Times New Roman" w:hAnsi="Times New Roman" w:cs="Times New Roman"/>
                <w:color w:val="auto"/>
                <w:u w:val="none"/>
              </w:rPr>
            </w:pPr>
            <w:r>
              <w:rPr>
                <w:rFonts w:hint="default" w:ascii="Times New Roman" w:hAnsi="Times New Roman" w:cs="Times New Roman"/>
                <w:color w:val="auto"/>
                <w:u w:val="none"/>
              </w:rPr>
              <w:t>18.6</w:t>
            </w:r>
          </w:p>
        </w:tc>
        <w:tc>
          <w:tcPr>
            <w:tcW w:w="2464" w:type="dxa"/>
            <w:tcBorders>
              <w:tl2br w:val="nil"/>
              <w:tr2bl w:val="nil"/>
            </w:tcBorders>
            <w:vAlign w:val="center"/>
          </w:tcPr>
          <w:p w14:paraId="66A001A5">
            <w:pPr>
              <w:pStyle w:val="41"/>
              <w:widowControl w:val="0"/>
              <w:jc w:val="center"/>
              <w:rPr>
                <w:rFonts w:hint="default" w:ascii="Times New Roman" w:hAnsi="Times New Roman" w:cs="Times New Roman"/>
                <w:color w:val="auto"/>
                <w:u w:val="none"/>
              </w:rPr>
            </w:pPr>
            <w:r>
              <w:rPr>
                <w:rFonts w:hint="default" w:ascii="Times New Roman" w:hAnsi="Times New Roman" w:cs="Times New Roman"/>
                <w:color w:val="auto"/>
                <w:u w:val="none"/>
              </w:rPr>
              <w:t>车间或生产设施排气筒</w:t>
            </w:r>
          </w:p>
        </w:tc>
      </w:tr>
    </w:tbl>
    <w:p w14:paraId="640AB2D6">
      <w:pPr>
        <w:ind w:firstLine="480"/>
        <w:rPr>
          <w:rFonts w:hint="default" w:ascii="Times New Roman" w:hAnsi="Times New Roman" w:cs="Times New Roman"/>
          <w:color w:val="auto"/>
          <w:u w:val="none"/>
        </w:rPr>
      </w:pPr>
      <w:r>
        <w:rPr>
          <w:rFonts w:hint="default" w:ascii="Times New Roman" w:hAnsi="Times New Roman" w:cs="Times New Roman"/>
          <w:color w:val="auto"/>
          <w:kern w:val="0"/>
          <w:szCs w:val="20"/>
          <w:u w:val="none"/>
          <w:lang w:bidi="ar"/>
        </w:rPr>
        <w:t xml:space="preserve"> </w:t>
      </w:r>
      <w:r>
        <w:rPr>
          <w:rFonts w:hint="default" w:ascii="Times New Roman" w:hAnsi="Times New Roman" w:cs="Times New Roman"/>
          <w:color w:val="auto"/>
          <w:u w:val="none"/>
        </w:rPr>
        <w:t>对于单位产品排气量高于《电镀污染物排放标准》（GB 21900-2008）要求的单位产品基准排气量的排气筒，按《电镀污染物排放标准》（GB 21900-2008）把排放浓度换算成基准气量排放浓度。换算公式如下：</w:t>
      </w:r>
    </w:p>
    <w:p w14:paraId="523D29BB">
      <w:pPr>
        <w:ind w:firstLine="480"/>
        <w:jc w:val="center"/>
        <w:rPr>
          <w:rFonts w:hint="default" w:ascii="Times New Roman" w:hAnsi="Times New Roman" w:cs="Times New Roman"/>
          <w:color w:val="auto"/>
          <w:u w:val="none"/>
        </w:rPr>
      </w:pPr>
      <w:r>
        <w:rPr>
          <w:rFonts w:hint="default" w:ascii="Times New Roman" w:hAnsi="Times New Roman" w:cs="Times New Roman"/>
          <w:color w:val="auto"/>
          <w:u w:val="none"/>
        </w:rPr>
        <w:drawing>
          <wp:inline distT="0" distB="0" distL="114300" distR="114300">
            <wp:extent cx="2105025" cy="590550"/>
            <wp:effectExtent l="0" t="0" r="9525" b="0"/>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23"/>
                    <a:stretch>
                      <a:fillRect/>
                    </a:stretch>
                  </pic:blipFill>
                  <pic:spPr>
                    <a:xfrm>
                      <a:off x="0" y="0"/>
                      <a:ext cx="2105025" cy="590550"/>
                    </a:xfrm>
                    <a:prstGeom prst="rect">
                      <a:avLst/>
                    </a:prstGeom>
                    <a:noFill/>
                    <a:ln>
                      <a:noFill/>
                    </a:ln>
                  </pic:spPr>
                </pic:pic>
              </a:graphicData>
            </a:graphic>
          </wp:inline>
        </w:drawing>
      </w:r>
    </w:p>
    <w:p w14:paraId="60DD9FB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式中：C 基：大气污染物基准排放浓度（mg/m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 xml:space="preserve">）； </w:t>
      </w:r>
    </w:p>
    <w:p w14:paraId="4D5C069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Q 总：废气总排放量（m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 xml:space="preserve">）； </w:t>
      </w:r>
    </w:p>
    <w:p w14:paraId="3B79DE7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Yi：某种镀件镀层的产量（m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 xml:space="preserve">）； </w:t>
      </w:r>
    </w:p>
    <w:p w14:paraId="4DED271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Qi 基：某种镀件的单位产品基准排气量（m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 xml:space="preserve">）； </w:t>
      </w:r>
    </w:p>
    <w:p w14:paraId="4236F3B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C 实：实测污染物浓度（mg/m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 xml:space="preserve">）。 </w:t>
      </w:r>
    </w:p>
    <w:p w14:paraId="348F36F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 4.6-</w:t>
      </w:r>
      <w:r>
        <w:rPr>
          <w:rFonts w:hint="eastAsia" w:cs="Times New Roman"/>
          <w:b/>
          <w:bCs/>
          <w:color w:val="auto"/>
          <w:u w:val="none"/>
          <w:lang w:val="en-US" w:eastAsia="zh-CN"/>
        </w:rPr>
        <w:t xml:space="preserve">7  </w:t>
      </w:r>
      <w:r>
        <w:rPr>
          <w:rFonts w:hint="default" w:ascii="Times New Roman" w:hAnsi="Times New Roman" w:cs="Times New Roman"/>
          <w:b/>
          <w:bCs/>
          <w:color w:val="auto"/>
          <w:u w:val="none"/>
        </w:rPr>
        <w:t>基准气量排放浓度核算结果</w:t>
      </w:r>
    </w:p>
    <w:tbl>
      <w:tblPr>
        <w:tblStyle w:val="30"/>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40"/>
        <w:gridCol w:w="1096"/>
        <w:gridCol w:w="1278"/>
        <w:gridCol w:w="1428"/>
        <w:gridCol w:w="1631"/>
        <w:gridCol w:w="1321"/>
        <w:gridCol w:w="1660"/>
      </w:tblGrid>
      <w:tr w14:paraId="0507764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56" w:hRule="atLeast"/>
          <w:jc w:val="center"/>
        </w:trPr>
        <w:tc>
          <w:tcPr>
            <w:tcW w:w="730" w:type="pct"/>
            <w:tcBorders>
              <w:tl2br w:val="nil"/>
              <w:tr2bl w:val="nil"/>
            </w:tcBorders>
            <w:shd w:val="clear" w:color="auto" w:fill="auto"/>
            <w:vAlign w:val="center"/>
          </w:tcPr>
          <w:p w14:paraId="0101B0B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排气筒编号</w:t>
            </w:r>
          </w:p>
        </w:tc>
        <w:tc>
          <w:tcPr>
            <w:tcW w:w="556" w:type="pct"/>
            <w:tcBorders>
              <w:tl2br w:val="nil"/>
              <w:tr2bl w:val="nil"/>
            </w:tcBorders>
            <w:shd w:val="clear" w:color="auto" w:fill="auto"/>
            <w:vAlign w:val="center"/>
          </w:tcPr>
          <w:p w14:paraId="313E023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理论风量m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/h</w:t>
            </w:r>
          </w:p>
        </w:tc>
        <w:tc>
          <w:tcPr>
            <w:tcW w:w="648" w:type="pct"/>
            <w:tcBorders>
              <w:tl2br w:val="nil"/>
              <w:tr2bl w:val="nil"/>
            </w:tcBorders>
            <w:shd w:val="clear" w:color="auto" w:fill="auto"/>
            <w:vAlign w:val="center"/>
          </w:tcPr>
          <w:p w14:paraId="06478BC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724" w:type="pct"/>
            <w:tcBorders>
              <w:tl2br w:val="nil"/>
              <w:tr2bl w:val="nil"/>
            </w:tcBorders>
            <w:shd w:val="clear" w:color="auto" w:fill="auto"/>
            <w:vAlign w:val="center"/>
          </w:tcPr>
          <w:p w14:paraId="1923CB8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理论排放浓度mg/m</w:t>
            </w:r>
            <w:r>
              <w:rPr>
                <w:rFonts w:hint="default" w:ascii="Times New Roman" w:hAnsi="Times New Roman" w:cs="Times New Roman"/>
                <w:b/>
                <w:bCs/>
                <w:color w:val="auto"/>
                <w:u w:val="none"/>
                <w:vertAlign w:val="superscript"/>
              </w:rPr>
              <w:t>3</w:t>
            </w:r>
          </w:p>
        </w:tc>
        <w:tc>
          <w:tcPr>
            <w:tcW w:w="827" w:type="pct"/>
            <w:tcBorders>
              <w:tl2br w:val="nil"/>
              <w:tr2bl w:val="nil"/>
            </w:tcBorders>
            <w:shd w:val="clear" w:color="auto" w:fill="auto"/>
            <w:vAlign w:val="center"/>
          </w:tcPr>
          <w:p w14:paraId="49F61F8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对应镀层及面积万m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/a</w:t>
            </w:r>
          </w:p>
        </w:tc>
        <w:tc>
          <w:tcPr>
            <w:tcW w:w="670" w:type="pct"/>
            <w:tcBorders>
              <w:tl2br w:val="nil"/>
              <w:tr2bl w:val="nil"/>
            </w:tcBorders>
            <w:shd w:val="clear" w:color="auto" w:fill="auto"/>
            <w:vAlign w:val="center"/>
          </w:tcPr>
          <w:p w14:paraId="740CA60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基准排气量m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/a</w:t>
            </w:r>
          </w:p>
        </w:tc>
        <w:tc>
          <w:tcPr>
            <w:tcW w:w="842" w:type="pct"/>
            <w:tcBorders>
              <w:tl2br w:val="nil"/>
              <w:tr2bl w:val="nil"/>
            </w:tcBorders>
            <w:shd w:val="clear" w:color="auto" w:fill="auto"/>
            <w:vAlign w:val="center"/>
          </w:tcPr>
          <w:p w14:paraId="4953CE1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按基准排气量折算后允许排放浓度mg/m</w:t>
            </w:r>
            <w:r>
              <w:rPr>
                <w:rFonts w:hint="default" w:ascii="Times New Roman" w:hAnsi="Times New Roman" w:cs="Times New Roman"/>
                <w:b/>
                <w:bCs/>
                <w:color w:val="auto"/>
                <w:u w:val="none"/>
                <w:vertAlign w:val="superscript"/>
              </w:rPr>
              <w:t>3</w:t>
            </w:r>
          </w:p>
        </w:tc>
      </w:tr>
      <w:tr w14:paraId="015F4252">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730" w:type="pct"/>
            <w:vMerge w:val="restart"/>
            <w:tcBorders>
              <w:tl2br w:val="nil"/>
              <w:tr2bl w:val="nil"/>
            </w:tcBorders>
            <w:shd w:val="clear" w:color="auto" w:fill="auto"/>
            <w:vAlign w:val="center"/>
          </w:tcPr>
          <w:p w14:paraId="7589BCED">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556" w:type="pct"/>
            <w:vMerge w:val="restart"/>
            <w:tcBorders>
              <w:tl2br w:val="nil"/>
              <w:tr2bl w:val="nil"/>
            </w:tcBorders>
            <w:shd w:val="clear" w:color="auto" w:fill="auto"/>
            <w:vAlign w:val="center"/>
          </w:tcPr>
          <w:p w14:paraId="38DE96E0">
            <w:pPr>
              <w:pStyle w:val="41"/>
              <w:rPr>
                <w:rFonts w:hint="default" w:ascii="Times New Roman" w:hAnsi="Times New Roman" w:cs="Times New Roman"/>
                <w:color w:val="auto"/>
                <w:u w:val="none"/>
              </w:rPr>
            </w:pPr>
            <w:r>
              <w:rPr>
                <w:rFonts w:hint="eastAsia" w:cs="Times New Roman"/>
                <w:color w:val="auto"/>
                <w:u w:val="none"/>
                <w:lang w:val="en-US" w:eastAsia="zh-CN"/>
              </w:rPr>
              <w:t>2</w:t>
            </w:r>
            <w:r>
              <w:rPr>
                <w:rFonts w:hint="default" w:ascii="Times New Roman" w:hAnsi="Times New Roman" w:cs="Times New Roman"/>
                <w:color w:val="auto"/>
                <w:u w:val="none"/>
              </w:rPr>
              <w:t>万</w:t>
            </w:r>
          </w:p>
        </w:tc>
        <w:tc>
          <w:tcPr>
            <w:tcW w:w="648" w:type="pct"/>
            <w:tcBorders>
              <w:tl2br w:val="nil"/>
              <w:tr2bl w:val="nil"/>
            </w:tcBorders>
            <w:shd w:val="clear" w:color="auto" w:fill="auto"/>
            <w:vAlign w:val="center"/>
          </w:tcPr>
          <w:p w14:paraId="5F64F458">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724" w:type="pct"/>
            <w:tcBorders>
              <w:tl2br w:val="nil"/>
              <w:tr2bl w:val="nil"/>
            </w:tcBorders>
            <w:shd w:val="clear" w:color="auto" w:fill="auto"/>
            <w:vAlign w:val="center"/>
          </w:tcPr>
          <w:p w14:paraId="5F9048B8">
            <w:pPr>
              <w:pStyle w:val="41"/>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2.31734</w:t>
            </w:r>
          </w:p>
        </w:tc>
        <w:tc>
          <w:tcPr>
            <w:tcW w:w="827" w:type="pct"/>
            <w:vMerge w:val="restart"/>
            <w:tcBorders>
              <w:tl2br w:val="nil"/>
              <w:tr2bl w:val="nil"/>
            </w:tcBorders>
            <w:shd w:val="clear" w:color="auto" w:fill="auto"/>
            <w:vAlign w:val="center"/>
          </w:tcPr>
          <w:p w14:paraId="506C109E">
            <w:pPr>
              <w:pStyle w:val="41"/>
              <w:rPr>
                <w:rFonts w:hint="default" w:ascii="Times New Roman" w:hAnsi="Times New Roman" w:cs="Times New Roman"/>
                <w:color w:val="auto"/>
                <w:u w:val="none"/>
              </w:rPr>
            </w:pPr>
            <w:r>
              <w:rPr>
                <w:rFonts w:hint="eastAsia" w:cs="Times New Roman"/>
                <w:color w:val="auto"/>
                <w:u w:val="none"/>
                <w:lang w:val="en-US" w:eastAsia="zh-CN"/>
              </w:rPr>
              <w:t>180.8</w:t>
            </w:r>
            <w:r>
              <w:rPr>
                <w:rFonts w:hint="default" w:ascii="Times New Roman" w:hAnsi="Times New Roman" w:cs="Times New Roman"/>
                <w:color w:val="auto"/>
                <w:u w:val="none"/>
              </w:rPr>
              <w:t>万</w:t>
            </w:r>
          </w:p>
        </w:tc>
        <w:tc>
          <w:tcPr>
            <w:tcW w:w="670" w:type="pct"/>
            <w:vMerge w:val="restart"/>
            <w:tcBorders>
              <w:tl2br w:val="nil"/>
              <w:tr2bl w:val="nil"/>
            </w:tcBorders>
            <w:shd w:val="clear" w:color="auto" w:fill="auto"/>
            <w:vAlign w:val="center"/>
          </w:tcPr>
          <w:p w14:paraId="346A7F6B">
            <w:pPr>
              <w:pStyle w:val="41"/>
              <w:rPr>
                <w:rFonts w:hint="default" w:ascii="Times New Roman" w:hAnsi="Times New Roman" w:cs="Times New Roman"/>
                <w:color w:val="auto"/>
                <w:u w:val="none"/>
              </w:rPr>
            </w:pPr>
            <w:r>
              <w:rPr>
                <w:rFonts w:hint="eastAsia" w:cs="Times New Roman"/>
                <w:color w:val="auto"/>
                <w:u w:val="none"/>
                <w:lang w:val="en-US" w:eastAsia="zh-CN"/>
              </w:rPr>
              <w:t>14400</w:t>
            </w:r>
            <w:r>
              <w:rPr>
                <w:rFonts w:hint="default" w:ascii="Times New Roman" w:hAnsi="Times New Roman" w:cs="Times New Roman"/>
                <w:color w:val="auto"/>
                <w:u w:val="none"/>
              </w:rPr>
              <w:t>万</w:t>
            </w:r>
          </w:p>
        </w:tc>
        <w:tc>
          <w:tcPr>
            <w:tcW w:w="842" w:type="pct"/>
            <w:tcBorders>
              <w:tl2br w:val="nil"/>
              <w:tr2bl w:val="nil"/>
            </w:tcBorders>
            <w:shd w:val="clear" w:color="auto" w:fill="auto"/>
            <w:vAlign w:val="center"/>
          </w:tcPr>
          <w:p w14:paraId="1A251EA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1.2532</w:t>
            </w:r>
          </w:p>
        </w:tc>
      </w:tr>
      <w:tr w14:paraId="3A8D770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730" w:type="pct"/>
            <w:vMerge w:val="continue"/>
            <w:tcBorders>
              <w:tl2br w:val="nil"/>
              <w:tr2bl w:val="nil"/>
            </w:tcBorders>
            <w:shd w:val="clear" w:color="auto" w:fill="auto"/>
            <w:vAlign w:val="center"/>
          </w:tcPr>
          <w:p w14:paraId="51C790CC">
            <w:pPr>
              <w:pStyle w:val="41"/>
              <w:rPr>
                <w:rFonts w:hint="default" w:ascii="Times New Roman" w:hAnsi="Times New Roman" w:cs="Times New Roman"/>
                <w:color w:val="auto"/>
                <w:u w:val="none"/>
              </w:rPr>
            </w:pPr>
          </w:p>
        </w:tc>
        <w:tc>
          <w:tcPr>
            <w:tcW w:w="556" w:type="pct"/>
            <w:vMerge w:val="continue"/>
            <w:tcBorders>
              <w:tl2br w:val="nil"/>
              <w:tr2bl w:val="nil"/>
            </w:tcBorders>
            <w:shd w:val="clear" w:color="auto" w:fill="auto"/>
            <w:vAlign w:val="center"/>
          </w:tcPr>
          <w:p w14:paraId="07717281">
            <w:pPr>
              <w:pStyle w:val="41"/>
              <w:rPr>
                <w:rFonts w:hint="eastAsia" w:cs="Times New Roman"/>
                <w:color w:val="auto"/>
                <w:u w:val="none"/>
                <w:lang w:val="en-US" w:eastAsia="zh-CN"/>
              </w:rPr>
            </w:pPr>
          </w:p>
        </w:tc>
        <w:tc>
          <w:tcPr>
            <w:tcW w:w="648" w:type="pct"/>
            <w:tcBorders>
              <w:tl2br w:val="nil"/>
              <w:tr2bl w:val="nil"/>
            </w:tcBorders>
            <w:shd w:val="clear" w:color="auto" w:fill="auto"/>
            <w:vAlign w:val="center"/>
          </w:tcPr>
          <w:p w14:paraId="042041DC">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氮氧化物</w:t>
            </w:r>
          </w:p>
        </w:tc>
        <w:tc>
          <w:tcPr>
            <w:tcW w:w="724" w:type="pct"/>
            <w:tcBorders>
              <w:tl2br w:val="nil"/>
              <w:tr2bl w:val="nil"/>
            </w:tcBorders>
            <w:shd w:val="clear" w:color="auto" w:fill="auto"/>
            <w:vAlign w:val="center"/>
          </w:tcPr>
          <w:p w14:paraId="46914780">
            <w:pPr>
              <w:pStyle w:val="41"/>
              <w:rPr>
                <w:rFonts w:hint="eastAsia" w:cs="Times New Roman"/>
                <w:color w:val="auto"/>
                <w:kern w:val="2"/>
                <w:u w:val="none"/>
                <w:lang w:val="en-US" w:eastAsia="zh-CN"/>
              </w:rPr>
            </w:pPr>
            <w:r>
              <w:rPr>
                <w:rFonts w:hint="eastAsia" w:cs="Times New Roman"/>
                <w:color w:val="auto"/>
                <w:kern w:val="2"/>
                <w:u w:val="none"/>
                <w:lang w:val="en-US" w:eastAsia="zh-CN"/>
              </w:rPr>
              <w:t>1.489715</w:t>
            </w:r>
          </w:p>
        </w:tc>
        <w:tc>
          <w:tcPr>
            <w:tcW w:w="827" w:type="pct"/>
            <w:vMerge w:val="continue"/>
            <w:tcBorders>
              <w:tl2br w:val="nil"/>
              <w:tr2bl w:val="nil"/>
            </w:tcBorders>
            <w:shd w:val="clear" w:color="auto" w:fill="auto"/>
            <w:vAlign w:val="center"/>
          </w:tcPr>
          <w:p w14:paraId="0DF4D488">
            <w:pPr>
              <w:pStyle w:val="41"/>
              <w:rPr>
                <w:rFonts w:hint="eastAsia" w:cs="Times New Roman"/>
                <w:color w:val="auto"/>
                <w:u w:val="none"/>
                <w:lang w:val="en-US" w:eastAsia="zh-CN"/>
              </w:rPr>
            </w:pPr>
          </w:p>
        </w:tc>
        <w:tc>
          <w:tcPr>
            <w:tcW w:w="670" w:type="pct"/>
            <w:vMerge w:val="continue"/>
            <w:tcBorders>
              <w:tl2br w:val="nil"/>
              <w:tr2bl w:val="nil"/>
            </w:tcBorders>
            <w:shd w:val="clear" w:color="auto" w:fill="auto"/>
            <w:vAlign w:val="center"/>
          </w:tcPr>
          <w:p w14:paraId="6061FADA">
            <w:pPr>
              <w:pStyle w:val="41"/>
              <w:rPr>
                <w:rFonts w:hint="eastAsia" w:cs="Times New Roman"/>
                <w:color w:val="auto"/>
                <w:u w:val="none"/>
                <w:lang w:val="en-US" w:eastAsia="zh-CN"/>
              </w:rPr>
            </w:pPr>
          </w:p>
        </w:tc>
        <w:tc>
          <w:tcPr>
            <w:tcW w:w="842" w:type="pct"/>
            <w:tcBorders>
              <w:tl2br w:val="nil"/>
              <w:tr2bl w:val="nil"/>
            </w:tcBorders>
            <w:shd w:val="clear" w:color="auto" w:fill="auto"/>
            <w:vAlign w:val="center"/>
          </w:tcPr>
          <w:p w14:paraId="2533E69E">
            <w:pPr>
              <w:pStyle w:val="41"/>
              <w:rPr>
                <w:rFonts w:hint="default" w:cs="Times New Roman"/>
                <w:color w:val="auto"/>
                <w:u w:val="none"/>
                <w:lang w:val="en-US" w:eastAsia="zh-CN"/>
              </w:rPr>
            </w:pPr>
            <w:r>
              <w:rPr>
                <w:rFonts w:hint="eastAsia" w:cs="Times New Roman"/>
                <w:color w:val="auto"/>
                <w:u w:val="none"/>
                <w:lang w:val="en-US" w:eastAsia="zh-CN"/>
              </w:rPr>
              <w:t>5.6247</w:t>
            </w:r>
          </w:p>
        </w:tc>
      </w:tr>
      <w:tr w14:paraId="0FA4FC0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5" w:hRule="atLeast"/>
          <w:jc w:val="center"/>
        </w:trPr>
        <w:tc>
          <w:tcPr>
            <w:tcW w:w="730" w:type="pct"/>
            <w:tcBorders>
              <w:tl2br w:val="nil"/>
              <w:tr2bl w:val="nil"/>
            </w:tcBorders>
            <w:shd w:val="clear" w:color="auto" w:fill="auto"/>
            <w:vAlign w:val="center"/>
          </w:tcPr>
          <w:p w14:paraId="03D63BC5">
            <w:pPr>
              <w:pStyle w:val="41"/>
              <w:rPr>
                <w:rFonts w:hint="default" w:ascii="Times New Roman" w:hAnsi="Times New Roman" w:cs="Times New Roman"/>
                <w:color w:val="auto"/>
                <w:u w:val="none"/>
              </w:rPr>
            </w:pPr>
            <w:r>
              <w:rPr>
                <w:rFonts w:hint="default" w:ascii="Times New Roman" w:hAnsi="Times New Roman" w:cs="Times New Roman"/>
                <w:color w:val="auto"/>
                <w:u w:val="none"/>
              </w:rPr>
              <w:t>DA0</w:t>
            </w:r>
            <w:r>
              <w:rPr>
                <w:rFonts w:hint="eastAsia" w:cs="Times New Roman"/>
                <w:color w:val="auto"/>
                <w:u w:val="none"/>
                <w:lang w:val="en-US" w:eastAsia="zh-CN"/>
              </w:rPr>
              <w:t>02</w:t>
            </w:r>
          </w:p>
        </w:tc>
        <w:tc>
          <w:tcPr>
            <w:tcW w:w="556" w:type="pct"/>
            <w:tcBorders>
              <w:tl2br w:val="nil"/>
              <w:tr2bl w:val="nil"/>
            </w:tcBorders>
            <w:shd w:val="clear" w:color="auto" w:fill="auto"/>
            <w:vAlign w:val="center"/>
          </w:tcPr>
          <w:p w14:paraId="1AAD78FB">
            <w:pPr>
              <w:pStyle w:val="41"/>
              <w:rPr>
                <w:rFonts w:hint="default" w:cs="Times New Roman"/>
                <w:color w:val="auto"/>
                <w:u w:val="none"/>
                <w:lang w:val="en-US" w:eastAsia="zh-CN"/>
              </w:rPr>
            </w:pPr>
            <w:r>
              <w:rPr>
                <w:rFonts w:hint="eastAsia" w:cs="Times New Roman"/>
                <w:color w:val="auto"/>
                <w:u w:val="none"/>
                <w:lang w:val="en-US" w:eastAsia="zh-CN"/>
              </w:rPr>
              <w:t>3万</w:t>
            </w:r>
          </w:p>
        </w:tc>
        <w:tc>
          <w:tcPr>
            <w:tcW w:w="648" w:type="pct"/>
            <w:tcBorders>
              <w:tl2br w:val="nil"/>
              <w:tr2bl w:val="nil"/>
            </w:tcBorders>
            <w:shd w:val="clear" w:color="auto" w:fill="auto"/>
            <w:vAlign w:val="center"/>
          </w:tcPr>
          <w:p w14:paraId="59F5B3D7">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铬酸雾</w:t>
            </w:r>
          </w:p>
        </w:tc>
        <w:tc>
          <w:tcPr>
            <w:tcW w:w="724" w:type="pct"/>
            <w:tcBorders>
              <w:tl2br w:val="nil"/>
              <w:tr2bl w:val="nil"/>
            </w:tcBorders>
            <w:shd w:val="clear" w:color="auto" w:fill="auto"/>
            <w:vAlign w:val="center"/>
          </w:tcPr>
          <w:p w14:paraId="29B19EE2">
            <w:pPr>
              <w:pStyle w:val="41"/>
              <w:rPr>
                <w:rFonts w:hint="eastAsia" w:cs="Times New Roman"/>
                <w:color w:val="auto"/>
                <w:kern w:val="2"/>
                <w:u w:val="none"/>
                <w:lang w:val="en-US" w:eastAsia="zh-CN"/>
              </w:rPr>
            </w:pPr>
            <w:r>
              <w:rPr>
                <w:rFonts w:hint="eastAsia" w:cs="Times New Roman"/>
                <w:color w:val="auto"/>
                <w:kern w:val="2"/>
                <w:u w:val="none"/>
                <w:lang w:val="en-US" w:eastAsia="zh-CN"/>
              </w:rPr>
              <w:t>0.17928</w:t>
            </w:r>
          </w:p>
        </w:tc>
        <w:tc>
          <w:tcPr>
            <w:tcW w:w="827" w:type="pct"/>
            <w:vMerge w:val="continue"/>
            <w:tcBorders>
              <w:tl2br w:val="nil"/>
              <w:tr2bl w:val="nil"/>
            </w:tcBorders>
            <w:shd w:val="clear" w:color="auto" w:fill="auto"/>
            <w:vAlign w:val="center"/>
          </w:tcPr>
          <w:p w14:paraId="7BFA5448">
            <w:pPr>
              <w:pStyle w:val="41"/>
              <w:rPr>
                <w:rFonts w:hint="eastAsia" w:cs="Times New Roman"/>
                <w:color w:val="auto"/>
                <w:u w:val="none"/>
                <w:lang w:val="en-US" w:eastAsia="zh-CN"/>
              </w:rPr>
            </w:pPr>
          </w:p>
        </w:tc>
        <w:tc>
          <w:tcPr>
            <w:tcW w:w="670" w:type="pct"/>
            <w:tcBorders>
              <w:tl2br w:val="nil"/>
              <w:tr2bl w:val="nil"/>
            </w:tcBorders>
            <w:shd w:val="clear" w:color="auto" w:fill="auto"/>
            <w:vAlign w:val="center"/>
          </w:tcPr>
          <w:p w14:paraId="6EC56746">
            <w:pPr>
              <w:pStyle w:val="41"/>
              <w:rPr>
                <w:rFonts w:hint="default" w:cs="Times New Roman"/>
                <w:color w:val="auto"/>
                <w:u w:val="none"/>
                <w:lang w:val="en-US" w:eastAsia="zh-CN"/>
              </w:rPr>
            </w:pPr>
            <w:r>
              <w:rPr>
                <w:rFonts w:hint="eastAsia" w:cs="Times New Roman"/>
                <w:color w:val="auto"/>
                <w:u w:val="none"/>
                <w:lang w:val="en-US" w:eastAsia="zh-CN"/>
              </w:rPr>
              <w:t>21600万</w:t>
            </w:r>
          </w:p>
        </w:tc>
        <w:tc>
          <w:tcPr>
            <w:tcW w:w="842" w:type="pct"/>
            <w:tcBorders>
              <w:tl2br w:val="nil"/>
              <w:tr2bl w:val="nil"/>
            </w:tcBorders>
            <w:shd w:val="clear" w:color="auto" w:fill="auto"/>
            <w:vAlign w:val="center"/>
          </w:tcPr>
          <w:p w14:paraId="48B1F3E7">
            <w:pPr>
              <w:pStyle w:val="41"/>
              <w:rPr>
                <w:rFonts w:hint="default" w:cs="Times New Roman"/>
                <w:color w:val="auto"/>
                <w:u w:val="none"/>
                <w:lang w:val="en-US" w:eastAsia="zh-CN"/>
              </w:rPr>
            </w:pPr>
            <w:r>
              <w:rPr>
                <w:rFonts w:hint="eastAsia" w:cs="Times New Roman"/>
                <w:color w:val="auto"/>
                <w:u w:val="none"/>
                <w:lang w:val="en-US" w:eastAsia="zh-CN"/>
              </w:rPr>
              <w:t>0.35246</w:t>
            </w:r>
          </w:p>
        </w:tc>
      </w:tr>
    </w:tbl>
    <w:p w14:paraId="7FE33DB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从上表可知，本项目各大气污染物基准气量排放浓度符合标准排放限值。</w:t>
      </w:r>
    </w:p>
    <w:p w14:paraId="12C44A67">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营运期废水污染源分析</w:t>
      </w:r>
      <w:bookmarkEnd w:id="98"/>
    </w:p>
    <w:p w14:paraId="79AB185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本项目产生的废水包括生活污水及生产废水。</w:t>
      </w:r>
    </w:p>
    <w:p w14:paraId="6500F7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（1）生活污水</w:t>
      </w:r>
    </w:p>
    <w:p w14:paraId="4792AF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根据水平衡计算，项目预计产生生活污水约为</w:t>
      </w:r>
      <w:r>
        <w:rPr>
          <w:rFonts w:hint="eastAsia" w:ascii="Times New Roman" w:hAnsi="Times New Roman" w:cs="Times New Roman"/>
          <w:color w:val="auto"/>
          <w:u w:val="none"/>
          <w:lang w:val="en-US" w:eastAsia="zh-CN"/>
        </w:rPr>
        <w:t>228</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/a（</w:t>
      </w:r>
      <w:r>
        <w:rPr>
          <w:rFonts w:hint="eastAsia" w:ascii="Times New Roman" w:hAnsi="Times New Roman" w:cs="Times New Roman"/>
          <w:color w:val="auto"/>
          <w:u w:val="none"/>
          <w:lang w:val="en-US" w:eastAsia="zh-CN"/>
        </w:rPr>
        <w:t>0.76</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/d），主要污染因子为COD、BOD</w:t>
      </w:r>
      <w:r>
        <w:rPr>
          <w:rFonts w:hint="default" w:ascii="Times New Roman" w:hAnsi="Times New Roman" w:cs="Times New Roman"/>
          <w:color w:val="auto"/>
          <w:u w:val="none"/>
          <w:vertAlign w:val="subscript"/>
        </w:rPr>
        <w:t>5</w:t>
      </w:r>
      <w:r>
        <w:rPr>
          <w:rFonts w:hint="default" w:ascii="Times New Roman" w:hAnsi="Times New Roman" w:cs="Times New Roman"/>
          <w:color w:val="auto"/>
          <w:u w:val="none"/>
        </w:rPr>
        <w:t>、SS、氨氮、动植物油类等，生活污水经化粪池预处理后达《污水综合排放标准》(GB8978-1996)表4的三级标准及污水处理厂的纳管协议标准后，通过厂区生活污水排放口（DW001）排入市政污水管网，经城陵矶临港产业新区污水处理厂处理达《城镇污水处理厂污染物排放标准》（GB18918-2002）及修改单中一级A标准，经象骨港汇入长江。</w:t>
      </w:r>
    </w:p>
    <w:p w14:paraId="5445B86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8</w:t>
      </w:r>
      <w:r>
        <w:rPr>
          <w:rFonts w:hint="default" w:ascii="Times New Roman" w:hAnsi="Times New Roman" w:cs="Times New Roman"/>
          <w:b/>
          <w:bCs/>
          <w:color w:val="auto"/>
          <w:u w:val="none"/>
        </w:rPr>
        <w:t xml:space="preserve">  生活污水污染物统计一览表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090"/>
        <w:gridCol w:w="1619"/>
        <w:gridCol w:w="1207"/>
        <w:gridCol w:w="1207"/>
        <w:gridCol w:w="1207"/>
        <w:gridCol w:w="1207"/>
        <w:gridCol w:w="1317"/>
      </w:tblGrid>
      <w:tr w14:paraId="460E01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881" w:type="pct"/>
            <w:gridSpan w:val="2"/>
            <w:tcBorders>
              <w:tl2br w:val="nil"/>
              <w:tr2bl w:val="nil"/>
            </w:tcBorders>
            <w:vAlign w:val="center"/>
          </w:tcPr>
          <w:p w14:paraId="538B7D8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污染因子</w:t>
            </w:r>
          </w:p>
        </w:tc>
        <w:tc>
          <w:tcPr>
            <w:tcW w:w="612" w:type="pct"/>
            <w:tcBorders>
              <w:tl2br w:val="nil"/>
              <w:tr2bl w:val="nil"/>
            </w:tcBorders>
            <w:vAlign w:val="center"/>
          </w:tcPr>
          <w:p w14:paraId="4903C97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COD</w:t>
            </w:r>
          </w:p>
        </w:tc>
        <w:tc>
          <w:tcPr>
            <w:tcW w:w="612" w:type="pct"/>
            <w:tcBorders>
              <w:tl2br w:val="nil"/>
              <w:tr2bl w:val="nil"/>
            </w:tcBorders>
            <w:vAlign w:val="center"/>
          </w:tcPr>
          <w:p w14:paraId="296AEA35">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氨氮</w:t>
            </w:r>
          </w:p>
        </w:tc>
        <w:tc>
          <w:tcPr>
            <w:tcW w:w="612" w:type="pct"/>
            <w:tcBorders>
              <w:tl2br w:val="nil"/>
              <w:tr2bl w:val="nil"/>
            </w:tcBorders>
            <w:vAlign w:val="center"/>
          </w:tcPr>
          <w:p w14:paraId="20BC7D13">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BOD5</w:t>
            </w:r>
          </w:p>
        </w:tc>
        <w:tc>
          <w:tcPr>
            <w:tcW w:w="612" w:type="pct"/>
            <w:tcBorders>
              <w:tl2br w:val="nil"/>
              <w:tr2bl w:val="nil"/>
            </w:tcBorders>
            <w:vAlign w:val="center"/>
          </w:tcPr>
          <w:p w14:paraId="4D4B17F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SS</w:t>
            </w:r>
          </w:p>
        </w:tc>
        <w:tc>
          <w:tcPr>
            <w:tcW w:w="668" w:type="pct"/>
            <w:tcBorders>
              <w:tl2br w:val="nil"/>
              <w:tr2bl w:val="nil"/>
            </w:tcBorders>
            <w:vAlign w:val="center"/>
          </w:tcPr>
          <w:p w14:paraId="661444D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动植物油</w:t>
            </w:r>
          </w:p>
        </w:tc>
      </w:tr>
      <w:tr w14:paraId="3071B2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0" w:type="pct"/>
            <w:vMerge w:val="restart"/>
            <w:tcBorders>
              <w:tl2br w:val="nil"/>
              <w:tr2bl w:val="nil"/>
            </w:tcBorders>
            <w:vAlign w:val="center"/>
          </w:tcPr>
          <w:p w14:paraId="3D86B6CE">
            <w:pPr>
              <w:pStyle w:val="39"/>
              <w:rPr>
                <w:rFonts w:hint="default" w:ascii="Times New Roman" w:hAnsi="Times New Roman" w:cs="Times New Roman"/>
                <w:color w:val="auto"/>
                <w:u w:val="none"/>
              </w:rPr>
            </w:pPr>
            <w:r>
              <w:rPr>
                <w:rFonts w:hint="default" w:ascii="Times New Roman" w:hAnsi="Times New Roman" w:cs="Times New Roman"/>
                <w:color w:val="auto"/>
                <w:u w:val="none"/>
              </w:rPr>
              <w:t>生活污水（</w:t>
            </w:r>
            <w:r>
              <w:rPr>
                <w:rFonts w:hint="eastAsia" w:cs="Times New Roman"/>
                <w:color w:val="auto"/>
                <w:u w:val="none"/>
                <w:lang w:val="en-US" w:eastAsia="zh-CN"/>
              </w:rPr>
              <w:t>228</w:t>
            </w:r>
            <w:r>
              <w:rPr>
                <w:rFonts w:hint="default" w:ascii="Times New Roman" w:hAnsi="Times New Roman" w:cs="Times New Roman"/>
                <w:color w:val="auto"/>
                <w:u w:val="none"/>
              </w:rPr>
              <w:t>m³/a）</w:t>
            </w:r>
          </w:p>
        </w:tc>
        <w:tc>
          <w:tcPr>
            <w:tcW w:w="821" w:type="pct"/>
            <w:tcBorders>
              <w:tl2br w:val="nil"/>
              <w:tr2bl w:val="nil"/>
            </w:tcBorders>
            <w:vAlign w:val="center"/>
          </w:tcPr>
          <w:p w14:paraId="480A0C01">
            <w:pPr>
              <w:pStyle w:val="41"/>
              <w:rPr>
                <w:rFonts w:hint="default" w:ascii="Times New Roman" w:hAnsi="Times New Roman" w:cs="Times New Roman"/>
                <w:color w:val="auto"/>
                <w:u w:val="none"/>
              </w:rPr>
            </w:pPr>
            <w:r>
              <w:rPr>
                <w:rFonts w:hint="default" w:ascii="Times New Roman" w:hAnsi="Times New Roman" w:cs="Times New Roman"/>
                <w:color w:val="auto"/>
                <w:u w:val="none"/>
              </w:rPr>
              <w:t>浓度（mg/L）</w:t>
            </w:r>
          </w:p>
        </w:tc>
        <w:tc>
          <w:tcPr>
            <w:tcW w:w="612" w:type="pct"/>
            <w:tcBorders>
              <w:tl2br w:val="nil"/>
              <w:tr2bl w:val="nil"/>
            </w:tcBorders>
            <w:vAlign w:val="center"/>
          </w:tcPr>
          <w:p w14:paraId="10DD6524">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350</w:t>
            </w:r>
          </w:p>
        </w:tc>
        <w:tc>
          <w:tcPr>
            <w:tcW w:w="612" w:type="pct"/>
            <w:tcBorders>
              <w:tl2br w:val="nil"/>
              <w:tr2bl w:val="nil"/>
            </w:tcBorders>
            <w:vAlign w:val="center"/>
          </w:tcPr>
          <w:p w14:paraId="6FEE22F8">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35</w:t>
            </w:r>
          </w:p>
        </w:tc>
        <w:tc>
          <w:tcPr>
            <w:tcW w:w="612" w:type="pct"/>
            <w:tcBorders>
              <w:tl2br w:val="nil"/>
              <w:tr2bl w:val="nil"/>
            </w:tcBorders>
            <w:vAlign w:val="center"/>
          </w:tcPr>
          <w:p w14:paraId="11CB44E0">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200</w:t>
            </w:r>
          </w:p>
        </w:tc>
        <w:tc>
          <w:tcPr>
            <w:tcW w:w="612" w:type="pct"/>
            <w:tcBorders>
              <w:tl2br w:val="nil"/>
              <w:tr2bl w:val="nil"/>
            </w:tcBorders>
            <w:vAlign w:val="center"/>
          </w:tcPr>
          <w:p w14:paraId="7D36D155">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150</w:t>
            </w:r>
          </w:p>
        </w:tc>
        <w:tc>
          <w:tcPr>
            <w:tcW w:w="668" w:type="pct"/>
            <w:tcBorders>
              <w:tl2br w:val="nil"/>
              <w:tr2bl w:val="nil"/>
            </w:tcBorders>
            <w:vAlign w:val="center"/>
          </w:tcPr>
          <w:p w14:paraId="051E790A">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25</w:t>
            </w:r>
          </w:p>
        </w:tc>
      </w:tr>
      <w:tr w14:paraId="0576F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0" w:type="pct"/>
            <w:vMerge w:val="continue"/>
            <w:tcBorders>
              <w:tl2br w:val="nil"/>
              <w:tr2bl w:val="nil"/>
            </w:tcBorders>
            <w:vAlign w:val="center"/>
          </w:tcPr>
          <w:p w14:paraId="3C298E19">
            <w:pPr>
              <w:pStyle w:val="39"/>
              <w:rPr>
                <w:rFonts w:hint="default" w:ascii="Times New Roman" w:hAnsi="Times New Roman" w:cs="Times New Roman"/>
                <w:color w:val="auto"/>
                <w:u w:val="none"/>
              </w:rPr>
            </w:pPr>
          </w:p>
        </w:tc>
        <w:tc>
          <w:tcPr>
            <w:tcW w:w="821" w:type="pct"/>
            <w:tcBorders>
              <w:tl2br w:val="nil"/>
              <w:tr2bl w:val="nil"/>
            </w:tcBorders>
            <w:vAlign w:val="center"/>
          </w:tcPr>
          <w:p w14:paraId="4036AD62">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产生量（t/a）</w:t>
            </w:r>
          </w:p>
        </w:tc>
        <w:tc>
          <w:tcPr>
            <w:tcW w:w="612" w:type="pct"/>
            <w:tcBorders>
              <w:tl2br w:val="nil"/>
              <w:tr2bl w:val="nil"/>
            </w:tcBorders>
            <w:vAlign w:val="center"/>
          </w:tcPr>
          <w:p w14:paraId="28F63853">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0.0798</w:t>
            </w:r>
          </w:p>
        </w:tc>
        <w:tc>
          <w:tcPr>
            <w:tcW w:w="612" w:type="pct"/>
            <w:tcBorders>
              <w:tl2br w:val="nil"/>
              <w:tr2bl w:val="nil"/>
            </w:tcBorders>
            <w:vAlign w:val="center"/>
          </w:tcPr>
          <w:p w14:paraId="055AA77C">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0.00798</w:t>
            </w:r>
          </w:p>
        </w:tc>
        <w:tc>
          <w:tcPr>
            <w:tcW w:w="612" w:type="pct"/>
            <w:tcBorders>
              <w:tl2br w:val="nil"/>
              <w:tr2bl w:val="nil"/>
            </w:tcBorders>
            <w:vAlign w:val="center"/>
          </w:tcPr>
          <w:p w14:paraId="681161B8">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0.0456</w:t>
            </w:r>
          </w:p>
        </w:tc>
        <w:tc>
          <w:tcPr>
            <w:tcW w:w="612" w:type="pct"/>
            <w:tcBorders>
              <w:tl2br w:val="nil"/>
              <w:tr2bl w:val="nil"/>
            </w:tcBorders>
            <w:vAlign w:val="center"/>
          </w:tcPr>
          <w:p w14:paraId="37D1FF1A">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0.0342</w:t>
            </w:r>
          </w:p>
        </w:tc>
        <w:tc>
          <w:tcPr>
            <w:tcW w:w="668" w:type="pct"/>
            <w:tcBorders>
              <w:tl2br w:val="nil"/>
              <w:tr2bl w:val="nil"/>
            </w:tcBorders>
            <w:vAlign w:val="center"/>
          </w:tcPr>
          <w:p w14:paraId="58DB99E4">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0.0057</w:t>
            </w:r>
          </w:p>
        </w:tc>
      </w:tr>
      <w:tr w14:paraId="2EB0FB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0" w:type="pct"/>
            <w:vMerge w:val="restart"/>
            <w:tcBorders>
              <w:tl2br w:val="nil"/>
              <w:tr2bl w:val="nil"/>
            </w:tcBorders>
            <w:vAlign w:val="center"/>
          </w:tcPr>
          <w:p w14:paraId="1DE98FC5">
            <w:pPr>
              <w:pStyle w:val="39"/>
              <w:rPr>
                <w:rFonts w:hint="default" w:ascii="Times New Roman" w:hAnsi="Times New Roman" w:cs="Times New Roman"/>
                <w:color w:val="auto"/>
                <w:u w:val="none"/>
              </w:rPr>
            </w:pPr>
            <w:r>
              <w:rPr>
                <w:rFonts w:hint="default" w:ascii="Times New Roman" w:hAnsi="Times New Roman" w:cs="Times New Roman"/>
                <w:color w:val="auto"/>
                <w:u w:val="none"/>
              </w:rPr>
              <w:t>化粪池出口</w:t>
            </w:r>
          </w:p>
        </w:tc>
        <w:tc>
          <w:tcPr>
            <w:tcW w:w="821" w:type="pct"/>
            <w:tcBorders>
              <w:tl2br w:val="nil"/>
              <w:tr2bl w:val="nil"/>
            </w:tcBorders>
            <w:vAlign w:val="center"/>
          </w:tcPr>
          <w:p w14:paraId="448EF84A">
            <w:pPr>
              <w:pStyle w:val="41"/>
              <w:rPr>
                <w:rFonts w:hint="default" w:ascii="Times New Roman" w:hAnsi="Times New Roman" w:cs="Times New Roman"/>
                <w:color w:val="auto"/>
                <w:u w:val="none"/>
              </w:rPr>
            </w:pPr>
            <w:r>
              <w:rPr>
                <w:rFonts w:hint="default" w:ascii="Times New Roman" w:hAnsi="Times New Roman" w:cs="Times New Roman"/>
                <w:color w:val="auto"/>
                <w:u w:val="none"/>
              </w:rPr>
              <w:t>浓度（mg/L）</w:t>
            </w:r>
          </w:p>
        </w:tc>
        <w:tc>
          <w:tcPr>
            <w:tcW w:w="612" w:type="pct"/>
            <w:tcBorders>
              <w:tl2br w:val="nil"/>
              <w:tr2bl w:val="nil"/>
            </w:tcBorders>
            <w:vAlign w:val="center"/>
          </w:tcPr>
          <w:p w14:paraId="058ED06B">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300</w:t>
            </w:r>
          </w:p>
        </w:tc>
        <w:tc>
          <w:tcPr>
            <w:tcW w:w="612" w:type="pct"/>
            <w:tcBorders>
              <w:tl2br w:val="nil"/>
              <w:tr2bl w:val="nil"/>
            </w:tcBorders>
            <w:vAlign w:val="center"/>
          </w:tcPr>
          <w:p w14:paraId="1A81CA8E">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30</w:t>
            </w:r>
          </w:p>
        </w:tc>
        <w:tc>
          <w:tcPr>
            <w:tcW w:w="612" w:type="pct"/>
            <w:tcBorders>
              <w:tl2br w:val="nil"/>
              <w:tr2bl w:val="nil"/>
            </w:tcBorders>
            <w:vAlign w:val="center"/>
          </w:tcPr>
          <w:p w14:paraId="35179815">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150</w:t>
            </w:r>
          </w:p>
        </w:tc>
        <w:tc>
          <w:tcPr>
            <w:tcW w:w="612" w:type="pct"/>
            <w:tcBorders>
              <w:tl2br w:val="nil"/>
              <w:tr2bl w:val="nil"/>
            </w:tcBorders>
            <w:vAlign w:val="center"/>
          </w:tcPr>
          <w:p w14:paraId="7BBC307A">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70</w:t>
            </w:r>
          </w:p>
        </w:tc>
        <w:tc>
          <w:tcPr>
            <w:tcW w:w="668" w:type="pct"/>
            <w:tcBorders>
              <w:tl2br w:val="nil"/>
              <w:tr2bl w:val="nil"/>
            </w:tcBorders>
            <w:vAlign w:val="center"/>
          </w:tcPr>
          <w:p w14:paraId="6370FD59">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8</w:t>
            </w:r>
          </w:p>
        </w:tc>
      </w:tr>
      <w:tr w14:paraId="08D728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0" w:type="pct"/>
            <w:vMerge w:val="continue"/>
            <w:tcBorders>
              <w:tl2br w:val="nil"/>
              <w:tr2bl w:val="nil"/>
            </w:tcBorders>
            <w:vAlign w:val="center"/>
          </w:tcPr>
          <w:p w14:paraId="23BB06D9">
            <w:pPr>
              <w:pStyle w:val="39"/>
              <w:rPr>
                <w:rFonts w:hint="default" w:ascii="Times New Roman" w:hAnsi="Times New Roman" w:cs="Times New Roman"/>
                <w:color w:val="auto"/>
                <w:u w:val="none"/>
              </w:rPr>
            </w:pPr>
          </w:p>
        </w:tc>
        <w:tc>
          <w:tcPr>
            <w:tcW w:w="821" w:type="pct"/>
            <w:tcBorders>
              <w:tl2br w:val="nil"/>
              <w:tr2bl w:val="nil"/>
            </w:tcBorders>
            <w:vAlign w:val="center"/>
          </w:tcPr>
          <w:p w14:paraId="5376C2CB">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排放量（t/a）</w:t>
            </w:r>
          </w:p>
        </w:tc>
        <w:tc>
          <w:tcPr>
            <w:tcW w:w="612" w:type="pct"/>
            <w:tcBorders>
              <w:tl2br w:val="nil"/>
              <w:tr2bl w:val="nil"/>
            </w:tcBorders>
            <w:vAlign w:val="center"/>
          </w:tcPr>
          <w:p w14:paraId="29C236D2">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0.0684</w:t>
            </w:r>
          </w:p>
        </w:tc>
        <w:tc>
          <w:tcPr>
            <w:tcW w:w="612" w:type="pct"/>
            <w:tcBorders>
              <w:tl2br w:val="nil"/>
              <w:tr2bl w:val="nil"/>
            </w:tcBorders>
            <w:vAlign w:val="center"/>
          </w:tcPr>
          <w:p w14:paraId="05330A5C">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0.00684</w:t>
            </w:r>
          </w:p>
        </w:tc>
        <w:tc>
          <w:tcPr>
            <w:tcW w:w="612" w:type="pct"/>
            <w:tcBorders>
              <w:tl2br w:val="nil"/>
              <w:tr2bl w:val="nil"/>
            </w:tcBorders>
            <w:vAlign w:val="center"/>
          </w:tcPr>
          <w:p w14:paraId="5902818A">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0.0342</w:t>
            </w:r>
          </w:p>
        </w:tc>
        <w:tc>
          <w:tcPr>
            <w:tcW w:w="612" w:type="pct"/>
            <w:tcBorders>
              <w:tl2br w:val="nil"/>
              <w:tr2bl w:val="nil"/>
            </w:tcBorders>
            <w:vAlign w:val="center"/>
          </w:tcPr>
          <w:p w14:paraId="3F80FA84">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0.01596</w:t>
            </w:r>
          </w:p>
        </w:tc>
        <w:tc>
          <w:tcPr>
            <w:tcW w:w="668" w:type="pct"/>
            <w:tcBorders>
              <w:tl2br w:val="nil"/>
              <w:tr2bl w:val="nil"/>
            </w:tcBorders>
            <w:vAlign w:val="center"/>
          </w:tcPr>
          <w:p w14:paraId="763D41D5">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0.001824</w:t>
            </w:r>
          </w:p>
        </w:tc>
      </w:tr>
      <w:tr w14:paraId="54B929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0" w:type="pct"/>
            <w:vMerge w:val="restart"/>
            <w:tcBorders>
              <w:tl2br w:val="nil"/>
              <w:tr2bl w:val="nil"/>
            </w:tcBorders>
            <w:vAlign w:val="center"/>
          </w:tcPr>
          <w:p w14:paraId="35F1A6A0">
            <w:pPr>
              <w:pStyle w:val="39"/>
              <w:rPr>
                <w:rFonts w:hint="default" w:ascii="Times New Roman" w:hAnsi="Times New Roman" w:cs="Times New Roman"/>
                <w:color w:val="auto"/>
                <w:u w:val="none"/>
              </w:rPr>
            </w:pPr>
            <w:r>
              <w:rPr>
                <w:rFonts w:hint="default" w:ascii="Times New Roman" w:hAnsi="Times New Roman" w:cs="Times New Roman"/>
                <w:color w:val="auto"/>
                <w:u w:val="none"/>
              </w:rPr>
              <w:t>城陵矶临港产业新区污水处理厂排口</w:t>
            </w:r>
          </w:p>
        </w:tc>
        <w:tc>
          <w:tcPr>
            <w:tcW w:w="821" w:type="pct"/>
            <w:tcBorders>
              <w:tl2br w:val="nil"/>
              <w:tr2bl w:val="nil"/>
            </w:tcBorders>
            <w:vAlign w:val="center"/>
          </w:tcPr>
          <w:p w14:paraId="10CFD349">
            <w:pPr>
              <w:pStyle w:val="41"/>
              <w:rPr>
                <w:rFonts w:hint="default" w:ascii="Times New Roman" w:hAnsi="Times New Roman" w:cs="Times New Roman"/>
                <w:color w:val="auto"/>
                <w:u w:val="none"/>
              </w:rPr>
            </w:pPr>
            <w:r>
              <w:rPr>
                <w:rFonts w:hint="default" w:ascii="Times New Roman" w:hAnsi="Times New Roman" w:cs="Times New Roman"/>
                <w:color w:val="auto"/>
                <w:u w:val="none"/>
              </w:rPr>
              <w:t>浓度（mg/L）</w:t>
            </w:r>
          </w:p>
        </w:tc>
        <w:tc>
          <w:tcPr>
            <w:tcW w:w="612" w:type="pct"/>
            <w:tcBorders>
              <w:tl2br w:val="nil"/>
              <w:tr2bl w:val="nil"/>
            </w:tcBorders>
            <w:vAlign w:val="center"/>
          </w:tcPr>
          <w:p w14:paraId="262D9355">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50</w:t>
            </w:r>
          </w:p>
        </w:tc>
        <w:tc>
          <w:tcPr>
            <w:tcW w:w="612" w:type="pct"/>
            <w:tcBorders>
              <w:tl2br w:val="nil"/>
              <w:tr2bl w:val="nil"/>
            </w:tcBorders>
            <w:vAlign w:val="center"/>
          </w:tcPr>
          <w:p w14:paraId="76470F97">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5</w:t>
            </w:r>
          </w:p>
        </w:tc>
        <w:tc>
          <w:tcPr>
            <w:tcW w:w="612" w:type="pct"/>
            <w:tcBorders>
              <w:tl2br w:val="nil"/>
              <w:tr2bl w:val="nil"/>
            </w:tcBorders>
            <w:vAlign w:val="center"/>
          </w:tcPr>
          <w:p w14:paraId="239CC2D5">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10</w:t>
            </w:r>
          </w:p>
        </w:tc>
        <w:tc>
          <w:tcPr>
            <w:tcW w:w="612" w:type="pct"/>
            <w:tcBorders>
              <w:tl2br w:val="nil"/>
              <w:tr2bl w:val="nil"/>
            </w:tcBorders>
            <w:vAlign w:val="center"/>
          </w:tcPr>
          <w:p w14:paraId="696D6884">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10</w:t>
            </w:r>
          </w:p>
        </w:tc>
        <w:tc>
          <w:tcPr>
            <w:tcW w:w="668" w:type="pct"/>
            <w:tcBorders>
              <w:tl2br w:val="nil"/>
              <w:tr2bl w:val="nil"/>
            </w:tcBorders>
            <w:vAlign w:val="center"/>
          </w:tcPr>
          <w:p w14:paraId="42D43028">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1</w:t>
            </w:r>
          </w:p>
        </w:tc>
      </w:tr>
      <w:tr w14:paraId="7DAEE4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0" w:type="pct"/>
            <w:vMerge w:val="continue"/>
            <w:tcBorders>
              <w:tl2br w:val="nil"/>
              <w:tr2bl w:val="nil"/>
            </w:tcBorders>
            <w:vAlign w:val="center"/>
          </w:tcPr>
          <w:p w14:paraId="5E54692C">
            <w:pPr>
              <w:pStyle w:val="39"/>
              <w:rPr>
                <w:rFonts w:hint="default" w:ascii="Times New Roman" w:hAnsi="Times New Roman" w:cs="Times New Roman"/>
                <w:color w:val="auto"/>
                <w:u w:val="none"/>
              </w:rPr>
            </w:pPr>
          </w:p>
        </w:tc>
        <w:tc>
          <w:tcPr>
            <w:tcW w:w="821" w:type="pct"/>
            <w:tcBorders>
              <w:tl2br w:val="nil"/>
              <w:tr2bl w:val="nil"/>
            </w:tcBorders>
            <w:vAlign w:val="center"/>
          </w:tcPr>
          <w:p w14:paraId="401D4C41">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排放量（t/a）</w:t>
            </w:r>
          </w:p>
        </w:tc>
        <w:tc>
          <w:tcPr>
            <w:tcW w:w="612" w:type="pct"/>
            <w:tcBorders>
              <w:tl2br w:val="nil"/>
              <w:tr2bl w:val="nil"/>
            </w:tcBorders>
            <w:vAlign w:val="center"/>
          </w:tcPr>
          <w:p w14:paraId="5E1C86C8">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0.0114</w:t>
            </w:r>
          </w:p>
        </w:tc>
        <w:tc>
          <w:tcPr>
            <w:tcW w:w="612" w:type="pct"/>
            <w:tcBorders>
              <w:tl2br w:val="nil"/>
              <w:tr2bl w:val="nil"/>
            </w:tcBorders>
            <w:vAlign w:val="center"/>
          </w:tcPr>
          <w:p w14:paraId="01987A1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0.00114</w:t>
            </w:r>
          </w:p>
        </w:tc>
        <w:tc>
          <w:tcPr>
            <w:tcW w:w="612" w:type="pct"/>
            <w:tcBorders>
              <w:tl2br w:val="nil"/>
              <w:tr2bl w:val="nil"/>
            </w:tcBorders>
            <w:vAlign w:val="center"/>
          </w:tcPr>
          <w:p w14:paraId="36F63DB6">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0.00228</w:t>
            </w:r>
          </w:p>
        </w:tc>
        <w:tc>
          <w:tcPr>
            <w:tcW w:w="612" w:type="pct"/>
            <w:tcBorders>
              <w:tl2br w:val="nil"/>
              <w:tr2bl w:val="nil"/>
            </w:tcBorders>
            <w:vAlign w:val="center"/>
          </w:tcPr>
          <w:p w14:paraId="62DD6AC1">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0.00228</w:t>
            </w:r>
          </w:p>
        </w:tc>
        <w:tc>
          <w:tcPr>
            <w:tcW w:w="668" w:type="pct"/>
            <w:tcBorders>
              <w:tl2br w:val="nil"/>
              <w:tr2bl w:val="nil"/>
            </w:tcBorders>
            <w:vAlign w:val="center"/>
          </w:tcPr>
          <w:p w14:paraId="7FAE80CE">
            <w:pPr>
              <w:pStyle w:val="41"/>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0.000228</w:t>
            </w:r>
          </w:p>
        </w:tc>
      </w:tr>
    </w:tbl>
    <w:p w14:paraId="1853109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（2）生产废水</w:t>
      </w:r>
    </w:p>
    <w:p w14:paraId="6B1E5CC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①铝阳极氧化线</w:t>
      </w:r>
    </w:p>
    <w:p w14:paraId="1C2FD25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阳极氧化自动生产线主要由脱脂、碱洗、中和、酸洗、抛光、氧化、染色、封孔等工序组成，各工序后均设有水洗工序，用于去除上道工序残留在工件表面的酸、碱等。项目水洗工序根据后续工序要求不同采用了二级逆流水洗等不同水洗方式，水洗槽采用溢流式，水洗槽清洗水连续补加。根据设计，本项目设阳极氧化线</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条，生产工时按2</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h/d、</w:t>
      </w:r>
      <w:r>
        <w:rPr>
          <w:rFonts w:hint="eastAsia" w:ascii="Times New Roman" w:hAnsi="Times New Roman" w:cs="Times New Roman"/>
          <w:color w:val="auto"/>
          <w:u w:val="none"/>
          <w:lang w:val="en-US" w:eastAsia="zh-CN"/>
        </w:rPr>
        <w:t>7200</w:t>
      </w:r>
      <w:r>
        <w:rPr>
          <w:rFonts w:hint="default" w:ascii="Times New Roman" w:hAnsi="Times New Roman" w:cs="Times New Roman"/>
          <w:color w:val="auto"/>
          <w:u w:val="none"/>
        </w:rPr>
        <w:t>h/a计。生产废水根据废水性质按含镍废液、化抛废液、含镍废水、含磷废水、含铬废水、废碱液、一般废水纯水制备废水等进行分类收集处理。根据水平衡分析，项目阳极氧化自动生产线废水产生量统计见下表。</w:t>
      </w:r>
    </w:p>
    <w:p w14:paraId="558D655B">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 xml:space="preserve">9 </w:t>
      </w:r>
      <w:r>
        <w:rPr>
          <w:rFonts w:hint="default" w:ascii="Times New Roman" w:hAnsi="Times New Roman" w:cs="Times New Roman"/>
          <w:b/>
          <w:bCs/>
          <w:color w:val="auto"/>
          <w:u w:val="none"/>
        </w:rPr>
        <w:t xml:space="preserve"> 项目铝阳极氧化线废水产生量统计</w:t>
      </w:r>
    </w:p>
    <w:tbl>
      <w:tblPr>
        <w:tblStyle w:val="30"/>
        <w:tblW w:w="502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30"/>
        <w:gridCol w:w="3753"/>
        <w:gridCol w:w="2284"/>
        <w:gridCol w:w="2241"/>
        <w:gridCol w:w="16"/>
      </w:tblGrid>
      <w:tr w14:paraId="20EC4E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735" w:type="pct"/>
            <w:vMerge w:val="restart"/>
            <w:tcBorders>
              <w:tl2br w:val="nil"/>
              <w:tr2bl w:val="nil"/>
            </w:tcBorders>
            <w:vAlign w:val="center"/>
          </w:tcPr>
          <w:p w14:paraId="56BDC8CE">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929" w:type="pct"/>
            <w:vMerge w:val="restart"/>
            <w:tcBorders>
              <w:tl2br w:val="nil"/>
              <w:tr2bl w:val="nil"/>
            </w:tcBorders>
            <w:vAlign w:val="center"/>
          </w:tcPr>
          <w:p w14:paraId="75C8176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2334" w:type="pct"/>
            <w:gridSpan w:val="3"/>
            <w:tcBorders>
              <w:tl2br w:val="nil"/>
              <w:tr2bl w:val="nil"/>
            </w:tcBorders>
            <w:vAlign w:val="center"/>
          </w:tcPr>
          <w:p w14:paraId="5C55BE1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阳极氧化生产线</w:t>
            </w:r>
          </w:p>
        </w:tc>
      </w:tr>
      <w:tr w14:paraId="239644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623" w:hRule="atLeast"/>
        </w:trPr>
        <w:tc>
          <w:tcPr>
            <w:tcW w:w="735" w:type="pct"/>
            <w:vMerge w:val="continue"/>
            <w:tcBorders>
              <w:tl2br w:val="nil"/>
              <w:tr2bl w:val="nil"/>
            </w:tcBorders>
            <w:vAlign w:val="center"/>
          </w:tcPr>
          <w:p w14:paraId="70D23D56">
            <w:pPr>
              <w:pStyle w:val="41"/>
              <w:rPr>
                <w:rFonts w:hint="default" w:ascii="Times New Roman" w:hAnsi="Times New Roman" w:cs="Times New Roman"/>
                <w:b/>
                <w:bCs/>
                <w:color w:val="auto"/>
                <w:u w:val="none"/>
              </w:rPr>
            </w:pPr>
          </w:p>
        </w:tc>
        <w:tc>
          <w:tcPr>
            <w:tcW w:w="1929" w:type="pct"/>
            <w:vMerge w:val="continue"/>
            <w:tcBorders>
              <w:tl2br w:val="nil"/>
              <w:tr2bl w:val="nil"/>
            </w:tcBorders>
            <w:vAlign w:val="center"/>
          </w:tcPr>
          <w:p w14:paraId="04A0D30A">
            <w:pPr>
              <w:pStyle w:val="41"/>
              <w:rPr>
                <w:rFonts w:hint="default" w:ascii="Times New Roman" w:hAnsi="Times New Roman" w:cs="Times New Roman"/>
                <w:b/>
                <w:bCs/>
                <w:color w:val="auto"/>
                <w:u w:val="none"/>
              </w:rPr>
            </w:pPr>
          </w:p>
        </w:tc>
        <w:tc>
          <w:tcPr>
            <w:tcW w:w="1174" w:type="pct"/>
            <w:tcBorders>
              <w:tl2br w:val="nil"/>
              <w:tr2bl w:val="nil"/>
            </w:tcBorders>
            <w:vAlign w:val="center"/>
          </w:tcPr>
          <w:p w14:paraId="767CF58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日均产生量（t/d）</w:t>
            </w:r>
          </w:p>
        </w:tc>
        <w:tc>
          <w:tcPr>
            <w:tcW w:w="1152" w:type="pct"/>
            <w:tcBorders>
              <w:tl2br w:val="nil"/>
              <w:tr2bl w:val="nil"/>
            </w:tcBorders>
            <w:vAlign w:val="center"/>
          </w:tcPr>
          <w:p w14:paraId="2838F25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总产生量（t/a）</w:t>
            </w:r>
          </w:p>
        </w:tc>
      </w:tr>
      <w:tr w14:paraId="42AFA1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0" w:hRule="atLeast"/>
        </w:trPr>
        <w:tc>
          <w:tcPr>
            <w:tcW w:w="735" w:type="pct"/>
            <w:tcBorders>
              <w:tl2br w:val="nil"/>
              <w:tr2bl w:val="nil"/>
            </w:tcBorders>
            <w:vAlign w:val="center"/>
          </w:tcPr>
          <w:p w14:paraId="5FCA6D80">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929" w:type="pct"/>
            <w:tcBorders>
              <w:tl2br w:val="nil"/>
              <w:tr2bl w:val="nil"/>
            </w:tcBorders>
            <w:vAlign w:val="center"/>
          </w:tcPr>
          <w:p w14:paraId="52E6583A">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含油废水</w:t>
            </w:r>
          </w:p>
        </w:tc>
        <w:tc>
          <w:tcPr>
            <w:tcW w:w="1174" w:type="pct"/>
            <w:tcBorders>
              <w:tl2br w:val="nil"/>
              <w:tr2bl w:val="nil"/>
            </w:tcBorders>
            <w:vAlign w:val="center"/>
          </w:tcPr>
          <w:p w14:paraId="5165D19F">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1.113</w:t>
            </w:r>
          </w:p>
        </w:tc>
        <w:tc>
          <w:tcPr>
            <w:tcW w:w="1152" w:type="pct"/>
            <w:tcBorders>
              <w:tl2br w:val="nil"/>
              <w:tr2bl w:val="nil"/>
            </w:tcBorders>
            <w:vAlign w:val="center"/>
          </w:tcPr>
          <w:p w14:paraId="0DF34C2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334</w:t>
            </w:r>
          </w:p>
        </w:tc>
      </w:tr>
      <w:tr w14:paraId="4B9F4A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0" w:hRule="atLeast"/>
        </w:trPr>
        <w:tc>
          <w:tcPr>
            <w:tcW w:w="735" w:type="pct"/>
            <w:tcBorders>
              <w:tl2br w:val="nil"/>
              <w:tr2bl w:val="nil"/>
            </w:tcBorders>
            <w:vAlign w:val="center"/>
          </w:tcPr>
          <w:p w14:paraId="427BC807">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929" w:type="pct"/>
            <w:tcBorders>
              <w:tl2br w:val="nil"/>
              <w:tr2bl w:val="nil"/>
            </w:tcBorders>
            <w:vAlign w:val="center"/>
          </w:tcPr>
          <w:p w14:paraId="52128624">
            <w:pPr>
              <w:pStyle w:val="41"/>
              <w:rPr>
                <w:rFonts w:hint="default" w:ascii="Times New Roman" w:hAnsi="Times New Roman" w:cs="Times New Roman"/>
                <w:color w:val="auto"/>
                <w:u w:val="none"/>
              </w:rPr>
            </w:pPr>
            <w:r>
              <w:rPr>
                <w:rFonts w:hint="default" w:ascii="Times New Roman" w:hAnsi="Times New Roman" w:cs="Times New Roman"/>
                <w:color w:val="auto"/>
                <w:u w:val="none"/>
              </w:rPr>
              <w:t>碱废液</w:t>
            </w:r>
          </w:p>
        </w:tc>
        <w:tc>
          <w:tcPr>
            <w:tcW w:w="1174" w:type="pct"/>
            <w:tcBorders>
              <w:tl2br w:val="nil"/>
              <w:tr2bl w:val="nil"/>
            </w:tcBorders>
            <w:vAlign w:val="center"/>
          </w:tcPr>
          <w:p w14:paraId="0713159F">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8.435</w:t>
            </w:r>
          </w:p>
        </w:tc>
        <w:tc>
          <w:tcPr>
            <w:tcW w:w="1152" w:type="pct"/>
            <w:tcBorders>
              <w:tl2br w:val="nil"/>
              <w:tr2bl w:val="nil"/>
            </w:tcBorders>
            <w:vAlign w:val="center"/>
          </w:tcPr>
          <w:p w14:paraId="5275779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2530.6</w:t>
            </w:r>
          </w:p>
        </w:tc>
      </w:tr>
      <w:tr w14:paraId="31E8B7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39" w:hRule="atLeast"/>
        </w:trPr>
        <w:tc>
          <w:tcPr>
            <w:tcW w:w="735" w:type="pct"/>
            <w:tcBorders>
              <w:tl2br w:val="nil"/>
              <w:tr2bl w:val="nil"/>
            </w:tcBorders>
            <w:vAlign w:val="center"/>
          </w:tcPr>
          <w:p w14:paraId="34EFFAC4">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1929" w:type="pct"/>
            <w:tcBorders>
              <w:tl2br w:val="nil"/>
              <w:tr2bl w:val="nil"/>
            </w:tcBorders>
            <w:vAlign w:val="center"/>
          </w:tcPr>
          <w:p w14:paraId="1F29CAFD">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1174" w:type="pct"/>
            <w:tcBorders>
              <w:tl2br w:val="nil"/>
              <w:tr2bl w:val="nil"/>
            </w:tcBorders>
            <w:vAlign w:val="center"/>
          </w:tcPr>
          <w:p w14:paraId="368C0AB8">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0.488</w:t>
            </w:r>
          </w:p>
        </w:tc>
        <w:tc>
          <w:tcPr>
            <w:tcW w:w="1152" w:type="pct"/>
            <w:tcBorders>
              <w:tl2br w:val="nil"/>
              <w:tr2bl w:val="nil"/>
            </w:tcBorders>
            <w:vAlign w:val="center"/>
          </w:tcPr>
          <w:p w14:paraId="0E633CF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146.4</w:t>
            </w:r>
          </w:p>
        </w:tc>
      </w:tr>
      <w:tr w14:paraId="20853D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0" w:hRule="atLeast"/>
        </w:trPr>
        <w:tc>
          <w:tcPr>
            <w:tcW w:w="735" w:type="pct"/>
            <w:tcBorders>
              <w:tl2br w:val="nil"/>
              <w:tr2bl w:val="nil"/>
            </w:tcBorders>
            <w:vAlign w:val="center"/>
          </w:tcPr>
          <w:p w14:paraId="7CA44D3F">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929" w:type="pct"/>
            <w:tcBorders>
              <w:tl2br w:val="nil"/>
              <w:tr2bl w:val="nil"/>
            </w:tcBorders>
            <w:vAlign w:val="center"/>
          </w:tcPr>
          <w:p w14:paraId="48ACDBBC">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1174" w:type="pct"/>
            <w:tcBorders>
              <w:tl2br w:val="nil"/>
              <w:tr2bl w:val="nil"/>
            </w:tcBorders>
            <w:vAlign w:val="center"/>
          </w:tcPr>
          <w:p w14:paraId="14140CE1">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1.192</w:t>
            </w:r>
          </w:p>
        </w:tc>
        <w:tc>
          <w:tcPr>
            <w:tcW w:w="1152" w:type="pct"/>
            <w:tcBorders>
              <w:tl2br w:val="nil"/>
              <w:tr2bl w:val="nil"/>
            </w:tcBorders>
            <w:vAlign w:val="center"/>
          </w:tcPr>
          <w:p w14:paraId="1AC9D34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357.8</w:t>
            </w:r>
          </w:p>
        </w:tc>
      </w:tr>
      <w:tr w14:paraId="6F78AB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40" w:hRule="atLeast"/>
        </w:trPr>
        <w:tc>
          <w:tcPr>
            <w:tcW w:w="735" w:type="pct"/>
            <w:tcBorders>
              <w:tl2br w:val="nil"/>
              <w:tr2bl w:val="nil"/>
            </w:tcBorders>
            <w:vAlign w:val="center"/>
          </w:tcPr>
          <w:p w14:paraId="0FA77A20">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929" w:type="pct"/>
            <w:tcBorders>
              <w:tl2br w:val="nil"/>
              <w:tr2bl w:val="nil"/>
            </w:tcBorders>
            <w:vAlign w:val="center"/>
          </w:tcPr>
          <w:p w14:paraId="30883EA8">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1174" w:type="pct"/>
            <w:tcBorders>
              <w:tl2br w:val="nil"/>
              <w:tr2bl w:val="nil"/>
            </w:tcBorders>
            <w:vAlign w:val="center"/>
          </w:tcPr>
          <w:p w14:paraId="1D455860">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11.93</w:t>
            </w:r>
          </w:p>
        </w:tc>
        <w:tc>
          <w:tcPr>
            <w:tcW w:w="1152" w:type="pct"/>
            <w:tcBorders>
              <w:tl2br w:val="nil"/>
              <w:tr2bl w:val="nil"/>
            </w:tcBorders>
            <w:vAlign w:val="center"/>
          </w:tcPr>
          <w:p w14:paraId="4A34735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3579</w:t>
            </w:r>
          </w:p>
        </w:tc>
      </w:tr>
      <w:tr w14:paraId="6281B2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39" w:hRule="atLeast"/>
        </w:trPr>
        <w:tc>
          <w:tcPr>
            <w:tcW w:w="735" w:type="pct"/>
            <w:tcBorders>
              <w:tl2br w:val="nil"/>
              <w:tr2bl w:val="nil"/>
            </w:tcBorders>
            <w:vAlign w:val="center"/>
          </w:tcPr>
          <w:p w14:paraId="471248D9">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929" w:type="pct"/>
            <w:tcBorders>
              <w:tl2br w:val="nil"/>
              <w:tr2bl w:val="nil"/>
            </w:tcBorders>
            <w:vAlign w:val="center"/>
          </w:tcPr>
          <w:p w14:paraId="12C0459B">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含铬</w:t>
            </w:r>
            <w:r>
              <w:rPr>
                <w:rFonts w:hint="eastAsia" w:cs="Times New Roman"/>
                <w:color w:val="auto"/>
                <w:u w:val="none"/>
                <w:lang w:val="en-US" w:eastAsia="zh-CN"/>
              </w:rPr>
              <w:t>废水</w:t>
            </w:r>
          </w:p>
        </w:tc>
        <w:tc>
          <w:tcPr>
            <w:tcW w:w="1174" w:type="pct"/>
            <w:tcBorders>
              <w:tl2br w:val="nil"/>
              <w:tr2bl w:val="nil"/>
            </w:tcBorders>
            <w:vAlign w:val="center"/>
          </w:tcPr>
          <w:p w14:paraId="19E2B097">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10.571</w:t>
            </w:r>
          </w:p>
        </w:tc>
        <w:tc>
          <w:tcPr>
            <w:tcW w:w="1152" w:type="pct"/>
            <w:tcBorders>
              <w:tl2br w:val="nil"/>
              <w:tr2bl w:val="nil"/>
            </w:tcBorders>
            <w:vAlign w:val="center"/>
          </w:tcPr>
          <w:p w14:paraId="45C6A4D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3171.4</w:t>
            </w:r>
          </w:p>
        </w:tc>
      </w:tr>
      <w:tr w14:paraId="45AA62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gridAfter w:val="1"/>
          <w:wAfter w:w="8" w:type="pct"/>
          <w:trHeight w:val="339" w:hRule="atLeast"/>
        </w:trPr>
        <w:tc>
          <w:tcPr>
            <w:tcW w:w="735" w:type="pct"/>
            <w:tcBorders>
              <w:tl2br w:val="nil"/>
              <w:tr2bl w:val="nil"/>
            </w:tcBorders>
            <w:vAlign w:val="center"/>
          </w:tcPr>
          <w:p w14:paraId="50497354">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7</w:t>
            </w:r>
          </w:p>
        </w:tc>
        <w:tc>
          <w:tcPr>
            <w:tcW w:w="1929" w:type="pct"/>
            <w:tcBorders>
              <w:tl2br w:val="nil"/>
              <w:tr2bl w:val="nil"/>
            </w:tcBorders>
            <w:vAlign w:val="center"/>
          </w:tcPr>
          <w:p w14:paraId="52606B7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一般废水</w:t>
            </w:r>
          </w:p>
        </w:tc>
        <w:tc>
          <w:tcPr>
            <w:tcW w:w="1174" w:type="pct"/>
            <w:tcBorders>
              <w:tl2br w:val="nil"/>
              <w:tr2bl w:val="nil"/>
            </w:tcBorders>
            <w:vAlign w:val="center"/>
          </w:tcPr>
          <w:p w14:paraId="46375222">
            <w:pPr>
              <w:pStyle w:val="39"/>
              <w:rPr>
                <w:rFonts w:hint="default" w:cs="Times New Roman"/>
                <w:color w:val="auto"/>
                <w:u w:val="none"/>
                <w:lang w:val="en-US" w:eastAsia="zh-CN"/>
              </w:rPr>
            </w:pPr>
            <w:r>
              <w:rPr>
                <w:rFonts w:hint="eastAsia" w:cs="Times New Roman"/>
                <w:color w:val="auto"/>
                <w:u w:val="none"/>
                <w:lang w:val="en-US" w:eastAsia="zh-CN"/>
              </w:rPr>
              <w:t>33.918</w:t>
            </w:r>
          </w:p>
        </w:tc>
        <w:tc>
          <w:tcPr>
            <w:tcW w:w="1152" w:type="pct"/>
            <w:tcBorders>
              <w:tl2br w:val="nil"/>
              <w:tr2bl w:val="nil"/>
            </w:tcBorders>
            <w:vAlign w:val="center"/>
          </w:tcPr>
          <w:p w14:paraId="1569087F">
            <w:pPr>
              <w:pStyle w:val="41"/>
              <w:rPr>
                <w:rFonts w:hint="eastAsia" w:cs="Times New Roman"/>
                <w:color w:val="auto"/>
                <w:u w:val="none"/>
                <w:lang w:val="en-US" w:eastAsia="zh-CN"/>
              </w:rPr>
            </w:pPr>
            <w:r>
              <w:rPr>
                <w:rFonts w:hint="eastAsia" w:cs="Times New Roman"/>
                <w:color w:val="auto"/>
                <w:u w:val="none"/>
                <w:lang w:val="en-US" w:eastAsia="zh-CN"/>
              </w:rPr>
              <w:t>10175.41429</w:t>
            </w:r>
          </w:p>
        </w:tc>
      </w:tr>
    </w:tbl>
    <w:p w14:paraId="46F8F05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阳极氧化自动生产线废水产生量为</w:t>
      </w:r>
      <w:r>
        <w:rPr>
          <w:rFonts w:hint="eastAsia" w:ascii="Times New Roman" w:hAnsi="Times New Roman" w:cs="Times New Roman"/>
          <w:color w:val="auto"/>
          <w:u w:val="none"/>
          <w:lang w:val="en-US" w:eastAsia="zh-CN"/>
        </w:rPr>
        <w:t>13515.9142</w:t>
      </w:r>
      <w:r>
        <w:rPr>
          <w:rFonts w:hint="default" w:ascii="Times New Roman" w:hAnsi="Times New Roman" w:cs="Times New Roman"/>
          <w:color w:val="auto"/>
          <w:u w:val="none"/>
        </w:rPr>
        <w:t>t/a，处理面积</w:t>
      </w:r>
      <w:r>
        <w:rPr>
          <w:rFonts w:hint="eastAsia" w:ascii="Times New Roman" w:hAnsi="Times New Roman" w:cs="Times New Roman"/>
          <w:color w:val="auto"/>
          <w:u w:val="none"/>
          <w:lang w:val="en-US" w:eastAsia="zh-CN"/>
        </w:rPr>
        <w:t>180</w:t>
      </w:r>
      <w:r>
        <w:rPr>
          <w:rFonts w:hint="default" w:ascii="Times New Roman" w:hAnsi="Times New Roman" w:cs="Times New Roman"/>
          <w:color w:val="auto"/>
          <w:u w:val="none"/>
        </w:rPr>
        <w:t>万m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，每次产品阳极氧化清洗次数约28道，单位产品每次清洗取水量为3.28L/m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，符合《电镀行业清洁生产评价指标体系》II级基准值（单位产品每次清洗取水量≤24L/m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本项目为阳极氧化，排放标准参考《电镀污染物排放标准》（GB21900-2008），该标准中对单层镀或多层镀核算单位产品基准排水量提出了要求，未对阳极氧化单位产品基准排水量提出要求，因此本项目无需进行单位产品基准排水量的核算。</w:t>
      </w:r>
    </w:p>
    <w:p w14:paraId="2340A3C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设计，项目阳极氧化自动生产线生产废水根据废水性质按含磷废水、含镍废水、含镍废液、含铬废水、化抛废液、一般废水、染色废液、脱脂废液、氧化废液等进行分类收集处理。类比其它同类型企业浙江易亲工业科技有限公司废水水质情况，本项目铝阳极氧化线清洗废水污染物产生情况见下表。</w:t>
      </w:r>
    </w:p>
    <w:p w14:paraId="4EA9E93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ascii="Times New Roman" w:hAnsi="Times New Roman" w:cs="Times New Roman"/>
          <w:b/>
          <w:bCs/>
          <w:color w:val="auto"/>
          <w:u w:val="none"/>
          <w:lang w:val="en-US" w:eastAsia="zh-CN"/>
        </w:rPr>
        <w:t>10</w:t>
      </w:r>
      <w:r>
        <w:rPr>
          <w:rFonts w:hint="default" w:ascii="Times New Roman" w:hAnsi="Times New Roman" w:cs="Times New Roman"/>
          <w:b/>
          <w:bCs/>
          <w:color w:val="auto"/>
          <w:u w:val="none"/>
        </w:rPr>
        <w:t xml:space="preserve">  项目铝阳极氧化线废水产生情况</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53"/>
        <w:gridCol w:w="1579"/>
        <w:gridCol w:w="1518"/>
        <w:gridCol w:w="1340"/>
        <w:gridCol w:w="4274"/>
      </w:tblGrid>
      <w:tr w14:paraId="414577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493" w:type="pct"/>
            <w:vMerge w:val="restart"/>
            <w:tcBorders>
              <w:tl2br w:val="nil"/>
              <w:tr2bl w:val="nil"/>
            </w:tcBorders>
            <w:vAlign w:val="center"/>
          </w:tcPr>
          <w:p w14:paraId="7452BAAA">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816" w:type="pct"/>
            <w:vMerge w:val="restart"/>
            <w:tcBorders>
              <w:tl2br w:val="nil"/>
              <w:tr2bl w:val="nil"/>
            </w:tcBorders>
            <w:vAlign w:val="center"/>
          </w:tcPr>
          <w:p w14:paraId="762F648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废水类别</w:t>
            </w:r>
          </w:p>
        </w:tc>
        <w:tc>
          <w:tcPr>
            <w:tcW w:w="1478" w:type="pct"/>
            <w:gridSpan w:val="2"/>
            <w:tcBorders>
              <w:tl2br w:val="nil"/>
              <w:tr2bl w:val="nil"/>
            </w:tcBorders>
            <w:vAlign w:val="center"/>
          </w:tcPr>
          <w:p w14:paraId="4E52618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废水产生量</w:t>
            </w:r>
          </w:p>
        </w:tc>
        <w:tc>
          <w:tcPr>
            <w:tcW w:w="2211" w:type="pct"/>
            <w:vMerge w:val="restart"/>
            <w:tcBorders>
              <w:tl2br w:val="nil"/>
              <w:tr2bl w:val="nil"/>
            </w:tcBorders>
            <w:vAlign w:val="center"/>
          </w:tcPr>
          <w:p w14:paraId="444360E5">
            <w:pPr>
              <w:pStyle w:val="56"/>
              <w:rPr>
                <w:rFonts w:hint="default" w:ascii="Times New Roman" w:hAnsi="Times New Roman" w:cs="Times New Roman"/>
                <w:b w:val="0"/>
                <w:color w:val="auto"/>
                <w:u w:val="none"/>
              </w:rPr>
            </w:pPr>
            <w:r>
              <w:rPr>
                <w:rFonts w:hint="default" w:ascii="Times New Roman" w:hAnsi="Times New Roman" w:cs="Times New Roman"/>
                <w:b/>
                <w:bCs/>
                <w:color w:val="auto"/>
                <w:u w:val="none"/>
              </w:rPr>
              <w:t>污染物浓度</w:t>
            </w:r>
          </w:p>
        </w:tc>
      </w:tr>
      <w:tr w14:paraId="09ADDD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93" w:type="pct"/>
            <w:vMerge w:val="continue"/>
            <w:tcBorders>
              <w:tl2br w:val="nil"/>
              <w:tr2bl w:val="nil"/>
            </w:tcBorders>
            <w:vAlign w:val="center"/>
          </w:tcPr>
          <w:p w14:paraId="69BF448D">
            <w:pPr>
              <w:pStyle w:val="41"/>
              <w:rPr>
                <w:rFonts w:hint="default" w:ascii="Times New Roman" w:hAnsi="Times New Roman" w:cs="Times New Roman"/>
                <w:b/>
                <w:bCs/>
                <w:color w:val="auto"/>
                <w:u w:val="none"/>
              </w:rPr>
            </w:pPr>
          </w:p>
        </w:tc>
        <w:tc>
          <w:tcPr>
            <w:tcW w:w="816" w:type="pct"/>
            <w:vMerge w:val="continue"/>
            <w:tcBorders>
              <w:tl2br w:val="nil"/>
              <w:tr2bl w:val="nil"/>
            </w:tcBorders>
            <w:vAlign w:val="center"/>
          </w:tcPr>
          <w:p w14:paraId="28A12708">
            <w:pPr>
              <w:pStyle w:val="41"/>
              <w:rPr>
                <w:rFonts w:hint="default" w:ascii="Times New Roman" w:hAnsi="Times New Roman" w:cs="Times New Roman"/>
                <w:b/>
                <w:bCs/>
                <w:color w:val="auto"/>
                <w:u w:val="none"/>
              </w:rPr>
            </w:pPr>
          </w:p>
        </w:tc>
        <w:tc>
          <w:tcPr>
            <w:tcW w:w="785" w:type="pct"/>
            <w:tcBorders>
              <w:tl2br w:val="nil"/>
              <w:tr2bl w:val="nil"/>
            </w:tcBorders>
            <w:vAlign w:val="center"/>
          </w:tcPr>
          <w:p w14:paraId="277DA56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t/d(平均)</w:t>
            </w:r>
          </w:p>
        </w:tc>
        <w:tc>
          <w:tcPr>
            <w:tcW w:w="693" w:type="pct"/>
            <w:tcBorders>
              <w:tl2br w:val="nil"/>
              <w:tr2bl w:val="nil"/>
            </w:tcBorders>
            <w:vAlign w:val="center"/>
          </w:tcPr>
          <w:p w14:paraId="28EA06D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t/a</w:t>
            </w:r>
          </w:p>
        </w:tc>
        <w:tc>
          <w:tcPr>
            <w:tcW w:w="2211" w:type="pct"/>
            <w:vMerge w:val="continue"/>
            <w:tcBorders>
              <w:tl2br w:val="nil"/>
              <w:tr2bl w:val="nil"/>
            </w:tcBorders>
            <w:vAlign w:val="center"/>
          </w:tcPr>
          <w:p w14:paraId="5A2B151A">
            <w:pPr>
              <w:pStyle w:val="41"/>
              <w:rPr>
                <w:rFonts w:hint="default" w:ascii="Times New Roman" w:hAnsi="Times New Roman" w:cs="Times New Roman"/>
                <w:color w:val="auto"/>
                <w:u w:val="none"/>
              </w:rPr>
            </w:pPr>
          </w:p>
        </w:tc>
      </w:tr>
      <w:tr w14:paraId="1B77FA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93" w:type="pct"/>
            <w:tcBorders>
              <w:tl2br w:val="nil"/>
              <w:tr2bl w:val="nil"/>
            </w:tcBorders>
            <w:vAlign w:val="center"/>
          </w:tcPr>
          <w:p w14:paraId="4C4A56C7">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816" w:type="pct"/>
            <w:tcBorders>
              <w:tl2br w:val="nil"/>
              <w:tr2bl w:val="nil"/>
            </w:tcBorders>
            <w:vAlign w:val="center"/>
          </w:tcPr>
          <w:p w14:paraId="5817779A">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785" w:type="pct"/>
            <w:tcBorders>
              <w:tl2br w:val="nil"/>
              <w:tr2bl w:val="nil"/>
            </w:tcBorders>
            <w:vAlign w:val="center"/>
          </w:tcPr>
          <w:p w14:paraId="257ED46E">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0.488</w:t>
            </w:r>
          </w:p>
        </w:tc>
        <w:tc>
          <w:tcPr>
            <w:tcW w:w="693" w:type="pct"/>
            <w:tcBorders>
              <w:tl2br w:val="nil"/>
              <w:tr2bl w:val="nil"/>
            </w:tcBorders>
            <w:vAlign w:val="center"/>
          </w:tcPr>
          <w:p w14:paraId="6EE1C985">
            <w:pPr>
              <w:pStyle w:val="41"/>
              <w:rPr>
                <w:rFonts w:hint="default" w:ascii="Times New Roman" w:hAnsi="Times New Roman" w:cs="Times New Roman"/>
                <w:color w:val="auto"/>
                <w:u w:val="none"/>
                <w:lang w:val="en-US"/>
              </w:rPr>
            </w:pPr>
            <w:r>
              <w:rPr>
                <w:rFonts w:hint="eastAsia" w:cs="Times New Roman"/>
                <w:color w:val="auto"/>
                <w:u w:val="none"/>
                <w:lang w:val="en-US" w:eastAsia="zh-CN"/>
              </w:rPr>
              <w:t>578.4</w:t>
            </w:r>
          </w:p>
        </w:tc>
        <w:tc>
          <w:tcPr>
            <w:tcW w:w="2211" w:type="pct"/>
            <w:tcBorders>
              <w:tl2br w:val="nil"/>
              <w:tr2bl w:val="nil"/>
            </w:tcBorders>
            <w:vAlign w:val="center"/>
          </w:tcPr>
          <w:p w14:paraId="30A74C1B">
            <w:pPr>
              <w:pStyle w:val="41"/>
              <w:rPr>
                <w:rFonts w:hint="default" w:ascii="Times New Roman" w:hAnsi="Times New Roman" w:cs="Times New Roman"/>
                <w:color w:val="auto"/>
                <w:u w:val="none"/>
              </w:rPr>
            </w:pPr>
            <w:r>
              <w:rPr>
                <w:rFonts w:hint="default" w:ascii="Times New Roman" w:hAnsi="Times New Roman" w:cs="Times New Roman"/>
                <w:color w:val="auto"/>
                <w:u w:val="none"/>
              </w:rPr>
              <w:t>pH3~4、CODcr＜300mg/L、总磷＜500mg/L、石油类＜15mg/L</w:t>
            </w:r>
          </w:p>
        </w:tc>
      </w:tr>
      <w:tr w14:paraId="01A735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93" w:type="pct"/>
            <w:tcBorders>
              <w:tl2br w:val="nil"/>
              <w:tr2bl w:val="nil"/>
            </w:tcBorders>
            <w:vAlign w:val="center"/>
          </w:tcPr>
          <w:p w14:paraId="1A518E16">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816" w:type="pct"/>
            <w:tcBorders>
              <w:tl2br w:val="nil"/>
              <w:tr2bl w:val="nil"/>
            </w:tcBorders>
            <w:vAlign w:val="center"/>
          </w:tcPr>
          <w:p w14:paraId="11ADC166">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785" w:type="pct"/>
            <w:tcBorders>
              <w:tl2br w:val="nil"/>
              <w:tr2bl w:val="nil"/>
            </w:tcBorders>
            <w:vAlign w:val="center"/>
          </w:tcPr>
          <w:p w14:paraId="7B62B7B9">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1.192</w:t>
            </w:r>
          </w:p>
        </w:tc>
        <w:tc>
          <w:tcPr>
            <w:tcW w:w="693" w:type="pct"/>
            <w:tcBorders>
              <w:tl2br w:val="nil"/>
              <w:tr2bl w:val="nil"/>
            </w:tcBorders>
            <w:vAlign w:val="center"/>
          </w:tcPr>
          <w:p w14:paraId="2D692E1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357.8</w:t>
            </w:r>
          </w:p>
        </w:tc>
        <w:tc>
          <w:tcPr>
            <w:tcW w:w="2211" w:type="pct"/>
            <w:tcBorders>
              <w:tl2br w:val="nil"/>
              <w:tr2bl w:val="nil"/>
            </w:tcBorders>
            <w:vAlign w:val="center"/>
          </w:tcPr>
          <w:p w14:paraId="22C29EA8">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pH5~6、CODcr＜500mg/L、总镍＜15mg/L；氨氮1.3mg/L</w:t>
            </w:r>
          </w:p>
        </w:tc>
      </w:tr>
      <w:tr w14:paraId="65C27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93" w:type="pct"/>
            <w:tcBorders>
              <w:tl2br w:val="nil"/>
              <w:tr2bl w:val="nil"/>
            </w:tcBorders>
            <w:vAlign w:val="center"/>
          </w:tcPr>
          <w:p w14:paraId="432E29CF">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816" w:type="pct"/>
            <w:tcBorders>
              <w:tl2br w:val="nil"/>
              <w:tr2bl w:val="nil"/>
            </w:tcBorders>
            <w:vAlign w:val="center"/>
          </w:tcPr>
          <w:p w14:paraId="5534F6D3">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785" w:type="pct"/>
            <w:tcBorders>
              <w:tl2br w:val="nil"/>
              <w:tr2bl w:val="nil"/>
            </w:tcBorders>
            <w:vAlign w:val="center"/>
          </w:tcPr>
          <w:p w14:paraId="0A58CAE1">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11.93</w:t>
            </w:r>
          </w:p>
        </w:tc>
        <w:tc>
          <w:tcPr>
            <w:tcW w:w="693" w:type="pct"/>
            <w:tcBorders>
              <w:tl2br w:val="nil"/>
              <w:tr2bl w:val="nil"/>
            </w:tcBorders>
            <w:vAlign w:val="center"/>
          </w:tcPr>
          <w:p w14:paraId="580EC5BC">
            <w:pPr>
              <w:pStyle w:val="41"/>
              <w:rPr>
                <w:rFonts w:hint="default" w:ascii="Times New Roman" w:hAnsi="Times New Roman" w:cs="Times New Roman"/>
                <w:color w:val="auto"/>
                <w:u w:val="none"/>
                <w:lang w:val="en-US"/>
              </w:rPr>
            </w:pPr>
            <w:r>
              <w:rPr>
                <w:rFonts w:hint="eastAsia" w:cs="Times New Roman"/>
                <w:color w:val="auto"/>
                <w:u w:val="none"/>
                <w:lang w:val="en-US" w:eastAsia="zh-CN"/>
              </w:rPr>
              <w:t>3795</w:t>
            </w:r>
          </w:p>
        </w:tc>
        <w:tc>
          <w:tcPr>
            <w:tcW w:w="2211" w:type="pct"/>
            <w:tcBorders>
              <w:tl2br w:val="nil"/>
              <w:tr2bl w:val="nil"/>
            </w:tcBorders>
            <w:vAlign w:val="center"/>
          </w:tcPr>
          <w:p w14:paraId="3A7FA581">
            <w:pPr>
              <w:pStyle w:val="41"/>
              <w:rPr>
                <w:rFonts w:hint="default" w:ascii="Times New Roman" w:hAnsi="Times New Roman" w:cs="Times New Roman"/>
                <w:color w:val="auto"/>
                <w:u w:val="none"/>
              </w:rPr>
            </w:pPr>
            <w:r>
              <w:rPr>
                <w:rFonts w:hint="default" w:ascii="Times New Roman" w:hAnsi="Times New Roman" w:cs="Times New Roman"/>
                <w:color w:val="auto"/>
                <w:u w:val="none"/>
              </w:rPr>
              <w:t>pH1~2、CODcr＜500mg/L、镍＜220mg/L、氨氮＜43.6mg/L</w:t>
            </w:r>
          </w:p>
        </w:tc>
      </w:tr>
      <w:tr w14:paraId="6EE5B9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3" w:hRule="atLeast"/>
        </w:trPr>
        <w:tc>
          <w:tcPr>
            <w:tcW w:w="493" w:type="pct"/>
            <w:tcBorders>
              <w:tl2br w:val="nil"/>
              <w:tr2bl w:val="nil"/>
            </w:tcBorders>
            <w:vAlign w:val="center"/>
          </w:tcPr>
          <w:p w14:paraId="1FD02A6E">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816" w:type="pct"/>
            <w:tcBorders>
              <w:tl2br w:val="nil"/>
              <w:tr2bl w:val="nil"/>
            </w:tcBorders>
            <w:vAlign w:val="center"/>
          </w:tcPr>
          <w:p w14:paraId="169F6537">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w:t>
            </w:r>
            <w:r>
              <w:rPr>
                <w:rFonts w:hint="eastAsia" w:cs="Times New Roman"/>
                <w:color w:val="auto"/>
                <w:u w:val="none"/>
                <w:lang w:val="en-US" w:eastAsia="zh-CN"/>
              </w:rPr>
              <w:t>废水</w:t>
            </w:r>
          </w:p>
        </w:tc>
        <w:tc>
          <w:tcPr>
            <w:tcW w:w="785" w:type="pct"/>
            <w:tcBorders>
              <w:tl2br w:val="nil"/>
              <w:tr2bl w:val="nil"/>
            </w:tcBorders>
            <w:vAlign w:val="center"/>
          </w:tcPr>
          <w:p w14:paraId="7CFAAFCE">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10.571</w:t>
            </w:r>
          </w:p>
        </w:tc>
        <w:tc>
          <w:tcPr>
            <w:tcW w:w="693" w:type="pct"/>
            <w:tcBorders>
              <w:tl2br w:val="nil"/>
              <w:tr2bl w:val="nil"/>
            </w:tcBorders>
            <w:vAlign w:val="center"/>
          </w:tcPr>
          <w:p w14:paraId="0EC06C8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3436</w:t>
            </w:r>
          </w:p>
        </w:tc>
        <w:tc>
          <w:tcPr>
            <w:tcW w:w="2211" w:type="pct"/>
            <w:tcBorders>
              <w:tl2br w:val="nil"/>
              <w:tr2bl w:val="nil"/>
            </w:tcBorders>
            <w:vAlign w:val="center"/>
          </w:tcPr>
          <w:p w14:paraId="6590E620">
            <w:pPr>
              <w:pStyle w:val="41"/>
              <w:rPr>
                <w:rFonts w:hint="default" w:ascii="Times New Roman" w:hAnsi="Times New Roman" w:cs="Times New Roman"/>
                <w:color w:val="auto"/>
                <w:u w:val="none"/>
              </w:rPr>
            </w:pPr>
            <w:r>
              <w:rPr>
                <w:rFonts w:hint="default" w:ascii="Times New Roman" w:hAnsi="Times New Roman" w:cs="Times New Roman"/>
                <w:color w:val="auto"/>
                <w:u w:val="none"/>
              </w:rPr>
              <w:t>pH1~2、CODcr＜300mg/L、总磷＜268.9g/L、石油类＜30mg/L</w:t>
            </w:r>
          </w:p>
        </w:tc>
      </w:tr>
      <w:tr w14:paraId="33B85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493" w:type="pct"/>
            <w:tcBorders>
              <w:tl2br w:val="nil"/>
              <w:tr2bl w:val="nil"/>
            </w:tcBorders>
            <w:vAlign w:val="center"/>
          </w:tcPr>
          <w:p w14:paraId="2B80FB9E">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816" w:type="pct"/>
            <w:tcBorders>
              <w:tl2br w:val="nil"/>
              <w:tr2bl w:val="nil"/>
            </w:tcBorders>
            <w:vAlign w:val="center"/>
          </w:tcPr>
          <w:p w14:paraId="54BA11F4">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一般废水</w:t>
            </w:r>
          </w:p>
        </w:tc>
        <w:tc>
          <w:tcPr>
            <w:tcW w:w="785" w:type="pct"/>
            <w:tcBorders>
              <w:tl2br w:val="nil"/>
              <w:tr2bl w:val="nil"/>
            </w:tcBorders>
            <w:vAlign w:val="center"/>
          </w:tcPr>
          <w:p w14:paraId="679F75A7">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33.918</w:t>
            </w:r>
          </w:p>
        </w:tc>
        <w:tc>
          <w:tcPr>
            <w:tcW w:w="693" w:type="pct"/>
            <w:tcBorders>
              <w:tl2br w:val="nil"/>
              <w:tr2bl w:val="nil"/>
            </w:tcBorders>
            <w:vAlign w:val="center"/>
          </w:tcPr>
          <w:p w14:paraId="2912787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11162.51429</w:t>
            </w:r>
          </w:p>
        </w:tc>
        <w:tc>
          <w:tcPr>
            <w:tcW w:w="2211" w:type="pct"/>
            <w:tcBorders>
              <w:tl2br w:val="nil"/>
              <w:tr2bl w:val="nil"/>
            </w:tcBorders>
            <w:vAlign w:val="center"/>
          </w:tcPr>
          <w:p w14:paraId="4D8B176D">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pH5~6、CODcr＜300mg/L、SS200mg/L、石油类15mg/L、总氮＜300mg/L</w:t>
            </w:r>
          </w:p>
        </w:tc>
      </w:tr>
      <w:tr w14:paraId="3A6379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93" w:type="pct"/>
            <w:tcBorders>
              <w:tl2br w:val="nil"/>
              <w:tr2bl w:val="nil"/>
            </w:tcBorders>
            <w:vAlign w:val="center"/>
          </w:tcPr>
          <w:p w14:paraId="78432905">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6</w:t>
            </w:r>
          </w:p>
        </w:tc>
        <w:tc>
          <w:tcPr>
            <w:tcW w:w="816" w:type="pct"/>
            <w:tcBorders>
              <w:tl2br w:val="nil"/>
              <w:tr2bl w:val="nil"/>
            </w:tcBorders>
            <w:vAlign w:val="center"/>
          </w:tcPr>
          <w:p w14:paraId="33E786DB">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含油废液</w:t>
            </w:r>
          </w:p>
        </w:tc>
        <w:tc>
          <w:tcPr>
            <w:tcW w:w="785" w:type="pct"/>
            <w:tcBorders>
              <w:tl2br w:val="nil"/>
              <w:tr2bl w:val="nil"/>
            </w:tcBorders>
            <w:vAlign w:val="center"/>
          </w:tcPr>
          <w:p w14:paraId="295F72F8">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1.113</w:t>
            </w:r>
          </w:p>
        </w:tc>
        <w:tc>
          <w:tcPr>
            <w:tcW w:w="693" w:type="pct"/>
            <w:tcBorders>
              <w:tl2br w:val="nil"/>
              <w:tr2bl w:val="nil"/>
            </w:tcBorders>
            <w:vAlign w:val="center"/>
          </w:tcPr>
          <w:p w14:paraId="5639903B">
            <w:pPr>
              <w:pStyle w:val="41"/>
              <w:rPr>
                <w:rFonts w:hint="default" w:ascii="Times New Roman" w:hAnsi="Times New Roman" w:cs="Times New Roman"/>
                <w:color w:val="auto"/>
                <w:u w:val="none"/>
              </w:rPr>
            </w:pPr>
            <w:r>
              <w:rPr>
                <w:rFonts w:hint="eastAsia" w:cs="Times New Roman"/>
                <w:color w:val="auto"/>
                <w:u w:val="none"/>
                <w:lang w:val="en-US" w:eastAsia="zh-CN"/>
              </w:rPr>
              <w:t>334</w:t>
            </w:r>
          </w:p>
        </w:tc>
        <w:tc>
          <w:tcPr>
            <w:tcW w:w="2211" w:type="pct"/>
            <w:tcBorders>
              <w:tl2br w:val="nil"/>
              <w:tr2bl w:val="nil"/>
            </w:tcBorders>
            <w:vAlign w:val="center"/>
          </w:tcPr>
          <w:p w14:paraId="479DF2F7">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pH5~6、CODcr＜15000mg/、总氮＜50mg/L、总磷＜100mg/L、石油类100mg/L</w:t>
            </w:r>
          </w:p>
        </w:tc>
      </w:tr>
      <w:tr w14:paraId="22784B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493" w:type="pct"/>
            <w:tcBorders>
              <w:tl2br w:val="nil"/>
              <w:tr2bl w:val="nil"/>
            </w:tcBorders>
            <w:vAlign w:val="center"/>
          </w:tcPr>
          <w:p w14:paraId="68351FD9">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7</w:t>
            </w:r>
          </w:p>
        </w:tc>
        <w:tc>
          <w:tcPr>
            <w:tcW w:w="816" w:type="pct"/>
            <w:tcBorders>
              <w:tl2br w:val="nil"/>
              <w:tr2bl w:val="nil"/>
            </w:tcBorders>
            <w:vAlign w:val="center"/>
          </w:tcPr>
          <w:p w14:paraId="1C01737A">
            <w:pPr>
              <w:pStyle w:val="41"/>
              <w:rPr>
                <w:rFonts w:hint="default" w:ascii="Times New Roman" w:hAnsi="Times New Roman" w:cs="Times New Roman"/>
                <w:color w:val="auto"/>
                <w:u w:val="none"/>
              </w:rPr>
            </w:pPr>
            <w:r>
              <w:rPr>
                <w:rFonts w:hint="default" w:ascii="Times New Roman" w:hAnsi="Times New Roman" w:cs="Times New Roman"/>
                <w:color w:val="auto"/>
                <w:u w:val="none"/>
              </w:rPr>
              <w:t>碱废液</w:t>
            </w:r>
          </w:p>
        </w:tc>
        <w:tc>
          <w:tcPr>
            <w:tcW w:w="785" w:type="pct"/>
            <w:tcBorders>
              <w:tl2br w:val="nil"/>
              <w:tr2bl w:val="nil"/>
            </w:tcBorders>
            <w:vAlign w:val="center"/>
          </w:tcPr>
          <w:p w14:paraId="3ED96105">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8.435</w:t>
            </w:r>
          </w:p>
        </w:tc>
        <w:tc>
          <w:tcPr>
            <w:tcW w:w="693" w:type="pct"/>
            <w:tcBorders>
              <w:tl2br w:val="nil"/>
              <w:tr2bl w:val="nil"/>
            </w:tcBorders>
            <w:vAlign w:val="center"/>
          </w:tcPr>
          <w:p w14:paraId="58601BB8">
            <w:pPr>
              <w:pStyle w:val="41"/>
              <w:rPr>
                <w:rFonts w:hint="default" w:ascii="Times New Roman" w:hAnsi="Times New Roman" w:cs="Times New Roman"/>
                <w:color w:val="auto"/>
                <w:u w:val="none"/>
                <w:lang w:val="en-US"/>
              </w:rPr>
            </w:pPr>
            <w:r>
              <w:rPr>
                <w:rFonts w:hint="eastAsia" w:cs="Times New Roman"/>
                <w:color w:val="auto"/>
                <w:u w:val="none"/>
                <w:lang w:val="en-US" w:eastAsia="zh-CN"/>
              </w:rPr>
              <w:t>2019.4</w:t>
            </w:r>
          </w:p>
        </w:tc>
        <w:tc>
          <w:tcPr>
            <w:tcW w:w="2211" w:type="pct"/>
            <w:tcBorders>
              <w:tl2br w:val="nil"/>
              <w:tr2bl w:val="nil"/>
            </w:tcBorders>
            <w:vAlign w:val="center"/>
          </w:tcPr>
          <w:p w14:paraId="46041EEC">
            <w:pPr>
              <w:pStyle w:val="41"/>
              <w:rPr>
                <w:rFonts w:hint="default" w:ascii="Times New Roman" w:hAnsi="Times New Roman" w:cs="Times New Roman"/>
                <w:color w:val="auto"/>
                <w:u w:val="none"/>
              </w:rPr>
            </w:pPr>
            <w:r>
              <w:rPr>
                <w:rFonts w:hint="default" w:ascii="Times New Roman" w:hAnsi="Times New Roman" w:cs="Times New Roman"/>
                <w:color w:val="auto"/>
                <w:u w:val="none"/>
              </w:rPr>
              <w:t>pH12~13、CODcr＜600mg/L、SS200mg/L、石油类15mg/L</w:t>
            </w:r>
          </w:p>
        </w:tc>
      </w:tr>
      <w:tr w14:paraId="50E32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310" w:type="pct"/>
            <w:gridSpan w:val="2"/>
            <w:tcBorders>
              <w:tl2br w:val="nil"/>
              <w:tr2bl w:val="nil"/>
            </w:tcBorders>
            <w:vAlign w:val="center"/>
          </w:tcPr>
          <w:p w14:paraId="48AC5394">
            <w:pPr>
              <w:pStyle w:val="41"/>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785" w:type="pct"/>
            <w:tcBorders>
              <w:tl2br w:val="nil"/>
              <w:tr2bl w:val="nil"/>
            </w:tcBorders>
            <w:vAlign w:val="center"/>
          </w:tcPr>
          <w:p w14:paraId="471542D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67.647</w:t>
            </w:r>
          </w:p>
        </w:tc>
        <w:tc>
          <w:tcPr>
            <w:tcW w:w="693" w:type="pct"/>
            <w:tcBorders>
              <w:tl2br w:val="nil"/>
              <w:tr2bl w:val="nil"/>
            </w:tcBorders>
            <w:vAlign w:val="center"/>
          </w:tcPr>
          <w:p w14:paraId="76E410A2">
            <w:pPr>
              <w:pStyle w:val="41"/>
              <w:rPr>
                <w:rFonts w:hint="default" w:ascii="Times New Roman" w:hAnsi="Times New Roman" w:eastAsia="宋体" w:cs="Times New Roman"/>
                <w:color w:val="auto"/>
                <w:u w:val="none"/>
                <w:lang w:val="en-US" w:eastAsia="zh-CN"/>
              </w:rPr>
            </w:pPr>
            <w:r>
              <w:rPr>
                <w:rFonts w:hint="eastAsia" w:ascii="Times New Roman" w:hAnsi="Times New Roman" w:cs="Times New Roman"/>
                <w:color w:val="auto"/>
                <w:kern w:val="0"/>
                <w:u w:val="none"/>
                <w:lang w:val="en-US" w:eastAsia="zh-CN"/>
              </w:rPr>
              <w:t>13515.914</w:t>
            </w:r>
          </w:p>
        </w:tc>
        <w:tc>
          <w:tcPr>
            <w:tcW w:w="2211" w:type="pct"/>
            <w:tcBorders>
              <w:tl2br w:val="nil"/>
              <w:tr2bl w:val="nil"/>
            </w:tcBorders>
            <w:vAlign w:val="center"/>
          </w:tcPr>
          <w:p w14:paraId="30C82F76">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215A38F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（3）纯水制备废水</w:t>
      </w:r>
    </w:p>
    <w:p w14:paraId="38224698">
      <w:pPr>
        <w:bidi w:val="0"/>
        <w:rPr>
          <w:rFonts w:hint="default" w:ascii="Times New Roman" w:hAnsi="Times New Roman" w:eastAsia="宋体" w:cs="Times New Roman"/>
          <w:color w:val="auto"/>
          <w:u w:val="none"/>
          <w:lang w:eastAsia="zh-CN"/>
        </w:rPr>
      </w:pPr>
      <w:r>
        <w:rPr>
          <w:rFonts w:hint="default" w:ascii="Times New Roman" w:hAnsi="Times New Roman" w:cs="Times New Roman"/>
          <w:color w:val="auto"/>
          <w:u w:val="none"/>
        </w:rPr>
        <w:t>项目阳极氧化自动生产线运行过程需用纯水，项目设置1套纯水制备系统供应生产用纯水，纯水制备</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自来水</w:t>
      </w:r>
      <w:r>
        <w:rPr>
          <w:rFonts w:hint="default" w:ascii="Times New Roman" w:hAnsi="Times New Roman" w:cs="Times New Roman"/>
          <w:color w:val="auto"/>
          <w:u w:val="none"/>
        </w:rPr>
        <w:t>采用过滤器</w:t>
      </w:r>
      <w:r>
        <w:rPr>
          <w:rFonts w:hint="default" w:ascii="Times New Roman" w:hAnsi="Times New Roman" w:cs="Times New Roman"/>
          <w:color w:val="auto"/>
          <w:u w:val="none"/>
          <w:lang w:val="en-US" w:eastAsia="zh-CN"/>
        </w:rPr>
        <w:t>+一级</w:t>
      </w:r>
      <w:r>
        <w:rPr>
          <w:rFonts w:hint="default" w:ascii="Times New Roman" w:hAnsi="Times New Roman" w:cs="Times New Roman"/>
          <w:color w:val="auto"/>
          <w:u w:val="none"/>
        </w:rPr>
        <w:t>RO工艺</w:t>
      </w:r>
      <w:r>
        <w:rPr>
          <w:rFonts w:hint="default" w:ascii="Times New Roman" w:hAnsi="Times New Roman" w:cs="Times New Roman"/>
          <w:color w:val="auto"/>
          <w:u w:val="none"/>
          <w:lang w:val="en-US" w:eastAsia="zh-CN"/>
        </w:rPr>
        <w:t>进行制备纯水</w:t>
      </w:r>
      <w:r>
        <w:rPr>
          <w:rFonts w:hint="default" w:ascii="Times New Roman" w:hAnsi="Times New Roman" w:cs="Times New Roman"/>
          <w:color w:val="auto"/>
          <w:u w:val="none"/>
        </w:rPr>
        <w:t>，</w:t>
      </w:r>
      <w:r>
        <w:rPr>
          <w:rFonts w:hint="default" w:ascii="Times New Roman" w:hAnsi="Times New Roman" w:cs="Times New Roman"/>
          <w:color w:val="auto"/>
          <w:u w:val="none"/>
          <w:lang w:val="en-US" w:eastAsia="zh-CN"/>
        </w:rPr>
        <w:t>该工艺产生的浓水经RO工艺回收后，产生的浓水用于绿化和员工冲厕</w:t>
      </w:r>
      <w:r>
        <w:rPr>
          <w:rFonts w:hint="default" w:ascii="Times New Roman" w:hAnsi="Times New Roman" w:cs="Times New Roman"/>
          <w:color w:val="auto"/>
          <w:u w:val="none"/>
        </w:rPr>
        <w:t>，</w:t>
      </w:r>
      <w:r>
        <w:rPr>
          <w:rFonts w:hint="default" w:ascii="Times New Roman" w:hAnsi="Times New Roman" w:cs="Times New Roman"/>
          <w:color w:val="auto"/>
          <w:u w:val="none"/>
          <w:lang w:val="en-US" w:eastAsia="zh-CN"/>
        </w:rPr>
        <w:t>经过上述工艺后，</w:t>
      </w:r>
      <w:r>
        <w:rPr>
          <w:rFonts w:hint="default" w:ascii="Times New Roman" w:hAnsi="Times New Roman" w:cs="Times New Roman"/>
          <w:color w:val="auto"/>
          <w:u w:val="none"/>
        </w:rPr>
        <w:t>浓水约占原水的10%。根据统计，项目纯水用量约</w:t>
      </w:r>
      <w:r>
        <w:rPr>
          <w:rFonts w:hint="eastAsia" w:ascii="Times New Roman" w:hAnsi="Times New Roman" w:cs="Times New Roman"/>
          <w:color w:val="auto"/>
          <w:u w:val="none"/>
          <w:lang w:val="en-US" w:eastAsia="zh-CN"/>
        </w:rPr>
        <w:t>14601</w:t>
      </w:r>
      <w:r>
        <w:rPr>
          <w:rFonts w:hint="default" w:ascii="Times New Roman" w:hAnsi="Times New Roman" w:cs="Times New Roman"/>
          <w:color w:val="auto"/>
          <w:u w:val="none"/>
        </w:rPr>
        <w:t>t/a，则项目纯水制备浓水产生量约</w:t>
      </w:r>
      <w:r>
        <w:rPr>
          <w:rFonts w:hint="eastAsia" w:ascii="Times New Roman" w:hAnsi="Times New Roman" w:cs="Times New Roman"/>
          <w:color w:val="auto"/>
          <w:u w:val="none"/>
          <w:lang w:val="en-US" w:eastAsia="zh-CN"/>
        </w:rPr>
        <w:t>1622.33</w:t>
      </w:r>
      <w:r>
        <w:rPr>
          <w:rFonts w:hint="default" w:ascii="Times New Roman" w:hAnsi="Times New Roman" w:cs="Times New Roman"/>
          <w:color w:val="auto"/>
          <w:u w:val="none"/>
        </w:rPr>
        <w:t>t/a。纯水制备废水污染程度较轻，主要含盐量较高，废水水质约：pH6~9、COD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＜100mg/L（按100mg/L计）、SS＜150mg/L、电导率750~1000us/cm。根据企业设计，本项目浓水</w:t>
      </w:r>
      <w:r>
        <w:rPr>
          <w:rFonts w:hint="eastAsia" w:ascii="Times New Roman" w:hAnsi="Times New Roman" w:cs="Times New Roman"/>
          <w:color w:val="auto"/>
          <w:u w:val="none"/>
          <w:lang w:val="en-US" w:eastAsia="zh-CN"/>
        </w:rPr>
        <w:t>排入市政污水管网</w:t>
      </w:r>
      <w:r>
        <w:rPr>
          <w:rFonts w:hint="default" w:ascii="Times New Roman" w:hAnsi="Times New Roman" w:cs="Times New Roman"/>
          <w:color w:val="auto"/>
          <w:u w:val="none"/>
        </w:rPr>
        <w:t>。</w:t>
      </w:r>
    </w:p>
    <w:p w14:paraId="641063FF">
      <w:pPr>
        <w:ind w:left="0" w:leftChars="0" w:firstLine="0" w:firstLineChars="0"/>
        <w:jc w:val="both"/>
        <w:rPr>
          <w:rFonts w:hint="default" w:ascii="Times New Roman" w:hAnsi="Times New Roman" w:eastAsia="宋体" w:cs="Times New Roman"/>
          <w:color w:val="FF0000"/>
          <w:u w:val="none"/>
          <w:lang w:eastAsia="zh-CN"/>
        </w:rPr>
      </w:pPr>
      <w:r>
        <w:drawing>
          <wp:anchor distT="0" distB="0" distL="114300" distR="114300" simplePos="0" relativeHeight="251831296" behindDoc="0" locked="0" layoutInCell="1" allowOverlap="1">
            <wp:simplePos x="0" y="0"/>
            <wp:positionH relativeFrom="column">
              <wp:posOffset>3171825</wp:posOffset>
            </wp:positionH>
            <wp:positionV relativeFrom="paragraph">
              <wp:posOffset>1842770</wp:posOffset>
            </wp:positionV>
            <wp:extent cx="886460" cy="314325"/>
            <wp:effectExtent l="0" t="0" r="8890" b="9525"/>
            <wp:wrapNone/>
            <wp:docPr id="1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pic:cNvPicPr>
                      <a:picLocks noChangeAspect="1"/>
                    </pic:cNvPicPr>
                  </pic:nvPicPr>
                  <pic:blipFill>
                    <a:blip r:embed="rId24"/>
                    <a:stretch>
                      <a:fillRect/>
                    </a:stretch>
                  </pic:blipFill>
                  <pic:spPr>
                    <a:xfrm>
                      <a:off x="0" y="0"/>
                      <a:ext cx="886460" cy="314325"/>
                    </a:xfrm>
                    <a:prstGeom prst="rect">
                      <a:avLst/>
                    </a:prstGeom>
                    <a:noFill/>
                    <a:ln>
                      <a:noFill/>
                    </a:ln>
                  </pic:spPr>
                </pic:pic>
              </a:graphicData>
            </a:graphic>
          </wp:anchor>
        </w:drawing>
      </w:r>
      <w:r>
        <w:rPr>
          <w:rFonts w:hint="default" w:ascii="Times New Roman" w:hAnsi="Times New Roman" w:eastAsia="宋体" w:cs="Times New Roman"/>
          <w:color w:val="FF0000"/>
          <w:u w:val="none"/>
          <w:lang w:eastAsia="zh-CN"/>
        </w:rPr>
        <w:drawing>
          <wp:inline distT="0" distB="0" distL="114300" distR="114300">
            <wp:extent cx="6054725" cy="2320290"/>
            <wp:effectExtent l="0" t="0" r="3175" b="0"/>
            <wp:docPr id="19"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1" descr="wps"/>
                    <pic:cNvPicPr>
                      <a:picLocks noChangeAspect="1"/>
                    </pic:cNvPicPr>
                  </pic:nvPicPr>
                  <pic:blipFill>
                    <a:blip r:embed="rId25"/>
                    <a:srcRect l="4676" t="9036" r="2338" b="4895"/>
                    <a:stretch>
                      <a:fillRect/>
                    </a:stretch>
                  </pic:blipFill>
                  <pic:spPr>
                    <a:xfrm>
                      <a:off x="0" y="0"/>
                      <a:ext cx="6054725" cy="2320290"/>
                    </a:xfrm>
                    <a:prstGeom prst="rect">
                      <a:avLst/>
                    </a:prstGeom>
                  </pic:spPr>
                </pic:pic>
              </a:graphicData>
            </a:graphic>
          </wp:inline>
        </w:drawing>
      </w:r>
    </w:p>
    <w:p w14:paraId="078BE523">
      <w:pPr>
        <w:ind w:firstLine="480"/>
        <w:jc w:val="center"/>
        <w:rPr>
          <w:rFonts w:hint="default" w:ascii="Times New Roman" w:hAnsi="Times New Roman" w:eastAsia="宋体" w:cs="Times New Roman"/>
          <w:b/>
          <w:bCs/>
          <w:color w:val="auto"/>
          <w:u w:val="none"/>
          <w:lang w:val="en-US" w:eastAsia="zh-CN"/>
        </w:rPr>
      </w:pPr>
      <w:r>
        <w:rPr>
          <w:rFonts w:hint="default" w:ascii="Times New Roman" w:hAnsi="Times New Roman" w:cs="Times New Roman"/>
          <w:b/>
          <w:bCs/>
          <w:color w:val="auto"/>
          <w:u w:val="none"/>
          <w:lang w:val="en-US" w:eastAsia="zh-CN"/>
        </w:rPr>
        <w:t xml:space="preserve">图4.6-1  </w:t>
      </w:r>
      <w:r>
        <w:rPr>
          <w:rStyle w:val="40"/>
          <w:rFonts w:hint="default" w:ascii="Times New Roman" w:hAnsi="Times New Roman" w:cs="Times New Roman"/>
          <w:b/>
          <w:bCs/>
          <w:color w:val="auto"/>
          <w:u w:val="none"/>
          <w:lang w:val="en-US" w:eastAsia="zh-CN"/>
        </w:rPr>
        <w:t>纯水制备工艺流程图</w:t>
      </w:r>
    </w:p>
    <w:p w14:paraId="3BDAD9F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（4）生产废水处理方式</w:t>
      </w:r>
    </w:p>
    <w:p w14:paraId="57D3848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设计，本项目运行过程产生的生产废水根据废水性质按含油废液、含镍废液、含镍废水、含铬废水、含磷废水（液）、碱废液、综合废水、酸雾吸收废水、纯水制备废水等进行分类收集处理。项目生产废水产生情况见下表。</w:t>
      </w:r>
    </w:p>
    <w:p w14:paraId="7A02CCB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表4.6-1</w:t>
      </w:r>
      <w:r>
        <w:rPr>
          <w:rFonts w:hint="eastAsia" w:cs="Times New Roman"/>
          <w:b/>
          <w:bCs/>
          <w:color w:val="auto"/>
          <w:u w:val="none"/>
          <w:lang w:val="en-US" w:eastAsia="zh-CN"/>
        </w:rPr>
        <w:t xml:space="preserve">1 </w:t>
      </w:r>
      <w:r>
        <w:rPr>
          <w:rFonts w:hint="default" w:ascii="Times New Roman" w:hAnsi="Times New Roman" w:cs="Times New Roman"/>
          <w:b/>
          <w:bCs/>
          <w:color w:val="auto"/>
          <w:u w:val="none"/>
        </w:rPr>
        <w:t xml:space="preserve"> 项目生产废水产生情况</w:t>
      </w:r>
    </w:p>
    <w:tbl>
      <w:tblPr>
        <w:tblStyle w:val="30"/>
        <w:tblW w:w="5073"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36"/>
        <w:gridCol w:w="683"/>
        <w:gridCol w:w="779"/>
        <w:gridCol w:w="948"/>
        <w:gridCol w:w="1434"/>
        <w:gridCol w:w="2724"/>
        <w:gridCol w:w="2605"/>
      </w:tblGrid>
      <w:tr w14:paraId="358C1D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50" w:type="pct"/>
            <w:vMerge w:val="restart"/>
            <w:tcBorders>
              <w:tl2br w:val="nil"/>
              <w:tr2bl w:val="nil"/>
            </w:tcBorders>
            <w:vAlign w:val="center"/>
          </w:tcPr>
          <w:p w14:paraId="5CC1C0A0">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797" w:type="pct"/>
            <w:gridSpan w:val="2"/>
            <w:vMerge w:val="restart"/>
            <w:tcBorders>
              <w:tl2br w:val="nil"/>
              <w:tr2bl w:val="nil"/>
            </w:tcBorders>
            <w:vAlign w:val="center"/>
          </w:tcPr>
          <w:p w14:paraId="0D762D1A">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废水类别</w:t>
            </w:r>
          </w:p>
        </w:tc>
        <w:tc>
          <w:tcPr>
            <w:tcW w:w="1084" w:type="pct"/>
            <w:gridSpan w:val="2"/>
            <w:tcBorders>
              <w:tl2br w:val="nil"/>
              <w:tr2bl w:val="nil"/>
            </w:tcBorders>
            <w:vAlign w:val="center"/>
          </w:tcPr>
          <w:p w14:paraId="4733A971">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废水产生量</w:t>
            </w:r>
          </w:p>
        </w:tc>
        <w:tc>
          <w:tcPr>
            <w:tcW w:w="1414" w:type="pct"/>
            <w:vMerge w:val="restart"/>
            <w:tcBorders>
              <w:tl2br w:val="nil"/>
              <w:tr2bl w:val="nil"/>
            </w:tcBorders>
            <w:vAlign w:val="center"/>
          </w:tcPr>
          <w:p w14:paraId="01F437A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污染物浓度</w:t>
            </w:r>
          </w:p>
        </w:tc>
        <w:tc>
          <w:tcPr>
            <w:tcW w:w="1353" w:type="pct"/>
            <w:vMerge w:val="restart"/>
            <w:tcBorders>
              <w:tl2br w:val="nil"/>
              <w:tr2bl w:val="nil"/>
            </w:tcBorders>
            <w:vAlign w:val="center"/>
          </w:tcPr>
          <w:p w14:paraId="7DE7D155">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收集处理分类</w:t>
            </w:r>
          </w:p>
        </w:tc>
      </w:tr>
      <w:tr w14:paraId="69AF63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50" w:type="pct"/>
            <w:vMerge w:val="continue"/>
            <w:tcBorders>
              <w:tl2br w:val="nil"/>
              <w:tr2bl w:val="nil"/>
            </w:tcBorders>
            <w:vAlign w:val="center"/>
          </w:tcPr>
          <w:p w14:paraId="6DA08A6C">
            <w:pPr>
              <w:pStyle w:val="41"/>
              <w:rPr>
                <w:rFonts w:hint="default" w:ascii="Times New Roman" w:hAnsi="Times New Roman" w:cs="Times New Roman"/>
                <w:color w:val="auto"/>
                <w:u w:val="none"/>
              </w:rPr>
            </w:pPr>
          </w:p>
        </w:tc>
        <w:tc>
          <w:tcPr>
            <w:tcW w:w="797" w:type="pct"/>
            <w:gridSpan w:val="2"/>
            <w:vMerge w:val="continue"/>
            <w:tcBorders>
              <w:tl2br w:val="nil"/>
              <w:tr2bl w:val="nil"/>
            </w:tcBorders>
            <w:vAlign w:val="center"/>
          </w:tcPr>
          <w:p w14:paraId="52060435">
            <w:pPr>
              <w:pStyle w:val="41"/>
              <w:rPr>
                <w:rFonts w:hint="default" w:ascii="Times New Roman" w:hAnsi="Times New Roman" w:cs="Times New Roman"/>
                <w:color w:val="auto"/>
                <w:u w:val="none"/>
              </w:rPr>
            </w:pPr>
          </w:p>
        </w:tc>
        <w:tc>
          <w:tcPr>
            <w:tcW w:w="509" w:type="pct"/>
            <w:tcBorders>
              <w:tl2br w:val="nil"/>
              <w:tr2bl w:val="nil"/>
            </w:tcBorders>
            <w:vAlign w:val="center"/>
          </w:tcPr>
          <w:p w14:paraId="261CC39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t/d(平均)</w:t>
            </w:r>
          </w:p>
        </w:tc>
        <w:tc>
          <w:tcPr>
            <w:tcW w:w="575" w:type="pct"/>
            <w:tcBorders>
              <w:tl2br w:val="nil"/>
              <w:tr2bl w:val="nil"/>
            </w:tcBorders>
            <w:vAlign w:val="center"/>
          </w:tcPr>
          <w:p w14:paraId="642F7C7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t/a</w:t>
            </w:r>
          </w:p>
        </w:tc>
        <w:tc>
          <w:tcPr>
            <w:tcW w:w="1414" w:type="pct"/>
            <w:vMerge w:val="continue"/>
            <w:tcBorders>
              <w:tl2br w:val="nil"/>
              <w:tr2bl w:val="nil"/>
            </w:tcBorders>
            <w:vAlign w:val="center"/>
          </w:tcPr>
          <w:p w14:paraId="2B7303CD">
            <w:pPr>
              <w:pStyle w:val="41"/>
              <w:rPr>
                <w:rFonts w:hint="default" w:ascii="Times New Roman" w:hAnsi="Times New Roman" w:cs="Times New Roman"/>
                <w:color w:val="auto"/>
                <w:u w:val="none"/>
              </w:rPr>
            </w:pPr>
          </w:p>
        </w:tc>
        <w:tc>
          <w:tcPr>
            <w:tcW w:w="1353" w:type="pct"/>
            <w:vMerge w:val="continue"/>
            <w:tcBorders>
              <w:tl2br w:val="nil"/>
              <w:tr2bl w:val="nil"/>
            </w:tcBorders>
            <w:vAlign w:val="center"/>
          </w:tcPr>
          <w:p w14:paraId="6AFE80FC">
            <w:pPr>
              <w:pStyle w:val="41"/>
              <w:rPr>
                <w:rFonts w:hint="default" w:ascii="Times New Roman" w:hAnsi="Times New Roman" w:cs="Times New Roman"/>
                <w:color w:val="auto"/>
                <w:u w:val="none"/>
              </w:rPr>
            </w:pPr>
          </w:p>
        </w:tc>
      </w:tr>
      <w:tr w14:paraId="57527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50" w:type="pct"/>
            <w:vMerge w:val="restart"/>
            <w:tcBorders>
              <w:tl2br w:val="nil"/>
              <w:tr2bl w:val="nil"/>
            </w:tcBorders>
            <w:vAlign w:val="center"/>
          </w:tcPr>
          <w:p w14:paraId="24CA6385">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374" w:type="pct"/>
            <w:vMerge w:val="restart"/>
            <w:tcBorders>
              <w:tl2br w:val="nil"/>
              <w:tr2bl w:val="nil"/>
            </w:tcBorders>
            <w:vAlign w:val="center"/>
          </w:tcPr>
          <w:p w14:paraId="3DF1A2D9">
            <w:pPr>
              <w:pStyle w:val="41"/>
              <w:rPr>
                <w:rFonts w:hint="default" w:ascii="Times New Roman" w:hAnsi="Times New Roman" w:cs="Times New Roman"/>
                <w:color w:val="auto"/>
                <w:u w:val="none"/>
              </w:rPr>
            </w:pPr>
            <w:r>
              <w:rPr>
                <w:rFonts w:hint="default" w:ascii="Times New Roman" w:hAnsi="Times New Roman" w:cs="Times New Roman"/>
                <w:color w:val="auto"/>
                <w:u w:val="none"/>
              </w:rPr>
              <w:t>铝阳极氧化线</w:t>
            </w:r>
          </w:p>
        </w:tc>
        <w:tc>
          <w:tcPr>
            <w:tcW w:w="423" w:type="pct"/>
            <w:tcBorders>
              <w:tl2br w:val="nil"/>
              <w:tr2bl w:val="nil"/>
            </w:tcBorders>
            <w:vAlign w:val="center"/>
          </w:tcPr>
          <w:p w14:paraId="59762390">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509" w:type="pct"/>
            <w:tcBorders>
              <w:tl2br w:val="nil"/>
              <w:tr2bl w:val="nil"/>
            </w:tcBorders>
            <w:vAlign w:val="center"/>
          </w:tcPr>
          <w:p w14:paraId="02F48FA8">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0.488</w:t>
            </w:r>
          </w:p>
        </w:tc>
        <w:tc>
          <w:tcPr>
            <w:tcW w:w="575" w:type="pct"/>
            <w:tcBorders>
              <w:tl2br w:val="nil"/>
              <w:tr2bl w:val="nil"/>
            </w:tcBorders>
            <w:vAlign w:val="center"/>
          </w:tcPr>
          <w:p w14:paraId="18D72080">
            <w:pPr>
              <w:pStyle w:val="39"/>
              <w:ind w:left="200" w:leftChars="0" w:firstLine="0" w:firstLineChars="0"/>
              <w:rPr>
                <w:rFonts w:hint="default" w:cs="Times New Roman"/>
                <w:color w:val="auto"/>
                <w:u w:val="none"/>
                <w:lang w:val="en-US" w:eastAsia="zh-CN"/>
              </w:rPr>
            </w:pPr>
            <w:r>
              <w:rPr>
                <w:rFonts w:hint="default" w:cs="Times New Roman"/>
                <w:color w:val="auto"/>
                <w:u w:val="none"/>
                <w:lang w:val="en-US" w:eastAsia="zh-CN"/>
              </w:rPr>
              <w:t>578.4</w:t>
            </w:r>
          </w:p>
        </w:tc>
        <w:tc>
          <w:tcPr>
            <w:tcW w:w="1414" w:type="pct"/>
            <w:tcBorders>
              <w:tl2br w:val="nil"/>
              <w:tr2bl w:val="nil"/>
            </w:tcBorders>
            <w:vAlign w:val="center"/>
          </w:tcPr>
          <w:p w14:paraId="698E5A20">
            <w:pPr>
              <w:pStyle w:val="41"/>
              <w:rPr>
                <w:rFonts w:hint="default" w:ascii="Times New Roman" w:hAnsi="Times New Roman" w:cs="Times New Roman"/>
                <w:color w:val="auto"/>
                <w:u w:val="none"/>
              </w:rPr>
            </w:pPr>
            <w:r>
              <w:rPr>
                <w:rFonts w:hint="default" w:ascii="Times New Roman" w:hAnsi="Times New Roman" w:cs="Times New Roman"/>
                <w:color w:val="auto"/>
                <w:u w:val="none"/>
              </w:rPr>
              <w:t>pH3~4、COD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＜300mg/L、总磷＜500mg/L、石油类＜15mg/L</w:t>
            </w:r>
          </w:p>
        </w:tc>
        <w:tc>
          <w:tcPr>
            <w:tcW w:w="1353" w:type="pct"/>
            <w:tcBorders>
              <w:tl2br w:val="nil"/>
              <w:tr2bl w:val="nil"/>
            </w:tcBorders>
            <w:vAlign w:val="center"/>
          </w:tcPr>
          <w:p w14:paraId="6321A108">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进入含磷废水（液）处理系统处理后，回用于生产不外排</w:t>
            </w:r>
          </w:p>
        </w:tc>
      </w:tr>
      <w:tr w14:paraId="1DE15B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50" w:type="pct"/>
            <w:vMerge w:val="continue"/>
            <w:tcBorders>
              <w:tl2br w:val="nil"/>
              <w:tr2bl w:val="nil"/>
            </w:tcBorders>
            <w:vAlign w:val="center"/>
          </w:tcPr>
          <w:p w14:paraId="506E874B">
            <w:pPr>
              <w:pStyle w:val="41"/>
              <w:rPr>
                <w:rFonts w:hint="default" w:ascii="Times New Roman" w:hAnsi="Times New Roman" w:cs="Times New Roman"/>
                <w:color w:val="auto"/>
                <w:u w:val="none"/>
              </w:rPr>
            </w:pPr>
          </w:p>
        </w:tc>
        <w:tc>
          <w:tcPr>
            <w:tcW w:w="374" w:type="pct"/>
            <w:vMerge w:val="continue"/>
            <w:tcBorders>
              <w:tl2br w:val="nil"/>
              <w:tr2bl w:val="nil"/>
            </w:tcBorders>
            <w:vAlign w:val="center"/>
          </w:tcPr>
          <w:p w14:paraId="18C0F23B">
            <w:pPr>
              <w:pStyle w:val="41"/>
              <w:rPr>
                <w:rFonts w:hint="default" w:ascii="Times New Roman" w:hAnsi="Times New Roman" w:cs="Times New Roman"/>
                <w:color w:val="auto"/>
                <w:u w:val="none"/>
              </w:rPr>
            </w:pPr>
          </w:p>
        </w:tc>
        <w:tc>
          <w:tcPr>
            <w:tcW w:w="423" w:type="pct"/>
            <w:tcBorders>
              <w:tl2br w:val="nil"/>
              <w:tr2bl w:val="nil"/>
            </w:tcBorders>
            <w:vAlign w:val="center"/>
          </w:tcPr>
          <w:p w14:paraId="5790AEE6">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509" w:type="pct"/>
            <w:tcBorders>
              <w:tl2br w:val="nil"/>
              <w:tr2bl w:val="nil"/>
            </w:tcBorders>
            <w:vAlign w:val="center"/>
          </w:tcPr>
          <w:p w14:paraId="7E398C97">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1.192</w:t>
            </w:r>
          </w:p>
        </w:tc>
        <w:tc>
          <w:tcPr>
            <w:tcW w:w="575" w:type="pct"/>
            <w:tcBorders>
              <w:tl2br w:val="nil"/>
              <w:tr2bl w:val="nil"/>
            </w:tcBorders>
            <w:vAlign w:val="center"/>
          </w:tcPr>
          <w:p w14:paraId="1FF063F3">
            <w:pPr>
              <w:pStyle w:val="39"/>
              <w:ind w:left="200" w:leftChars="0" w:firstLine="0" w:firstLineChars="0"/>
              <w:rPr>
                <w:rFonts w:hint="default" w:cs="Times New Roman"/>
                <w:color w:val="auto"/>
                <w:u w:val="none"/>
                <w:lang w:val="en-US" w:eastAsia="zh-CN"/>
              </w:rPr>
            </w:pPr>
            <w:r>
              <w:rPr>
                <w:rFonts w:hint="default" w:cs="Times New Roman"/>
                <w:color w:val="auto"/>
                <w:u w:val="none"/>
                <w:lang w:val="en-US" w:eastAsia="zh-CN"/>
              </w:rPr>
              <w:t>357.8</w:t>
            </w:r>
          </w:p>
        </w:tc>
        <w:tc>
          <w:tcPr>
            <w:tcW w:w="1414" w:type="pct"/>
            <w:tcBorders>
              <w:tl2br w:val="nil"/>
              <w:tr2bl w:val="nil"/>
            </w:tcBorders>
            <w:vAlign w:val="center"/>
          </w:tcPr>
          <w:p w14:paraId="0764165C">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＜500mg/L、总镍＜15mg/L；氨氮1.3mg/L</w:t>
            </w:r>
          </w:p>
        </w:tc>
        <w:tc>
          <w:tcPr>
            <w:tcW w:w="1353" w:type="pct"/>
            <w:tcBorders>
              <w:tl2br w:val="nil"/>
              <w:tr2bl w:val="nil"/>
            </w:tcBorders>
            <w:vAlign w:val="center"/>
          </w:tcPr>
          <w:p w14:paraId="6655A189">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进入含镍废液处理系统后，回用于生产不外排</w:t>
            </w:r>
          </w:p>
        </w:tc>
      </w:tr>
      <w:tr w14:paraId="548309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50" w:type="pct"/>
            <w:vMerge w:val="continue"/>
            <w:tcBorders>
              <w:tl2br w:val="nil"/>
              <w:tr2bl w:val="nil"/>
            </w:tcBorders>
            <w:vAlign w:val="center"/>
          </w:tcPr>
          <w:p w14:paraId="46FB610E">
            <w:pPr>
              <w:pStyle w:val="41"/>
              <w:rPr>
                <w:rFonts w:hint="default" w:ascii="Times New Roman" w:hAnsi="Times New Roman" w:cs="Times New Roman"/>
                <w:color w:val="auto"/>
                <w:u w:val="none"/>
              </w:rPr>
            </w:pPr>
          </w:p>
        </w:tc>
        <w:tc>
          <w:tcPr>
            <w:tcW w:w="374" w:type="pct"/>
            <w:vMerge w:val="continue"/>
            <w:tcBorders>
              <w:tl2br w:val="nil"/>
              <w:tr2bl w:val="nil"/>
            </w:tcBorders>
            <w:vAlign w:val="center"/>
          </w:tcPr>
          <w:p w14:paraId="2272566E">
            <w:pPr>
              <w:pStyle w:val="41"/>
              <w:rPr>
                <w:rFonts w:hint="default" w:ascii="Times New Roman" w:hAnsi="Times New Roman" w:cs="Times New Roman"/>
                <w:color w:val="auto"/>
                <w:u w:val="none"/>
              </w:rPr>
            </w:pPr>
          </w:p>
        </w:tc>
        <w:tc>
          <w:tcPr>
            <w:tcW w:w="423" w:type="pct"/>
            <w:tcBorders>
              <w:tl2br w:val="nil"/>
              <w:tr2bl w:val="nil"/>
            </w:tcBorders>
            <w:vAlign w:val="center"/>
          </w:tcPr>
          <w:p w14:paraId="520AF1F7">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509" w:type="pct"/>
            <w:tcBorders>
              <w:tl2br w:val="nil"/>
              <w:tr2bl w:val="nil"/>
            </w:tcBorders>
            <w:vAlign w:val="center"/>
          </w:tcPr>
          <w:p w14:paraId="705BD9BE">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11.93</w:t>
            </w:r>
          </w:p>
        </w:tc>
        <w:tc>
          <w:tcPr>
            <w:tcW w:w="575" w:type="pct"/>
            <w:tcBorders>
              <w:tl2br w:val="nil"/>
              <w:tr2bl w:val="nil"/>
            </w:tcBorders>
            <w:vAlign w:val="center"/>
          </w:tcPr>
          <w:p w14:paraId="189557B9">
            <w:pPr>
              <w:pStyle w:val="39"/>
              <w:ind w:left="200" w:leftChars="0" w:firstLine="0" w:firstLineChars="0"/>
              <w:rPr>
                <w:rFonts w:hint="default" w:cs="Times New Roman"/>
                <w:color w:val="auto"/>
                <w:u w:val="none"/>
                <w:lang w:val="en-US" w:eastAsia="zh-CN"/>
              </w:rPr>
            </w:pPr>
            <w:r>
              <w:rPr>
                <w:rFonts w:hint="default" w:cs="Times New Roman"/>
                <w:color w:val="auto"/>
                <w:u w:val="none"/>
                <w:lang w:val="en-US" w:eastAsia="zh-CN"/>
              </w:rPr>
              <w:t>3795</w:t>
            </w:r>
          </w:p>
        </w:tc>
        <w:tc>
          <w:tcPr>
            <w:tcW w:w="1414" w:type="pct"/>
            <w:tcBorders>
              <w:tl2br w:val="nil"/>
              <w:tr2bl w:val="nil"/>
            </w:tcBorders>
            <w:vAlign w:val="center"/>
          </w:tcPr>
          <w:p w14:paraId="3BD55C90">
            <w:pPr>
              <w:pStyle w:val="41"/>
              <w:rPr>
                <w:rFonts w:hint="default" w:ascii="Times New Roman" w:hAnsi="Times New Roman" w:cs="Times New Roman"/>
                <w:color w:val="auto"/>
                <w:u w:val="none"/>
              </w:rPr>
            </w:pPr>
            <w:r>
              <w:rPr>
                <w:rFonts w:hint="default" w:ascii="Times New Roman" w:hAnsi="Times New Roman" w:cs="Times New Roman"/>
                <w:color w:val="auto"/>
                <w:u w:val="none"/>
              </w:rPr>
              <w:t>pH1~2、COD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＜500mg/L、总镍＜220mg/L，氨氮＜43.6mg/L</w:t>
            </w:r>
          </w:p>
        </w:tc>
        <w:tc>
          <w:tcPr>
            <w:tcW w:w="1353" w:type="pct"/>
            <w:tcBorders>
              <w:tl2br w:val="nil"/>
              <w:tr2bl w:val="nil"/>
            </w:tcBorders>
            <w:vAlign w:val="center"/>
          </w:tcPr>
          <w:p w14:paraId="60D0E42F">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进入含镍废水处理系统后，回用于生产不外排</w:t>
            </w:r>
          </w:p>
        </w:tc>
      </w:tr>
      <w:tr w14:paraId="7F50B7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350" w:type="pct"/>
            <w:vMerge w:val="continue"/>
            <w:tcBorders>
              <w:tl2br w:val="nil"/>
              <w:tr2bl w:val="nil"/>
            </w:tcBorders>
            <w:vAlign w:val="center"/>
          </w:tcPr>
          <w:p w14:paraId="4BBA4069">
            <w:pPr>
              <w:pStyle w:val="41"/>
              <w:rPr>
                <w:rFonts w:hint="default" w:ascii="Times New Roman" w:hAnsi="Times New Roman" w:cs="Times New Roman"/>
                <w:color w:val="auto"/>
                <w:u w:val="none"/>
              </w:rPr>
            </w:pPr>
          </w:p>
        </w:tc>
        <w:tc>
          <w:tcPr>
            <w:tcW w:w="374" w:type="pct"/>
            <w:vMerge w:val="continue"/>
            <w:tcBorders>
              <w:tl2br w:val="nil"/>
              <w:tr2bl w:val="nil"/>
            </w:tcBorders>
            <w:vAlign w:val="center"/>
          </w:tcPr>
          <w:p w14:paraId="550366C4">
            <w:pPr>
              <w:pStyle w:val="41"/>
              <w:rPr>
                <w:rFonts w:hint="default" w:ascii="Times New Roman" w:hAnsi="Times New Roman" w:cs="Times New Roman"/>
                <w:color w:val="auto"/>
                <w:u w:val="none"/>
              </w:rPr>
            </w:pPr>
          </w:p>
        </w:tc>
        <w:tc>
          <w:tcPr>
            <w:tcW w:w="423" w:type="pct"/>
            <w:tcBorders>
              <w:tl2br w:val="nil"/>
              <w:tr2bl w:val="nil"/>
            </w:tcBorders>
            <w:vAlign w:val="center"/>
          </w:tcPr>
          <w:p w14:paraId="0D678625">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一般废水</w:t>
            </w:r>
          </w:p>
        </w:tc>
        <w:tc>
          <w:tcPr>
            <w:tcW w:w="509" w:type="pct"/>
            <w:tcBorders>
              <w:tl2br w:val="nil"/>
              <w:tr2bl w:val="nil"/>
            </w:tcBorders>
            <w:vAlign w:val="center"/>
          </w:tcPr>
          <w:p w14:paraId="7B7BB105">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33.918</w:t>
            </w:r>
          </w:p>
        </w:tc>
        <w:tc>
          <w:tcPr>
            <w:tcW w:w="575" w:type="pct"/>
            <w:tcBorders>
              <w:tl2br w:val="nil"/>
              <w:tr2bl w:val="nil"/>
            </w:tcBorders>
            <w:shd w:val="clear" w:color="auto" w:fill="auto"/>
            <w:vAlign w:val="center"/>
          </w:tcPr>
          <w:p w14:paraId="28650A1E">
            <w:pPr>
              <w:pStyle w:val="39"/>
              <w:ind w:left="200" w:leftChars="0" w:firstLine="0" w:firstLineChars="0"/>
              <w:rPr>
                <w:rFonts w:hint="default" w:cs="Times New Roman"/>
                <w:color w:val="auto"/>
                <w:u w:val="none"/>
                <w:lang w:val="en-US" w:eastAsia="zh-CN"/>
              </w:rPr>
            </w:pPr>
            <w:r>
              <w:rPr>
                <w:rFonts w:hint="default" w:cs="Times New Roman"/>
                <w:color w:val="auto"/>
                <w:u w:val="none"/>
                <w:lang w:val="en-US" w:eastAsia="zh-CN"/>
              </w:rPr>
              <w:t>11162.51429</w:t>
            </w:r>
          </w:p>
        </w:tc>
        <w:tc>
          <w:tcPr>
            <w:tcW w:w="1414" w:type="pct"/>
            <w:tcBorders>
              <w:tl2br w:val="nil"/>
              <w:tr2bl w:val="nil"/>
            </w:tcBorders>
            <w:vAlign w:val="center"/>
          </w:tcPr>
          <w:p w14:paraId="238B6225">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＜300mg/L、SS200mg/L、石油类15mg/L、总氮＜300mg/L</w:t>
            </w:r>
          </w:p>
        </w:tc>
        <w:tc>
          <w:tcPr>
            <w:tcW w:w="1353" w:type="pct"/>
            <w:tcBorders>
              <w:tl2br w:val="nil"/>
              <w:tr2bl w:val="nil"/>
            </w:tcBorders>
            <w:vAlign w:val="center"/>
          </w:tcPr>
          <w:p w14:paraId="01808007">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进入综合污水处理系统处理后，达到相应标准后，进入市政污水管网</w:t>
            </w:r>
          </w:p>
        </w:tc>
      </w:tr>
      <w:tr w14:paraId="71FC58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16" w:hRule="atLeast"/>
        </w:trPr>
        <w:tc>
          <w:tcPr>
            <w:tcW w:w="350" w:type="pct"/>
            <w:vMerge w:val="continue"/>
            <w:tcBorders>
              <w:tl2br w:val="nil"/>
              <w:tr2bl w:val="nil"/>
            </w:tcBorders>
            <w:vAlign w:val="center"/>
          </w:tcPr>
          <w:p w14:paraId="2B700A53">
            <w:pPr>
              <w:pStyle w:val="41"/>
              <w:rPr>
                <w:rFonts w:hint="default" w:ascii="Times New Roman" w:hAnsi="Times New Roman" w:cs="Times New Roman"/>
                <w:color w:val="auto"/>
                <w:u w:val="none"/>
              </w:rPr>
            </w:pPr>
          </w:p>
        </w:tc>
        <w:tc>
          <w:tcPr>
            <w:tcW w:w="374" w:type="pct"/>
            <w:vMerge w:val="continue"/>
            <w:tcBorders>
              <w:tl2br w:val="nil"/>
              <w:tr2bl w:val="nil"/>
            </w:tcBorders>
            <w:vAlign w:val="center"/>
          </w:tcPr>
          <w:p w14:paraId="35C4D4FD">
            <w:pPr>
              <w:pStyle w:val="41"/>
              <w:rPr>
                <w:rFonts w:hint="default" w:ascii="Times New Roman" w:hAnsi="Times New Roman" w:cs="Times New Roman"/>
                <w:color w:val="auto"/>
                <w:u w:val="none"/>
              </w:rPr>
            </w:pPr>
          </w:p>
        </w:tc>
        <w:tc>
          <w:tcPr>
            <w:tcW w:w="423" w:type="pct"/>
            <w:tcBorders>
              <w:tl2br w:val="nil"/>
              <w:tr2bl w:val="nil"/>
            </w:tcBorders>
            <w:vAlign w:val="center"/>
          </w:tcPr>
          <w:p w14:paraId="0FF09C2E">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w:t>
            </w:r>
            <w:r>
              <w:rPr>
                <w:rFonts w:hint="eastAsia" w:cs="Times New Roman"/>
                <w:color w:val="auto"/>
                <w:u w:val="none"/>
                <w:lang w:val="en-US" w:eastAsia="zh-CN"/>
              </w:rPr>
              <w:t>废水</w:t>
            </w:r>
          </w:p>
        </w:tc>
        <w:tc>
          <w:tcPr>
            <w:tcW w:w="509" w:type="pct"/>
            <w:tcBorders>
              <w:tl2br w:val="nil"/>
              <w:tr2bl w:val="nil"/>
            </w:tcBorders>
            <w:vAlign w:val="center"/>
          </w:tcPr>
          <w:p w14:paraId="12F1869E">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10.571</w:t>
            </w:r>
          </w:p>
        </w:tc>
        <w:tc>
          <w:tcPr>
            <w:tcW w:w="575" w:type="pct"/>
            <w:tcBorders>
              <w:tl2br w:val="nil"/>
              <w:tr2bl w:val="nil"/>
            </w:tcBorders>
            <w:vAlign w:val="center"/>
          </w:tcPr>
          <w:p w14:paraId="4992E41B">
            <w:pPr>
              <w:pStyle w:val="39"/>
              <w:ind w:left="200" w:leftChars="0" w:firstLine="0" w:firstLineChars="0"/>
              <w:rPr>
                <w:rFonts w:hint="default" w:cs="Times New Roman"/>
                <w:color w:val="auto"/>
                <w:u w:val="none"/>
                <w:lang w:val="en-US" w:eastAsia="zh-CN"/>
              </w:rPr>
            </w:pPr>
            <w:r>
              <w:rPr>
                <w:rFonts w:hint="eastAsia" w:cs="Times New Roman"/>
                <w:color w:val="auto"/>
                <w:u w:val="none"/>
                <w:lang w:val="en-US" w:eastAsia="zh-CN"/>
              </w:rPr>
              <w:t>3436</w:t>
            </w:r>
          </w:p>
        </w:tc>
        <w:tc>
          <w:tcPr>
            <w:tcW w:w="1414" w:type="pct"/>
            <w:tcBorders>
              <w:tl2br w:val="nil"/>
              <w:tr2bl w:val="nil"/>
            </w:tcBorders>
            <w:vAlign w:val="center"/>
          </w:tcPr>
          <w:p w14:paraId="11251709">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pH5~6、CODCr＜500mg/L、总铬＜6mg/L、三价铬＜0.75mg/L、SS＜500mg/L、总铜＜3.2mg/L、总氮＜140.5mg/L</w:t>
            </w:r>
          </w:p>
        </w:tc>
        <w:tc>
          <w:tcPr>
            <w:tcW w:w="1353" w:type="pct"/>
            <w:tcBorders>
              <w:tl2br w:val="nil"/>
              <w:tr2bl w:val="nil"/>
            </w:tcBorders>
            <w:vAlign w:val="center"/>
          </w:tcPr>
          <w:p w14:paraId="7F871A4E">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进入含铬</w:t>
            </w:r>
            <w:r>
              <w:rPr>
                <w:rFonts w:hint="eastAsia" w:cs="Times New Roman"/>
                <w:color w:val="auto"/>
                <w:u w:val="none"/>
                <w:lang w:val="en-US" w:eastAsia="zh-CN"/>
              </w:rPr>
              <w:t>废水</w:t>
            </w:r>
            <w:r>
              <w:rPr>
                <w:rFonts w:hint="default" w:ascii="Times New Roman" w:hAnsi="Times New Roman" w:cs="Times New Roman"/>
                <w:color w:val="auto"/>
                <w:u w:val="none"/>
              </w:rPr>
              <w:t>处理系统处理后，回用于生产不外排</w:t>
            </w:r>
          </w:p>
        </w:tc>
      </w:tr>
      <w:tr w14:paraId="710CB1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350" w:type="pct"/>
            <w:vMerge w:val="continue"/>
            <w:tcBorders>
              <w:tl2br w:val="nil"/>
              <w:tr2bl w:val="nil"/>
            </w:tcBorders>
            <w:vAlign w:val="center"/>
          </w:tcPr>
          <w:p w14:paraId="48995186">
            <w:pPr>
              <w:pStyle w:val="41"/>
              <w:rPr>
                <w:rFonts w:hint="default" w:ascii="Times New Roman" w:hAnsi="Times New Roman" w:cs="Times New Roman"/>
                <w:color w:val="auto"/>
                <w:u w:val="none"/>
              </w:rPr>
            </w:pPr>
          </w:p>
        </w:tc>
        <w:tc>
          <w:tcPr>
            <w:tcW w:w="374" w:type="pct"/>
            <w:vMerge w:val="continue"/>
            <w:tcBorders>
              <w:tl2br w:val="nil"/>
              <w:tr2bl w:val="nil"/>
            </w:tcBorders>
            <w:vAlign w:val="center"/>
          </w:tcPr>
          <w:p w14:paraId="284D1C3F">
            <w:pPr>
              <w:pStyle w:val="41"/>
              <w:rPr>
                <w:rFonts w:hint="default" w:ascii="Times New Roman" w:hAnsi="Times New Roman" w:cs="Times New Roman"/>
                <w:color w:val="auto"/>
                <w:u w:val="none"/>
              </w:rPr>
            </w:pPr>
          </w:p>
        </w:tc>
        <w:tc>
          <w:tcPr>
            <w:tcW w:w="423" w:type="pct"/>
            <w:tcBorders>
              <w:tl2br w:val="nil"/>
              <w:tr2bl w:val="nil"/>
            </w:tcBorders>
            <w:vAlign w:val="center"/>
          </w:tcPr>
          <w:p w14:paraId="2C42C5E8">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含油废液</w:t>
            </w:r>
          </w:p>
        </w:tc>
        <w:tc>
          <w:tcPr>
            <w:tcW w:w="509" w:type="pct"/>
            <w:tcBorders>
              <w:tl2br w:val="nil"/>
              <w:tr2bl w:val="nil"/>
            </w:tcBorders>
            <w:vAlign w:val="center"/>
          </w:tcPr>
          <w:p w14:paraId="50124BA7">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1.113</w:t>
            </w:r>
          </w:p>
        </w:tc>
        <w:tc>
          <w:tcPr>
            <w:tcW w:w="575" w:type="pct"/>
            <w:tcBorders>
              <w:tl2br w:val="nil"/>
              <w:tr2bl w:val="nil"/>
            </w:tcBorders>
            <w:vAlign w:val="center"/>
          </w:tcPr>
          <w:p w14:paraId="4B9EEE48">
            <w:pPr>
              <w:pStyle w:val="39"/>
              <w:ind w:left="200" w:leftChars="0" w:firstLine="0" w:firstLineChars="0"/>
              <w:rPr>
                <w:rFonts w:hint="default" w:cs="Times New Roman"/>
                <w:color w:val="auto"/>
                <w:u w:val="none"/>
                <w:lang w:val="en-US" w:eastAsia="zh-CN"/>
              </w:rPr>
            </w:pPr>
            <w:r>
              <w:rPr>
                <w:rFonts w:hint="eastAsia" w:cs="Times New Roman"/>
                <w:color w:val="auto"/>
                <w:u w:val="none"/>
                <w:lang w:val="en-US" w:eastAsia="zh-CN"/>
              </w:rPr>
              <w:t>334</w:t>
            </w:r>
          </w:p>
        </w:tc>
        <w:tc>
          <w:tcPr>
            <w:tcW w:w="1414" w:type="pct"/>
            <w:tcBorders>
              <w:tl2br w:val="nil"/>
              <w:tr2bl w:val="nil"/>
            </w:tcBorders>
            <w:vAlign w:val="center"/>
          </w:tcPr>
          <w:p w14:paraId="004AFEEE">
            <w:pPr>
              <w:pStyle w:val="41"/>
              <w:rPr>
                <w:rFonts w:hint="default" w:ascii="Times New Roman" w:hAnsi="Times New Roman" w:cs="Times New Roman"/>
                <w:color w:val="auto"/>
                <w:u w:val="none"/>
              </w:rPr>
            </w:pPr>
            <w:r>
              <w:rPr>
                <w:rFonts w:hint="default" w:ascii="Times New Roman" w:hAnsi="Times New Roman" w:cs="Times New Roman"/>
                <w:color w:val="auto"/>
                <w:u w:val="none"/>
              </w:rPr>
              <w:t>pH5~6、COD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＜15000mg/、总氮＜50mg/L、总磷＜100mg/L、石油类100mg/L</w:t>
            </w:r>
          </w:p>
        </w:tc>
        <w:tc>
          <w:tcPr>
            <w:tcW w:w="1353" w:type="pct"/>
            <w:tcBorders>
              <w:tl2br w:val="nil"/>
              <w:tr2bl w:val="nil"/>
            </w:tcBorders>
            <w:vAlign w:val="center"/>
          </w:tcPr>
          <w:p w14:paraId="704BA9BA">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含油废水预处理后，进入综合污水处理系统处理后，达到相应标准后，进入市政污水管网</w:t>
            </w:r>
          </w:p>
        </w:tc>
      </w:tr>
      <w:tr w14:paraId="7DE0A7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350" w:type="pct"/>
            <w:vMerge w:val="continue"/>
            <w:tcBorders>
              <w:tl2br w:val="nil"/>
              <w:tr2bl w:val="nil"/>
            </w:tcBorders>
            <w:vAlign w:val="center"/>
          </w:tcPr>
          <w:p w14:paraId="3374DAC2">
            <w:pPr>
              <w:pStyle w:val="41"/>
              <w:rPr>
                <w:rFonts w:hint="default" w:ascii="Times New Roman" w:hAnsi="Times New Roman" w:cs="Times New Roman"/>
                <w:color w:val="auto"/>
                <w:u w:val="none"/>
              </w:rPr>
            </w:pPr>
          </w:p>
        </w:tc>
        <w:tc>
          <w:tcPr>
            <w:tcW w:w="374" w:type="pct"/>
            <w:vMerge w:val="continue"/>
            <w:tcBorders>
              <w:tl2br w:val="nil"/>
              <w:tr2bl w:val="nil"/>
            </w:tcBorders>
            <w:vAlign w:val="center"/>
          </w:tcPr>
          <w:p w14:paraId="7C469DFC">
            <w:pPr>
              <w:pStyle w:val="41"/>
              <w:rPr>
                <w:rFonts w:hint="default" w:ascii="Times New Roman" w:hAnsi="Times New Roman" w:cs="Times New Roman"/>
                <w:color w:val="auto"/>
                <w:u w:val="none"/>
              </w:rPr>
            </w:pPr>
          </w:p>
        </w:tc>
        <w:tc>
          <w:tcPr>
            <w:tcW w:w="423" w:type="pct"/>
            <w:tcBorders>
              <w:tl2br w:val="nil"/>
              <w:tr2bl w:val="nil"/>
            </w:tcBorders>
            <w:vAlign w:val="center"/>
          </w:tcPr>
          <w:p w14:paraId="6298BF7A">
            <w:pPr>
              <w:pStyle w:val="41"/>
              <w:rPr>
                <w:rFonts w:hint="default" w:ascii="Times New Roman" w:hAnsi="Times New Roman" w:cs="Times New Roman"/>
                <w:color w:val="auto"/>
                <w:u w:val="none"/>
              </w:rPr>
            </w:pPr>
            <w:r>
              <w:rPr>
                <w:rFonts w:hint="default" w:ascii="Times New Roman" w:hAnsi="Times New Roman" w:cs="Times New Roman"/>
                <w:color w:val="auto"/>
                <w:u w:val="none"/>
              </w:rPr>
              <w:t>碱废液</w:t>
            </w:r>
          </w:p>
        </w:tc>
        <w:tc>
          <w:tcPr>
            <w:tcW w:w="509" w:type="pct"/>
            <w:tcBorders>
              <w:tl2br w:val="nil"/>
              <w:tr2bl w:val="nil"/>
            </w:tcBorders>
            <w:vAlign w:val="center"/>
          </w:tcPr>
          <w:p w14:paraId="2FCEF9CC">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8.435</w:t>
            </w:r>
          </w:p>
        </w:tc>
        <w:tc>
          <w:tcPr>
            <w:tcW w:w="575" w:type="pct"/>
            <w:tcBorders>
              <w:tl2br w:val="nil"/>
              <w:tr2bl w:val="nil"/>
            </w:tcBorders>
            <w:vAlign w:val="center"/>
          </w:tcPr>
          <w:p w14:paraId="6999925D">
            <w:pPr>
              <w:pStyle w:val="41"/>
              <w:rPr>
                <w:rFonts w:hint="default" w:ascii="Times New Roman" w:hAnsi="Times New Roman" w:cs="Times New Roman"/>
                <w:color w:val="auto"/>
                <w:u w:val="none"/>
                <w:lang w:val="en-US"/>
              </w:rPr>
            </w:pPr>
            <w:r>
              <w:rPr>
                <w:rFonts w:hint="eastAsia" w:cs="Times New Roman"/>
                <w:color w:val="auto"/>
                <w:u w:val="none"/>
                <w:lang w:val="en-US" w:eastAsia="zh-CN"/>
              </w:rPr>
              <w:t>2019.4</w:t>
            </w:r>
          </w:p>
        </w:tc>
        <w:tc>
          <w:tcPr>
            <w:tcW w:w="1414" w:type="pct"/>
            <w:tcBorders>
              <w:tl2br w:val="nil"/>
              <w:tr2bl w:val="nil"/>
            </w:tcBorders>
            <w:vAlign w:val="center"/>
          </w:tcPr>
          <w:p w14:paraId="37EC38E9">
            <w:pPr>
              <w:pStyle w:val="41"/>
              <w:rPr>
                <w:rFonts w:hint="default" w:ascii="Times New Roman" w:hAnsi="Times New Roman" w:cs="Times New Roman"/>
                <w:color w:val="auto"/>
                <w:u w:val="none"/>
              </w:rPr>
            </w:pPr>
            <w:r>
              <w:rPr>
                <w:rFonts w:hint="default" w:ascii="Times New Roman" w:hAnsi="Times New Roman" w:cs="Times New Roman"/>
                <w:color w:val="auto"/>
                <w:u w:val="none"/>
              </w:rPr>
              <w:t>pH12~13、COD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＜600mg/L、SS＜200mg/L、石油类15mg/L</w:t>
            </w:r>
          </w:p>
        </w:tc>
        <w:tc>
          <w:tcPr>
            <w:tcW w:w="1353" w:type="pct"/>
            <w:tcBorders>
              <w:tl2br w:val="nil"/>
              <w:tr2bl w:val="nil"/>
            </w:tcBorders>
            <w:vAlign w:val="center"/>
          </w:tcPr>
          <w:p w14:paraId="49A56B70">
            <w:pPr>
              <w:pStyle w:val="41"/>
              <w:rPr>
                <w:rFonts w:hint="default" w:ascii="Times New Roman" w:hAnsi="Times New Roman" w:cs="Times New Roman"/>
                <w:color w:val="auto"/>
                <w:u w:val="none"/>
              </w:rPr>
            </w:pPr>
            <w:r>
              <w:rPr>
                <w:rFonts w:hint="default" w:ascii="Times New Roman" w:hAnsi="Times New Roman" w:cs="Times New Roman"/>
                <w:color w:val="auto"/>
                <w:u w:val="none"/>
              </w:rPr>
              <w:t>中和调节池后，进入综合污水处理系统处理后，达到相应标准后，进入市政污水管网</w:t>
            </w:r>
          </w:p>
        </w:tc>
      </w:tr>
      <w:tr w14:paraId="2F529D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350" w:type="pct"/>
            <w:tcBorders>
              <w:tl2br w:val="nil"/>
              <w:tr2bl w:val="nil"/>
            </w:tcBorders>
            <w:vAlign w:val="center"/>
          </w:tcPr>
          <w:p w14:paraId="568FAAD1">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2</w:t>
            </w:r>
          </w:p>
        </w:tc>
        <w:tc>
          <w:tcPr>
            <w:tcW w:w="797" w:type="pct"/>
            <w:gridSpan w:val="2"/>
            <w:tcBorders>
              <w:tl2br w:val="nil"/>
              <w:tr2bl w:val="nil"/>
            </w:tcBorders>
            <w:vAlign w:val="center"/>
          </w:tcPr>
          <w:p w14:paraId="71D2163F">
            <w:pPr>
              <w:pStyle w:val="41"/>
              <w:rPr>
                <w:rFonts w:hint="default" w:ascii="Times New Roman" w:hAnsi="Times New Roman" w:cs="Times New Roman"/>
                <w:color w:val="auto"/>
                <w:u w:val="none"/>
              </w:rPr>
            </w:pPr>
            <w:r>
              <w:rPr>
                <w:rFonts w:hint="default" w:ascii="Times New Roman" w:hAnsi="Times New Roman" w:cs="Times New Roman"/>
                <w:color w:val="auto"/>
                <w:u w:val="none"/>
              </w:rPr>
              <w:t>酸雾喷淋废水</w:t>
            </w:r>
          </w:p>
        </w:tc>
        <w:tc>
          <w:tcPr>
            <w:tcW w:w="509" w:type="pct"/>
            <w:tcBorders>
              <w:tl2br w:val="nil"/>
              <w:tr2bl w:val="nil"/>
            </w:tcBorders>
            <w:vAlign w:val="center"/>
          </w:tcPr>
          <w:p w14:paraId="51D0CD5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0.08</w:t>
            </w:r>
          </w:p>
        </w:tc>
        <w:tc>
          <w:tcPr>
            <w:tcW w:w="575" w:type="pct"/>
            <w:tcBorders>
              <w:tl2br w:val="nil"/>
              <w:tr2bl w:val="nil"/>
            </w:tcBorders>
            <w:vAlign w:val="center"/>
          </w:tcPr>
          <w:p w14:paraId="2DCA571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24</w:t>
            </w:r>
          </w:p>
        </w:tc>
        <w:tc>
          <w:tcPr>
            <w:tcW w:w="1414" w:type="pct"/>
            <w:tcBorders>
              <w:tl2br w:val="nil"/>
              <w:tr2bl w:val="nil"/>
            </w:tcBorders>
            <w:vAlign w:val="center"/>
          </w:tcPr>
          <w:p w14:paraId="5A5A25E3">
            <w:pPr>
              <w:pStyle w:val="41"/>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pH1</w:t>
            </w:r>
            <w:r>
              <w:rPr>
                <w:rFonts w:hint="default" w:ascii="Times New Roman" w:hAnsi="Times New Roman" w:cs="Times New Roman"/>
                <w:color w:val="auto"/>
                <w:u w:val="none"/>
              </w:rPr>
              <w:t>0～</w:t>
            </w:r>
            <w:r>
              <w:rPr>
                <w:rFonts w:hint="default" w:ascii="Times New Roman" w:hAnsi="Times New Roman" w:eastAsia="Times New Roman" w:cs="Times New Roman"/>
                <w:color w:val="auto"/>
                <w:u w:val="none"/>
              </w:rPr>
              <w:t>1</w:t>
            </w:r>
            <w:r>
              <w:rPr>
                <w:rFonts w:hint="default" w:ascii="Times New Roman" w:hAnsi="Times New Roman" w:cs="Times New Roman"/>
                <w:color w:val="auto"/>
                <w:u w:val="none"/>
              </w:rPr>
              <w:t>1、盐份</w:t>
            </w:r>
          </w:p>
        </w:tc>
        <w:tc>
          <w:tcPr>
            <w:tcW w:w="1353" w:type="pct"/>
            <w:tcBorders>
              <w:tl2br w:val="nil"/>
              <w:tr2bl w:val="nil"/>
            </w:tcBorders>
            <w:vAlign w:val="center"/>
          </w:tcPr>
          <w:p w14:paraId="380C01EE">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进入综合污水处理系统处理后，达到相应标准后，进入市政污水管网</w:t>
            </w:r>
          </w:p>
        </w:tc>
      </w:tr>
    </w:tbl>
    <w:p w14:paraId="790E18C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废水排放要求，项目将配套建设生产废水处理设施，并建立分类收集处理系统。含镍废水、含镍废液、含铬废水、含磷废水经单独收集处理后用泵打至中水回用处理系统；含油废液、碱废液经预处理与综合废水一并综合废水处理系统处理达标后，通过生产废水排放口（DW002）排入市政污水管网。</w:t>
      </w:r>
    </w:p>
    <w:p w14:paraId="6B7DCBD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参照易亲浙江有限公司废水处理装置运行监测数据和同类型工艺分析可知，项目生产废水经预处理后能实现达标排放，各项指标可控制在：pH6~9、CODCr≤250mg/L、氨氮≤35mg/L、总氮≤40mg/L、总磷≤2.0mg/L、石油类≤2.0mg/L。</w:t>
      </w:r>
    </w:p>
    <w:bookmarkEnd w:id="99"/>
    <w:p w14:paraId="75ED5D40">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营运期噪声分析</w:t>
      </w:r>
    </w:p>
    <w:p w14:paraId="5E206F09">
      <w:pPr>
        <w:ind w:firstLine="480"/>
        <w:rPr>
          <w:rFonts w:hint="default" w:ascii="Times New Roman" w:hAnsi="Times New Roman" w:cs="Times New Roman"/>
          <w:color w:val="auto"/>
          <w:u w:val="none"/>
        </w:rPr>
      </w:pPr>
      <w:bookmarkStart w:id="100" w:name="_Toc288"/>
      <w:r>
        <w:rPr>
          <w:rFonts w:hint="default" w:ascii="Times New Roman" w:hAnsi="Times New Roman" w:cs="Times New Roman"/>
          <w:color w:val="auto"/>
          <w:u w:val="none"/>
        </w:rPr>
        <w:t>本项目噪声源主要为阳极自动线等设备产生的噪声。噪声源强一般在50~85dB（A）范围内。通过墙壁隔声、距离衰减等降噪措施可降噪10~15 dB（A），主要噪声源及源强见下表。</w:t>
      </w:r>
    </w:p>
    <w:p w14:paraId="0F6991D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表4.6-1</w:t>
      </w:r>
      <w:r>
        <w:rPr>
          <w:rFonts w:hint="eastAsia" w:cs="Times New Roman"/>
          <w:b/>
          <w:bCs/>
          <w:color w:val="auto"/>
          <w:u w:val="none"/>
          <w:lang w:val="en-US" w:eastAsia="zh-CN"/>
        </w:rPr>
        <w:t xml:space="preserve">2  </w:t>
      </w:r>
      <w:r>
        <w:rPr>
          <w:rFonts w:hint="default" w:ascii="Times New Roman" w:hAnsi="Times New Roman" w:cs="Times New Roman"/>
          <w:b/>
          <w:bCs/>
          <w:color w:val="auto"/>
          <w:u w:val="none"/>
        </w:rPr>
        <w:t xml:space="preserve"> 主要设备噪声源强一览表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38"/>
        <w:gridCol w:w="1731"/>
        <w:gridCol w:w="1280"/>
        <w:gridCol w:w="1359"/>
        <w:gridCol w:w="3040"/>
      </w:tblGrid>
      <w:tr w14:paraId="6A7FBF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Merge w:val="restart"/>
            <w:vAlign w:val="center"/>
          </w:tcPr>
          <w:p w14:paraId="54CEAF5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设备名称</w:t>
            </w:r>
          </w:p>
        </w:tc>
        <w:tc>
          <w:tcPr>
            <w:tcW w:w="879" w:type="pct"/>
            <w:vMerge w:val="restart"/>
            <w:vAlign w:val="center"/>
          </w:tcPr>
          <w:p w14:paraId="5B3C0AC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设备数量</w:t>
            </w:r>
          </w:p>
        </w:tc>
        <w:tc>
          <w:tcPr>
            <w:tcW w:w="1340" w:type="pct"/>
            <w:gridSpan w:val="2"/>
            <w:vAlign w:val="center"/>
          </w:tcPr>
          <w:p w14:paraId="6CC06DD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噪声源强dB(A)</w:t>
            </w:r>
          </w:p>
        </w:tc>
        <w:tc>
          <w:tcPr>
            <w:tcW w:w="1542" w:type="pct"/>
            <w:vMerge w:val="restart"/>
            <w:vAlign w:val="center"/>
          </w:tcPr>
          <w:p w14:paraId="1D7FED8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防治措施</w:t>
            </w:r>
          </w:p>
        </w:tc>
      </w:tr>
      <w:tr w14:paraId="0B4CE0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Merge w:val="continue"/>
            <w:vAlign w:val="center"/>
          </w:tcPr>
          <w:p w14:paraId="48AA7F82">
            <w:pPr>
              <w:pStyle w:val="41"/>
              <w:rPr>
                <w:rFonts w:hint="default" w:ascii="Times New Roman" w:hAnsi="Times New Roman" w:cs="Times New Roman"/>
                <w:color w:val="auto"/>
                <w:u w:val="none"/>
              </w:rPr>
            </w:pPr>
          </w:p>
        </w:tc>
        <w:tc>
          <w:tcPr>
            <w:tcW w:w="879" w:type="pct"/>
            <w:vMerge w:val="continue"/>
            <w:vAlign w:val="center"/>
          </w:tcPr>
          <w:p w14:paraId="6FDB8332">
            <w:pPr>
              <w:pStyle w:val="41"/>
              <w:rPr>
                <w:rFonts w:hint="default" w:ascii="Times New Roman" w:hAnsi="Times New Roman" w:cs="Times New Roman"/>
                <w:color w:val="auto"/>
                <w:u w:val="none"/>
              </w:rPr>
            </w:pPr>
          </w:p>
        </w:tc>
        <w:tc>
          <w:tcPr>
            <w:tcW w:w="650" w:type="pct"/>
            <w:vAlign w:val="center"/>
          </w:tcPr>
          <w:p w14:paraId="1635581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治理前</w:t>
            </w:r>
          </w:p>
        </w:tc>
        <w:tc>
          <w:tcPr>
            <w:tcW w:w="689" w:type="pct"/>
            <w:vAlign w:val="center"/>
          </w:tcPr>
          <w:p w14:paraId="6ABC537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治理后</w:t>
            </w:r>
          </w:p>
        </w:tc>
        <w:tc>
          <w:tcPr>
            <w:tcW w:w="1542" w:type="pct"/>
            <w:vMerge w:val="continue"/>
            <w:vAlign w:val="center"/>
          </w:tcPr>
          <w:p w14:paraId="622F2A8E">
            <w:pPr>
              <w:pStyle w:val="41"/>
              <w:rPr>
                <w:rFonts w:hint="default" w:ascii="Times New Roman" w:hAnsi="Times New Roman" w:cs="Times New Roman"/>
                <w:color w:val="auto"/>
                <w:u w:val="none"/>
              </w:rPr>
            </w:pPr>
          </w:p>
        </w:tc>
      </w:tr>
      <w:tr w14:paraId="54F7A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5"/>
            <w:vAlign w:val="center"/>
          </w:tcPr>
          <w:p w14:paraId="03A6643E">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阳极自动线</w:t>
            </w:r>
          </w:p>
        </w:tc>
      </w:tr>
      <w:tr w14:paraId="22AE3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Align w:val="center"/>
          </w:tcPr>
          <w:p w14:paraId="11C0337F">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自动阳极设备</w:t>
            </w:r>
          </w:p>
        </w:tc>
        <w:tc>
          <w:tcPr>
            <w:tcW w:w="879" w:type="pct"/>
            <w:vAlign w:val="center"/>
          </w:tcPr>
          <w:p w14:paraId="07B0C66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w:t>
            </w:r>
          </w:p>
        </w:tc>
        <w:tc>
          <w:tcPr>
            <w:tcW w:w="650" w:type="pct"/>
          </w:tcPr>
          <w:p w14:paraId="29F1AAA9">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65</w:t>
            </w:r>
          </w:p>
        </w:tc>
        <w:tc>
          <w:tcPr>
            <w:tcW w:w="689" w:type="pct"/>
            <w:vAlign w:val="center"/>
          </w:tcPr>
          <w:p w14:paraId="4A3FD04F">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50</w:t>
            </w:r>
          </w:p>
        </w:tc>
        <w:tc>
          <w:tcPr>
            <w:tcW w:w="1542" w:type="pct"/>
            <w:vAlign w:val="center"/>
          </w:tcPr>
          <w:p w14:paraId="5A57FE95">
            <w:pPr>
              <w:pStyle w:val="41"/>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厂房隔音、基础减震</w:t>
            </w:r>
          </w:p>
        </w:tc>
      </w:tr>
      <w:tr w14:paraId="3E790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Align w:val="center"/>
          </w:tcPr>
          <w:p w14:paraId="7DFD73D4">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酸碱废气处理设备</w:t>
            </w:r>
          </w:p>
        </w:tc>
        <w:tc>
          <w:tcPr>
            <w:tcW w:w="879" w:type="pct"/>
            <w:vAlign w:val="center"/>
          </w:tcPr>
          <w:p w14:paraId="170E107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w:t>
            </w:r>
          </w:p>
        </w:tc>
        <w:tc>
          <w:tcPr>
            <w:tcW w:w="650" w:type="pct"/>
          </w:tcPr>
          <w:p w14:paraId="6F460938">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70</w:t>
            </w:r>
          </w:p>
        </w:tc>
        <w:tc>
          <w:tcPr>
            <w:tcW w:w="689" w:type="pct"/>
            <w:vAlign w:val="center"/>
          </w:tcPr>
          <w:p w14:paraId="5563DC40">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55</w:t>
            </w:r>
          </w:p>
        </w:tc>
        <w:tc>
          <w:tcPr>
            <w:tcW w:w="1542" w:type="pct"/>
            <w:vAlign w:val="center"/>
          </w:tcPr>
          <w:p w14:paraId="373A5293">
            <w:pPr>
              <w:pStyle w:val="41"/>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厂房隔音、基础减震</w:t>
            </w:r>
          </w:p>
        </w:tc>
      </w:tr>
      <w:tr w14:paraId="0986EC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Align w:val="center"/>
          </w:tcPr>
          <w:p w14:paraId="7492F941">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纯水机</w:t>
            </w:r>
          </w:p>
        </w:tc>
        <w:tc>
          <w:tcPr>
            <w:tcW w:w="879" w:type="pct"/>
            <w:vAlign w:val="center"/>
          </w:tcPr>
          <w:p w14:paraId="5B2C690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w:t>
            </w:r>
          </w:p>
        </w:tc>
        <w:tc>
          <w:tcPr>
            <w:tcW w:w="650" w:type="pct"/>
          </w:tcPr>
          <w:p w14:paraId="70E8B490">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65</w:t>
            </w:r>
          </w:p>
        </w:tc>
        <w:tc>
          <w:tcPr>
            <w:tcW w:w="689" w:type="pct"/>
            <w:vAlign w:val="center"/>
          </w:tcPr>
          <w:p w14:paraId="66432E3A">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50</w:t>
            </w:r>
          </w:p>
        </w:tc>
        <w:tc>
          <w:tcPr>
            <w:tcW w:w="1542" w:type="pct"/>
            <w:vAlign w:val="center"/>
          </w:tcPr>
          <w:p w14:paraId="3BAB1927">
            <w:pPr>
              <w:pStyle w:val="41"/>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厂房隔音、基础减震</w:t>
            </w:r>
          </w:p>
        </w:tc>
      </w:tr>
      <w:tr w14:paraId="05FD4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Align w:val="center"/>
          </w:tcPr>
          <w:p w14:paraId="67E5F2A6">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冷冻机</w:t>
            </w:r>
          </w:p>
        </w:tc>
        <w:tc>
          <w:tcPr>
            <w:tcW w:w="879" w:type="pct"/>
            <w:vAlign w:val="center"/>
          </w:tcPr>
          <w:p w14:paraId="6160E00E">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650" w:type="pct"/>
          </w:tcPr>
          <w:p w14:paraId="1C82BD93">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70</w:t>
            </w:r>
          </w:p>
        </w:tc>
        <w:tc>
          <w:tcPr>
            <w:tcW w:w="689" w:type="pct"/>
            <w:vAlign w:val="center"/>
          </w:tcPr>
          <w:p w14:paraId="6D27764B">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55</w:t>
            </w:r>
          </w:p>
        </w:tc>
        <w:tc>
          <w:tcPr>
            <w:tcW w:w="1542" w:type="pct"/>
            <w:vAlign w:val="center"/>
          </w:tcPr>
          <w:p w14:paraId="13404305">
            <w:pPr>
              <w:pStyle w:val="41"/>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厂房隔音、基础减震</w:t>
            </w:r>
          </w:p>
        </w:tc>
      </w:tr>
      <w:tr w14:paraId="57DC5A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38" w:type="pct"/>
            <w:vAlign w:val="center"/>
          </w:tcPr>
          <w:p w14:paraId="2AD9C67D">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空压机</w:t>
            </w:r>
          </w:p>
        </w:tc>
        <w:tc>
          <w:tcPr>
            <w:tcW w:w="879" w:type="pct"/>
            <w:vAlign w:val="center"/>
          </w:tcPr>
          <w:p w14:paraId="2317034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w:t>
            </w:r>
          </w:p>
        </w:tc>
        <w:tc>
          <w:tcPr>
            <w:tcW w:w="650" w:type="pct"/>
          </w:tcPr>
          <w:p w14:paraId="2C7E96A0">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80</w:t>
            </w:r>
          </w:p>
        </w:tc>
        <w:tc>
          <w:tcPr>
            <w:tcW w:w="689" w:type="pct"/>
            <w:vAlign w:val="center"/>
          </w:tcPr>
          <w:p w14:paraId="75868D35">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65</w:t>
            </w:r>
          </w:p>
        </w:tc>
        <w:tc>
          <w:tcPr>
            <w:tcW w:w="1542" w:type="pct"/>
            <w:vAlign w:val="center"/>
          </w:tcPr>
          <w:p w14:paraId="3BC8C476">
            <w:pPr>
              <w:pStyle w:val="41"/>
              <w:rPr>
                <w:rFonts w:hint="default" w:ascii="Times New Roman" w:hAnsi="Times New Roman" w:eastAsia="宋体" w:cs="Times New Roman"/>
                <w:color w:val="auto"/>
                <w:u w:val="none"/>
                <w:lang w:val="en-US" w:eastAsia="zh-CN"/>
              </w:rPr>
            </w:pPr>
            <w:r>
              <w:rPr>
                <w:rFonts w:hint="default" w:ascii="Times New Roman" w:hAnsi="Times New Roman" w:eastAsia="宋体" w:cs="Times New Roman"/>
                <w:color w:val="auto"/>
                <w:u w:val="none"/>
                <w:lang w:val="en-US" w:eastAsia="zh-CN"/>
              </w:rPr>
              <w:t>厂房隔音、基础减震</w:t>
            </w:r>
          </w:p>
        </w:tc>
      </w:tr>
    </w:tbl>
    <w:p w14:paraId="5D6E3C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项目针对不同噪声源的特点，项目采用先进的低噪声设备，同时安装基础减震设施；合理规划在厂区位置，利用建筑隔声降低噪声；充分利用厂房建筑和设备互相隔声等措施降低噪声的产生和传播。</w:t>
      </w:r>
    </w:p>
    <w:p w14:paraId="7101F980">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营运期固体废物分析</w:t>
      </w:r>
      <w:bookmarkEnd w:id="100"/>
    </w:p>
    <w:p w14:paraId="4B07765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拟建项目产生的固废包括一般工业固废、危险废物、生活垃圾。其中一般工业固废包括纯水系统产生废活性炭、废RO反渗透膜、废包装袋</w:t>
      </w:r>
      <w:r>
        <w:rPr>
          <w:rFonts w:hint="default" w:ascii="Times New Roman" w:hAnsi="Times New Roman" w:cs="Times New Roman"/>
          <w:color w:val="auto"/>
          <w:u w:val="none"/>
          <w:lang w:val="zh-CN"/>
        </w:rPr>
        <w:t>；</w:t>
      </w:r>
      <w:r>
        <w:rPr>
          <w:rFonts w:hint="default" w:ascii="Times New Roman" w:hAnsi="Times New Roman" w:cs="Times New Roman"/>
          <w:color w:val="auto"/>
          <w:u w:val="none"/>
        </w:rPr>
        <w:t>危险废物包括危险化学品废包装、废槽渣、含磷废水处理系统浓缩液、含镍污泥、含铬污泥、含镍结晶盐、含铬结晶盐、中水回用和废水处理系统废RO反渗透膜、废滤芯、废机油等。</w:t>
      </w:r>
    </w:p>
    <w:p w14:paraId="76BD1B0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（1）生活垃圾</w:t>
      </w:r>
    </w:p>
    <w:p w14:paraId="01A3F41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本项目员工人数</w:t>
      </w:r>
      <w:r>
        <w:rPr>
          <w:rFonts w:hint="eastAsia" w:ascii="Times New Roman" w:hAnsi="Times New Roman" w:cs="Times New Roman"/>
          <w:color w:val="auto"/>
          <w:u w:val="none"/>
          <w:lang w:val="en-US" w:eastAsia="zh-CN"/>
        </w:rPr>
        <w:t>20</w:t>
      </w:r>
      <w:r>
        <w:rPr>
          <w:rFonts w:hint="default" w:ascii="Times New Roman" w:hAnsi="Times New Roman" w:cs="Times New Roman"/>
          <w:color w:val="auto"/>
          <w:u w:val="none"/>
        </w:rPr>
        <w:t>人，均</w:t>
      </w:r>
      <w:r>
        <w:rPr>
          <w:rFonts w:hint="eastAsia" w:ascii="Times New Roman" w:hAnsi="Times New Roman" w:cs="Times New Roman"/>
          <w:color w:val="auto"/>
          <w:u w:val="none"/>
          <w:lang w:val="en-US" w:eastAsia="zh-CN"/>
        </w:rPr>
        <w:t>不</w:t>
      </w:r>
      <w:r>
        <w:rPr>
          <w:rFonts w:hint="default" w:ascii="Times New Roman" w:hAnsi="Times New Roman" w:cs="Times New Roman"/>
          <w:color w:val="auto"/>
          <w:u w:val="none"/>
        </w:rPr>
        <w:t>在厂区食宿生活垃圾产生量以</w:t>
      </w:r>
      <w:r>
        <w:rPr>
          <w:rFonts w:hint="eastAsia" w:ascii="Times New Roman" w:hAnsi="Times New Roman" w:cs="Times New Roman"/>
          <w:color w:val="auto"/>
          <w:u w:val="none"/>
          <w:lang w:val="en-US" w:eastAsia="zh-CN"/>
        </w:rPr>
        <w:t>0.5</w:t>
      </w:r>
      <w:r>
        <w:rPr>
          <w:rFonts w:hint="default" w:ascii="Times New Roman" w:hAnsi="Times New Roman" w:cs="Times New Roman"/>
          <w:color w:val="auto"/>
          <w:u w:val="none"/>
        </w:rPr>
        <w:t>kg/d计，年工作</w:t>
      </w:r>
      <w:r>
        <w:rPr>
          <w:rFonts w:hint="eastAsia" w:ascii="Times New Roman" w:hAnsi="Times New Roman" w:cs="Times New Roman"/>
          <w:color w:val="auto"/>
          <w:u w:val="none"/>
          <w:lang w:val="en-US" w:eastAsia="zh-CN"/>
        </w:rPr>
        <w:t>300</w:t>
      </w:r>
      <w:r>
        <w:rPr>
          <w:rFonts w:hint="default" w:ascii="Times New Roman" w:hAnsi="Times New Roman" w:cs="Times New Roman"/>
          <w:color w:val="auto"/>
          <w:u w:val="none"/>
        </w:rPr>
        <w:t>天，则生活垃圾产生量约</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t/a（</w:t>
      </w:r>
      <w:r>
        <w:rPr>
          <w:rFonts w:hint="eastAsia" w:ascii="Times New Roman" w:hAnsi="Times New Roman" w:cs="Times New Roman"/>
          <w:color w:val="auto"/>
          <w:u w:val="none"/>
          <w:lang w:val="en-US" w:eastAsia="zh-CN"/>
        </w:rPr>
        <w:t>0.15</w:t>
      </w:r>
      <w:r>
        <w:rPr>
          <w:rFonts w:hint="default" w:ascii="Times New Roman" w:hAnsi="Times New Roman" w:cs="Times New Roman"/>
          <w:color w:val="auto"/>
          <w:u w:val="none"/>
        </w:rPr>
        <w:t>t/d），由环卫工人清运处理。</w:t>
      </w:r>
    </w:p>
    <w:p w14:paraId="5CECA9F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（2）一般工业固废</w:t>
      </w:r>
    </w:p>
    <w:p w14:paraId="1DADAD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①纯水系统废活性炭及废RO反渗透膜</w:t>
      </w:r>
    </w:p>
    <w:p w14:paraId="0B8C112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项目设有1套纯水制备系统，采用废活性炭及RO反渗透膜进行纯水制备。根据项目运营情况，每年更换2次，每次更换量约为</w:t>
      </w:r>
      <w:r>
        <w:rPr>
          <w:rFonts w:hint="eastAsia" w:ascii="Times New Roman" w:hAnsi="Times New Roman" w:cs="Times New Roman"/>
          <w:color w:val="auto"/>
          <w:u w:val="none"/>
          <w:lang w:val="en-US" w:eastAsia="zh-CN"/>
        </w:rPr>
        <w:t>0.2</w:t>
      </w:r>
      <w:r>
        <w:rPr>
          <w:rFonts w:hint="default" w:ascii="Times New Roman" w:hAnsi="Times New Roman" w:cs="Times New Roman"/>
          <w:color w:val="auto"/>
          <w:u w:val="none"/>
        </w:rPr>
        <w:t>吨，则每年产生废活性炭及废RO反渗透膜</w:t>
      </w:r>
      <w:r>
        <w:rPr>
          <w:rFonts w:hint="eastAsia" w:ascii="Times New Roman" w:hAnsi="Times New Roman" w:cs="Times New Roman"/>
          <w:color w:val="auto"/>
          <w:u w:val="none"/>
          <w:lang w:val="en-US" w:eastAsia="zh-CN"/>
        </w:rPr>
        <w:t>0.5</w:t>
      </w:r>
      <w:r>
        <w:rPr>
          <w:rFonts w:hint="default" w:ascii="Times New Roman" w:hAnsi="Times New Roman" w:cs="Times New Roman"/>
          <w:color w:val="auto"/>
          <w:u w:val="none"/>
        </w:rPr>
        <w:t>t/a，由设备的保养公司进行更换并回收处理。</w:t>
      </w:r>
    </w:p>
    <w:p w14:paraId="5B2C002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②废包装袋</w:t>
      </w:r>
    </w:p>
    <w:p w14:paraId="627E2D5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本项目原材料采购及使用过程中产生一定量的废包装材料，其中不沾染有毒有害物物质的废包装材料为一般固废，产生量为2.0t/a，收集后交由物资回收公司。</w:t>
      </w:r>
    </w:p>
    <w:p w14:paraId="71D38A1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（3）危险废物</w:t>
      </w:r>
    </w:p>
    <w:p w14:paraId="4950F77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①危险化学品废包装</w:t>
      </w:r>
    </w:p>
    <w:p w14:paraId="3EE62D1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危险化学品的废包装包括含镍化学品废包装桶(袋)、酸碱化学品废包装桶(袋)等，产生量约</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rPr>
        <w:t>t/a，根据根据《国家危险废物名录》(202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年版)，含镍、酸碱等危险化学品废包装物属于危险废物，危险类别为HW49(其他废物)，危险代码为900-401-49，分类收集后暂存于危废暂存间，定期委托资质单位集中处置。</w:t>
      </w:r>
    </w:p>
    <w:p w14:paraId="40BC342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②废槽渣</w:t>
      </w:r>
    </w:p>
    <w:p w14:paraId="08A24D5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各槽需定期清理槽渣，槽渣量共约</w:t>
      </w:r>
      <w:r>
        <w:rPr>
          <w:rFonts w:hint="eastAsia" w:ascii="Times New Roman" w:hAnsi="Times New Roman" w:cs="Times New Roman"/>
          <w:color w:val="auto"/>
          <w:u w:val="none"/>
          <w:lang w:val="en-US" w:eastAsia="zh-CN"/>
        </w:rPr>
        <w:t>0.8</w:t>
      </w:r>
      <w:r>
        <w:rPr>
          <w:rFonts w:hint="default" w:ascii="Times New Roman" w:hAnsi="Times New Roman" w:cs="Times New Roman"/>
          <w:color w:val="auto"/>
          <w:u w:val="none"/>
        </w:rPr>
        <w:t>t/a。槽渣属于《国家危险废物名录》(202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年版)中的类别“HW17表面处理废物，金属表面处理及热处理加工，336-064-17，其他电镀工艺产生的废液、槽渣和废水处理污泥”，经收集并用胶桶密封包装好后暂存于危废暂存间，定期委托资质单位集中处置。</w:t>
      </w:r>
    </w:p>
    <w:p w14:paraId="7F7D66D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③含磷废水处理系统浓缩液</w:t>
      </w:r>
    </w:p>
    <w:p w14:paraId="2EE9D7C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项目废水处理系统中的含磷废水处理系统蒸发过程中有一定量的浓缩液产生，根据水平衡浓缩液产生量为</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t/a。属于《国家危险废物名录》(202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年版)中的类别“HW17表面处理废物，金属表面处理及热处理加工，336-064-17，金属或塑料表面酸(碱)洗、除油、除锈、洗涤、磷化、出光、化抛工艺产生的废腐蚀液、废洗涤液、废槽液、槽渣和废水处理污泥”，经收集并用胶桶密封包装好后暂存于危废暂存间，定期委托资质单位集中处置。</w:t>
      </w:r>
    </w:p>
    <w:p w14:paraId="6AFFE51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④含镍（铬）污泥</w:t>
      </w:r>
    </w:p>
    <w:p w14:paraId="3124C09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项目废水处理过程中产生的含镍污泥</w:t>
      </w:r>
      <w:r>
        <w:rPr>
          <w:rFonts w:hint="eastAsia" w:ascii="Times New Roman" w:hAnsi="Times New Roman" w:cs="Times New Roman"/>
          <w:color w:val="auto"/>
          <w:u w:val="none"/>
          <w:lang w:val="en-US" w:eastAsia="zh-CN"/>
        </w:rPr>
        <w:t>21</w:t>
      </w:r>
      <w:r>
        <w:rPr>
          <w:rFonts w:hint="default" w:ascii="Times New Roman" w:hAnsi="Times New Roman" w:cs="Times New Roman"/>
          <w:color w:val="auto"/>
          <w:u w:val="none"/>
        </w:rPr>
        <w:t>t/a，含铬污泥</w:t>
      </w:r>
      <w:r>
        <w:rPr>
          <w:rFonts w:hint="eastAsia" w:ascii="Times New Roman" w:hAnsi="Times New Roman" w:cs="Times New Roman"/>
          <w:color w:val="auto"/>
          <w:u w:val="none"/>
          <w:lang w:val="en-US" w:eastAsia="zh-CN"/>
        </w:rPr>
        <w:t>5.1</w:t>
      </w:r>
      <w:r>
        <w:rPr>
          <w:rFonts w:hint="default" w:ascii="Times New Roman" w:hAnsi="Times New Roman" w:cs="Times New Roman"/>
          <w:color w:val="auto"/>
          <w:u w:val="none"/>
        </w:rPr>
        <w:t>t/a，含水率约为85%，经板框压滤机压滤后含水量约为60%，则污泥量为</w:t>
      </w:r>
      <w:r>
        <w:rPr>
          <w:rFonts w:hint="eastAsia" w:ascii="Times New Roman" w:hAnsi="Times New Roman" w:cs="Times New Roman"/>
          <w:color w:val="auto"/>
          <w:u w:val="none"/>
          <w:lang w:val="en-US" w:eastAsia="zh-CN"/>
        </w:rPr>
        <w:t>43.5</w:t>
      </w:r>
      <w:r>
        <w:rPr>
          <w:rFonts w:hint="default" w:ascii="Times New Roman" w:hAnsi="Times New Roman" w:cs="Times New Roman"/>
          <w:color w:val="auto"/>
          <w:u w:val="none"/>
        </w:rPr>
        <w:t>t/a。属于《国家危险废物名录》(202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年版)中的类别“HW17表面处理废物，金属表面处理及热处理加工，336-064-17，金属或塑料表面酸(碱)洗、除油、除锈、洗涤、磷化、出光、化抛工艺产生的废腐蚀液、废洗涤液、废槽液、槽渣和废水处理污泥”，经收集并用胶桶密封包装好后暂存于危废暂存间，定期委托资质单位集中处置。</w:t>
      </w:r>
    </w:p>
    <w:p w14:paraId="417E068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⑤含铬（镍）结晶盐</w:t>
      </w:r>
    </w:p>
    <w:p w14:paraId="1633FAD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废水处理采用了蒸发器处理，该过程产生结晶盐，含铬结晶盐产生量为</w:t>
      </w:r>
      <w:r>
        <w:rPr>
          <w:rFonts w:hint="eastAsia" w:ascii="Times New Roman" w:hAnsi="Times New Roman" w:cs="Times New Roman"/>
          <w:color w:val="auto"/>
          <w:u w:val="none"/>
          <w:lang w:val="en-US" w:eastAsia="zh-CN"/>
        </w:rPr>
        <w:t>4.2</w:t>
      </w:r>
      <w:r>
        <w:rPr>
          <w:rFonts w:hint="default" w:ascii="Times New Roman" w:hAnsi="Times New Roman" w:cs="Times New Roman"/>
          <w:color w:val="auto"/>
          <w:u w:val="none"/>
        </w:rPr>
        <w:t>t/a，含镍结晶盐产生为</w:t>
      </w:r>
      <w:r>
        <w:rPr>
          <w:rFonts w:hint="eastAsia" w:ascii="Times New Roman" w:hAnsi="Times New Roman" w:cs="Times New Roman"/>
          <w:color w:val="auto"/>
          <w:u w:val="none"/>
          <w:lang w:val="en-US" w:eastAsia="zh-CN"/>
        </w:rPr>
        <w:t>3.5</w:t>
      </w:r>
      <w:r>
        <w:rPr>
          <w:rFonts w:hint="default" w:ascii="Times New Roman" w:hAnsi="Times New Roman" w:cs="Times New Roman"/>
          <w:color w:val="auto"/>
          <w:u w:val="none"/>
        </w:rPr>
        <w:t>t/a。属于《国家危险废物名录》中的类别“HW17表面处理废物，金属表面处理及热处理加工，336-064-17，金属或塑料表面酸(碱)洗、除油、除锈、洗涤、磷化、出光、化抛工艺产生的废腐蚀液、废洗涤液、废槽液、槽渣和废水处理污泥”，经收集并用胶桶密封包装好后暂存于危废暂存间，定期委托资质单位集中处置。</w:t>
      </w:r>
    </w:p>
    <w:p w14:paraId="5B4266E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⑥中水回用、废水处理系统废RO反渗透膜</w:t>
      </w:r>
    </w:p>
    <w:p w14:paraId="357C92A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项目中水回用、废水处理系统系统运行过程，需根据滤膜等的使用情况进行不定期的更换，根据估算，项目中水回用、废水处理系统废RO反渗透膜等产生量约0.3t/a。对照《国家危险废物名录》属于危险废物(废物类别：HW49；废物代码：900-041-49)，经收集并用胶桶密封包装好后暂存于危废暂存间，定期委托资质单位集中处置。</w:t>
      </w:r>
    </w:p>
    <w:p w14:paraId="4CD7185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⑦废滤芯</w:t>
      </w:r>
    </w:p>
    <w:p w14:paraId="76232D8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槽液经长期使用后积累了许多杂质金属离子，为了控制槽液中的杂质在工艺的许可范围之内，槽液经过过滤系统过滤后，重新使用，定期更换滤芯，废滤芯产生量为0.</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t/a。根据《国家危险废物名录》，废滤芯属于危险废物，危险类别为HW49(其他废物)，危险代码为900-401-49，经收集后暂存于危废暂存间，定期委托资质单位集中处置。</w:t>
      </w:r>
    </w:p>
    <w:p w14:paraId="4E486FE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⑧废机油</w:t>
      </w:r>
    </w:p>
    <w:p w14:paraId="72A7492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项目设备定期保养过程中会产生少量的废机油，产生量约为</w:t>
      </w:r>
      <w:r>
        <w:rPr>
          <w:rFonts w:hint="eastAsia" w:ascii="Times New Roman" w:hAnsi="Times New Roman" w:cs="Times New Roman"/>
          <w:color w:val="auto"/>
          <w:u w:val="none"/>
          <w:lang w:val="en-US" w:eastAsia="zh-CN"/>
        </w:rPr>
        <w:t>0.5</w:t>
      </w:r>
      <w:r>
        <w:rPr>
          <w:rFonts w:hint="default" w:ascii="Times New Roman" w:hAnsi="Times New Roman" w:cs="Times New Roman"/>
          <w:color w:val="auto"/>
          <w:u w:val="none"/>
        </w:rPr>
        <w:t>t/a，定期委托有资质单位处置。对照《国家危险废物名录》，废机油属于危废(废物类别：HW08；废物代码：900-217-08)，经收集后暂存于危废暂存间，定期委托资质单位集中处置。</w:t>
      </w:r>
    </w:p>
    <w:p w14:paraId="305B361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cs="Times New Roman"/>
          <w:b/>
          <w:bCs/>
          <w:color w:val="auto"/>
          <w:u w:val="none"/>
          <w:lang w:val="en-US" w:eastAsia="zh-CN"/>
        </w:rPr>
        <w:t xml:space="preserve">13 </w:t>
      </w:r>
      <w:r>
        <w:rPr>
          <w:rFonts w:hint="default" w:ascii="Times New Roman" w:hAnsi="Times New Roman" w:cs="Times New Roman"/>
          <w:b/>
          <w:bCs/>
          <w:color w:val="auto"/>
          <w:u w:val="none"/>
        </w:rPr>
        <w:t xml:space="preserve"> 固体废物产生及处置一览表</w:t>
      </w:r>
    </w:p>
    <w:tbl>
      <w:tblPr>
        <w:tblStyle w:val="30"/>
        <w:tblW w:w="50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28" w:type="dxa"/>
          <w:bottom w:w="57" w:type="dxa"/>
          <w:right w:w="28" w:type="dxa"/>
        </w:tblCellMar>
      </w:tblPr>
      <w:tblGrid>
        <w:gridCol w:w="657"/>
        <w:gridCol w:w="2255"/>
        <w:gridCol w:w="1146"/>
        <w:gridCol w:w="1287"/>
        <w:gridCol w:w="1377"/>
        <w:gridCol w:w="875"/>
        <w:gridCol w:w="2176"/>
      </w:tblGrid>
      <w:tr w14:paraId="60D3E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3E4F60E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153" w:type="pct"/>
            <w:vAlign w:val="center"/>
          </w:tcPr>
          <w:p w14:paraId="3EC5CEF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固体废物名称</w:t>
            </w:r>
          </w:p>
        </w:tc>
        <w:tc>
          <w:tcPr>
            <w:tcW w:w="586" w:type="pct"/>
            <w:vAlign w:val="center"/>
          </w:tcPr>
          <w:p w14:paraId="5A0F823F">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属性</w:t>
            </w:r>
          </w:p>
        </w:tc>
        <w:tc>
          <w:tcPr>
            <w:tcW w:w="658" w:type="pct"/>
            <w:vAlign w:val="center"/>
          </w:tcPr>
          <w:p w14:paraId="26FD0CD3">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废物类别</w:t>
            </w:r>
          </w:p>
        </w:tc>
        <w:tc>
          <w:tcPr>
            <w:tcW w:w="704" w:type="pct"/>
            <w:vAlign w:val="center"/>
          </w:tcPr>
          <w:p w14:paraId="357310D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废物代码</w:t>
            </w:r>
          </w:p>
        </w:tc>
        <w:tc>
          <w:tcPr>
            <w:tcW w:w="447" w:type="pct"/>
            <w:vAlign w:val="center"/>
          </w:tcPr>
          <w:p w14:paraId="520FD3C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产生量t/a</w:t>
            </w:r>
          </w:p>
        </w:tc>
        <w:tc>
          <w:tcPr>
            <w:tcW w:w="1112" w:type="pct"/>
            <w:vAlign w:val="center"/>
          </w:tcPr>
          <w:p w14:paraId="30CFCB3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利用处置方式</w:t>
            </w:r>
          </w:p>
        </w:tc>
      </w:tr>
      <w:tr w14:paraId="20906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4997C44B">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153" w:type="pct"/>
            <w:vAlign w:val="center"/>
          </w:tcPr>
          <w:p w14:paraId="6C242A7E">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纯水系统：</w:t>
            </w:r>
            <w:r>
              <w:rPr>
                <w:rFonts w:hint="default" w:ascii="Times New Roman" w:hAnsi="Times New Roman" w:cs="Times New Roman"/>
                <w:color w:val="auto"/>
                <w:u w:val="none"/>
              </w:rPr>
              <w:t>废活性炭及废RO反渗透膜</w:t>
            </w:r>
          </w:p>
        </w:tc>
        <w:tc>
          <w:tcPr>
            <w:tcW w:w="586" w:type="pct"/>
            <w:vAlign w:val="center"/>
          </w:tcPr>
          <w:p w14:paraId="755B36B8">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一般工业固</w:t>
            </w:r>
          </w:p>
        </w:tc>
        <w:tc>
          <w:tcPr>
            <w:tcW w:w="658" w:type="pct"/>
            <w:vAlign w:val="center"/>
          </w:tcPr>
          <w:p w14:paraId="2A384DD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704" w:type="pct"/>
            <w:vAlign w:val="center"/>
          </w:tcPr>
          <w:p w14:paraId="637AD5FB">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w:t>
            </w:r>
          </w:p>
        </w:tc>
        <w:tc>
          <w:tcPr>
            <w:tcW w:w="447" w:type="pct"/>
            <w:vAlign w:val="center"/>
          </w:tcPr>
          <w:p w14:paraId="0ACD61AE">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112" w:type="pct"/>
            <w:vAlign w:val="center"/>
          </w:tcPr>
          <w:p w14:paraId="2714491F">
            <w:pPr>
              <w:pStyle w:val="41"/>
              <w:rPr>
                <w:rFonts w:hint="default" w:ascii="Times New Roman" w:hAnsi="Times New Roman" w:cs="Times New Roman"/>
                <w:color w:val="auto"/>
                <w:u w:val="none"/>
              </w:rPr>
            </w:pPr>
            <w:r>
              <w:rPr>
                <w:rFonts w:hint="default" w:ascii="Times New Roman" w:hAnsi="Times New Roman" w:cs="Times New Roman"/>
                <w:color w:val="auto"/>
                <w:u w:val="none"/>
              </w:rPr>
              <w:t>原厂家回收</w:t>
            </w:r>
          </w:p>
        </w:tc>
      </w:tr>
      <w:tr w14:paraId="733BC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126925D7">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1153" w:type="pct"/>
            <w:vAlign w:val="center"/>
          </w:tcPr>
          <w:p w14:paraId="248D8606">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废包装袋</w:t>
            </w:r>
          </w:p>
        </w:tc>
        <w:tc>
          <w:tcPr>
            <w:tcW w:w="1146" w:type="dxa"/>
            <w:vAlign w:val="center"/>
          </w:tcPr>
          <w:p w14:paraId="53E36867">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一般工业固</w:t>
            </w:r>
          </w:p>
        </w:tc>
        <w:tc>
          <w:tcPr>
            <w:tcW w:w="1287" w:type="dxa"/>
            <w:vAlign w:val="center"/>
          </w:tcPr>
          <w:p w14:paraId="09DC1B42">
            <w:pPr>
              <w:pStyle w:val="41"/>
              <w:rPr>
                <w:rFonts w:hint="eastAsia" w:cs="Times New Roman"/>
                <w:color w:val="auto"/>
                <w:u w:val="none"/>
                <w:lang w:val="en-US" w:eastAsia="zh-CN"/>
              </w:rPr>
            </w:pPr>
            <w:r>
              <w:rPr>
                <w:rFonts w:hint="eastAsia" w:cs="Times New Roman"/>
                <w:color w:val="auto"/>
                <w:u w:val="none"/>
                <w:lang w:val="en-US" w:eastAsia="zh-CN"/>
              </w:rPr>
              <w:t>/</w:t>
            </w:r>
          </w:p>
        </w:tc>
        <w:tc>
          <w:tcPr>
            <w:tcW w:w="704" w:type="pct"/>
            <w:vAlign w:val="center"/>
          </w:tcPr>
          <w:p w14:paraId="66AE1FCB">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447" w:type="pct"/>
            <w:vAlign w:val="center"/>
          </w:tcPr>
          <w:p w14:paraId="0AD1481A">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1112" w:type="pct"/>
            <w:vAlign w:val="center"/>
          </w:tcPr>
          <w:p w14:paraId="2CC02DAE">
            <w:pPr>
              <w:pStyle w:val="41"/>
              <w:rPr>
                <w:rFonts w:hint="default" w:ascii="Times New Roman" w:hAnsi="Times New Roman" w:cs="Times New Roman"/>
                <w:color w:val="auto"/>
                <w:u w:val="none"/>
              </w:rPr>
            </w:pPr>
            <w:r>
              <w:rPr>
                <w:rFonts w:hint="default" w:ascii="Times New Roman" w:hAnsi="Times New Roman" w:cs="Times New Roman"/>
                <w:color w:val="auto"/>
                <w:u w:val="none"/>
              </w:rPr>
              <w:t>收集后交由物资回收公司</w:t>
            </w:r>
          </w:p>
        </w:tc>
      </w:tr>
      <w:tr w14:paraId="4A6036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6216E59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w:t>
            </w:r>
          </w:p>
        </w:tc>
        <w:tc>
          <w:tcPr>
            <w:tcW w:w="1153" w:type="pct"/>
            <w:vAlign w:val="center"/>
          </w:tcPr>
          <w:p w14:paraId="576214E6">
            <w:pPr>
              <w:pStyle w:val="41"/>
              <w:rPr>
                <w:rFonts w:hint="default" w:ascii="Times New Roman" w:hAnsi="Times New Roman" w:cs="Times New Roman"/>
                <w:color w:val="auto"/>
                <w:u w:val="none"/>
              </w:rPr>
            </w:pPr>
            <w:r>
              <w:rPr>
                <w:rFonts w:hint="default" w:ascii="Times New Roman" w:hAnsi="Times New Roman" w:cs="Times New Roman"/>
                <w:color w:val="auto"/>
                <w:u w:val="none"/>
              </w:rPr>
              <w:t>危险化学品废包装</w:t>
            </w:r>
          </w:p>
        </w:tc>
        <w:tc>
          <w:tcPr>
            <w:tcW w:w="586" w:type="pct"/>
            <w:vMerge w:val="restart"/>
            <w:vAlign w:val="center"/>
          </w:tcPr>
          <w:p w14:paraId="22263089">
            <w:pPr>
              <w:pStyle w:val="41"/>
              <w:rPr>
                <w:rFonts w:hint="default" w:ascii="Times New Roman" w:hAnsi="Times New Roman" w:cs="Times New Roman"/>
                <w:color w:val="auto"/>
                <w:u w:val="none"/>
              </w:rPr>
            </w:pPr>
            <w:r>
              <w:rPr>
                <w:rFonts w:hint="default" w:ascii="Times New Roman" w:hAnsi="Times New Roman" w:cs="Times New Roman"/>
                <w:color w:val="auto"/>
                <w:u w:val="none"/>
              </w:rPr>
              <w:t>危险废物</w:t>
            </w:r>
          </w:p>
        </w:tc>
        <w:tc>
          <w:tcPr>
            <w:tcW w:w="658" w:type="pct"/>
            <w:vAlign w:val="center"/>
          </w:tcPr>
          <w:p w14:paraId="0393765A">
            <w:pPr>
              <w:pStyle w:val="41"/>
              <w:rPr>
                <w:rFonts w:hint="default" w:ascii="Times New Roman" w:hAnsi="Times New Roman" w:cs="Times New Roman"/>
                <w:color w:val="auto"/>
                <w:u w:val="none"/>
              </w:rPr>
            </w:pPr>
            <w:r>
              <w:rPr>
                <w:rFonts w:hint="default" w:ascii="Times New Roman" w:hAnsi="Times New Roman" w:cs="Times New Roman"/>
                <w:color w:val="auto"/>
                <w:u w:val="none"/>
              </w:rPr>
              <w:t>HW49</w:t>
            </w:r>
          </w:p>
        </w:tc>
        <w:tc>
          <w:tcPr>
            <w:tcW w:w="704" w:type="pct"/>
            <w:vAlign w:val="center"/>
          </w:tcPr>
          <w:p w14:paraId="35E164CF">
            <w:pPr>
              <w:pStyle w:val="41"/>
              <w:rPr>
                <w:rFonts w:hint="default" w:ascii="Times New Roman" w:hAnsi="Times New Roman" w:cs="Times New Roman"/>
                <w:color w:val="auto"/>
                <w:u w:val="none"/>
              </w:rPr>
            </w:pPr>
            <w:r>
              <w:rPr>
                <w:rFonts w:hint="default" w:ascii="Times New Roman" w:hAnsi="Times New Roman" w:cs="Times New Roman"/>
                <w:color w:val="auto"/>
                <w:u w:val="none"/>
              </w:rPr>
              <w:t>900-401-49</w:t>
            </w:r>
          </w:p>
        </w:tc>
        <w:tc>
          <w:tcPr>
            <w:tcW w:w="447" w:type="pct"/>
            <w:vAlign w:val="center"/>
          </w:tcPr>
          <w:p w14:paraId="68945316">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3</w:t>
            </w:r>
          </w:p>
        </w:tc>
        <w:tc>
          <w:tcPr>
            <w:tcW w:w="1112" w:type="pct"/>
            <w:vMerge w:val="restart"/>
            <w:vAlign w:val="center"/>
          </w:tcPr>
          <w:p w14:paraId="72724E86">
            <w:pPr>
              <w:pStyle w:val="41"/>
              <w:rPr>
                <w:rFonts w:hint="default" w:ascii="Times New Roman" w:hAnsi="Times New Roman" w:cs="Times New Roman"/>
                <w:color w:val="auto"/>
                <w:u w:val="none"/>
              </w:rPr>
            </w:pPr>
            <w:r>
              <w:rPr>
                <w:rFonts w:hint="default" w:ascii="Times New Roman" w:hAnsi="Times New Roman" w:cs="Times New Roman"/>
                <w:color w:val="auto"/>
                <w:u w:val="none"/>
              </w:rPr>
              <w:t>委托有资质的单位处理</w:t>
            </w:r>
          </w:p>
        </w:tc>
      </w:tr>
      <w:tr w14:paraId="34B6B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60BABDE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w:t>
            </w:r>
          </w:p>
        </w:tc>
        <w:tc>
          <w:tcPr>
            <w:tcW w:w="1153" w:type="pct"/>
            <w:vAlign w:val="center"/>
          </w:tcPr>
          <w:p w14:paraId="7415CEB3">
            <w:pPr>
              <w:pStyle w:val="41"/>
              <w:rPr>
                <w:rFonts w:hint="default" w:ascii="Times New Roman" w:hAnsi="Times New Roman" w:cs="Times New Roman"/>
                <w:color w:val="auto"/>
                <w:u w:val="none"/>
              </w:rPr>
            </w:pPr>
            <w:r>
              <w:rPr>
                <w:rFonts w:hint="default" w:ascii="Times New Roman" w:hAnsi="Times New Roman" w:cs="Times New Roman"/>
                <w:color w:val="auto"/>
                <w:u w:val="none"/>
              </w:rPr>
              <w:t>废槽渣</w:t>
            </w:r>
          </w:p>
        </w:tc>
        <w:tc>
          <w:tcPr>
            <w:tcW w:w="586" w:type="pct"/>
            <w:vMerge w:val="continue"/>
            <w:vAlign w:val="center"/>
          </w:tcPr>
          <w:p w14:paraId="5DBCD19E">
            <w:pPr>
              <w:pStyle w:val="41"/>
              <w:rPr>
                <w:rFonts w:hint="default" w:ascii="Times New Roman" w:hAnsi="Times New Roman" w:cs="Times New Roman"/>
                <w:color w:val="auto"/>
                <w:u w:val="none"/>
              </w:rPr>
            </w:pPr>
          </w:p>
        </w:tc>
        <w:tc>
          <w:tcPr>
            <w:tcW w:w="658" w:type="pct"/>
            <w:vAlign w:val="center"/>
          </w:tcPr>
          <w:p w14:paraId="0E9A50F8">
            <w:pPr>
              <w:pStyle w:val="41"/>
              <w:rPr>
                <w:rFonts w:hint="default" w:ascii="Times New Roman" w:hAnsi="Times New Roman" w:cs="Times New Roman"/>
                <w:color w:val="auto"/>
                <w:u w:val="none"/>
              </w:rPr>
            </w:pPr>
            <w:r>
              <w:rPr>
                <w:rFonts w:hint="default" w:ascii="Times New Roman" w:hAnsi="Times New Roman" w:cs="Times New Roman"/>
                <w:color w:val="auto"/>
                <w:u w:val="none"/>
              </w:rPr>
              <w:t>HW17</w:t>
            </w:r>
          </w:p>
        </w:tc>
        <w:tc>
          <w:tcPr>
            <w:tcW w:w="704" w:type="pct"/>
            <w:vAlign w:val="center"/>
          </w:tcPr>
          <w:p w14:paraId="3BE49778">
            <w:pPr>
              <w:pStyle w:val="41"/>
              <w:rPr>
                <w:rFonts w:hint="default" w:ascii="Times New Roman" w:hAnsi="Times New Roman" w:cs="Times New Roman"/>
                <w:color w:val="auto"/>
                <w:u w:val="none"/>
              </w:rPr>
            </w:pPr>
            <w:r>
              <w:rPr>
                <w:rFonts w:hint="default" w:ascii="Times New Roman" w:hAnsi="Times New Roman" w:cs="Times New Roman"/>
                <w:color w:val="auto"/>
                <w:u w:val="none"/>
              </w:rPr>
              <w:t>336-064-17</w:t>
            </w:r>
          </w:p>
        </w:tc>
        <w:tc>
          <w:tcPr>
            <w:tcW w:w="447" w:type="pct"/>
            <w:vAlign w:val="center"/>
          </w:tcPr>
          <w:p w14:paraId="795A240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0.8</w:t>
            </w:r>
          </w:p>
        </w:tc>
        <w:tc>
          <w:tcPr>
            <w:tcW w:w="1112" w:type="pct"/>
            <w:vMerge w:val="continue"/>
            <w:vAlign w:val="center"/>
          </w:tcPr>
          <w:p w14:paraId="4D55B865">
            <w:pPr>
              <w:pStyle w:val="41"/>
              <w:rPr>
                <w:rFonts w:hint="default" w:ascii="Times New Roman" w:hAnsi="Times New Roman" w:cs="Times New Roman"/>
                <w:color w:val="auto"/>
                <w:u w:val="none"/>
              </w:rPr>
            </w:pPr>
          </w:p>
        </w:tc>
      </w:tr>
      <w:tr w14:paraId="4E5FBE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1146E70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w:t>
            </w:r>
          </w:p>
        </w:tc>
        <w:tc>
          <w:tcPr>
            <w:tcW w:w="1153" w:type="pct"/>
            <w:vAlign w:val="center"/>
          </w:tcPr>
          <w:p w14:paraId="59C170DA">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含磷废水处理系统浓缩液</w:t>
            </w:r>
          </w:p>
        </w:tc>
        <w:tc>
          <w:tcPr>
            <w:tcW w:w="586" w:type="pct"/>
            <w:vMerge w:val="continue"/>
            <w:vAlign w:val="center"/>
          </w:tcPr>
          <w:p w14:paraId="03163D37">
            <w:pPr>
              <w:pStyle w:val="41"/>
              <w:rPr>
                <w:rFonts w:hint="default" w:ascii="Times New Roman" w:hAnsi="Times New Roman" w:cs="Times New Roman"/>
                <w:color w:val="auto"/>
                <w:u w:val="none"/>
              </w:rPr>
            </w:pPr>
          </w:p>
        </w:tc>
        <w:tc>
          <w:tcPr>
            <w:tcW w:w="658" w:type="pct"/>
            <w:vAlign w:val="center"/>
          </w:tcPr>
          <w:p w14:paraId="5CDF7D20">
            <w:pPr>
              <w:pStyle w:val="41"/>
              <w:rPr>
                <w:rFonts w:hint="default" w:ascii="Times New Roman" w:hAnsi="Times New Roman" w:cs="Times New Roman"/>
                <w:color w:val="auto"/>
                <w:u w:val="none"/>
              </w:rPr>
            </w:pPr>
            <w:r>
              <w:rPr>
                <w:rFonts w:hint="default" w:ascii="Times New Roman" w:hAnsi="Times New Roman" w:cs="Times New Roman"/>
                <w:color w:val="auto"/>
                <w:u w:val="none"/>
              </w:rPr>
              <w:t>HW17</w:t>
            </w:r>
          </w:p>
        </w:tc>
        <w:tc>
          <w:tcPr>
            <w:tcW w:w="704" w:type="pct"/>
            <w:vAlign w:val="center"/>
          </w:tcPr>
          <w:p w14:paraId="7ABFFADA">
            <w:pPr>
              <w:pStyle w:val="41"/>
              <w:rPr>
                <w:rFonts w:hint="default" w:ascii="Times New Roman" w:hAnsi="Times New Roman" w:cs="Times New Roman"/>
                <w:color w:val="auto"/>
                <w:u w:val="none"/>
              </w:rPr>
            </w:pPr>
            <w:r>
              <w:rPr>
                <w:rFonts w:hint="default" w:ascii="Times New Roman" w:hAnsi="Times New Roman" w:cs="Times New Roman"/>
                <w:color w:val="auto"/>
                <w:u w:val="none"/>
              </w:rPr>
              <w:t>336-064-17</w:t>
            </w:r>
          </w:p>
        </w:tc>
        <w:tc>
          <w:tcPr>
            <w:tcW w:w="447" w:type="pct"/>
            <w:vAlign w:val="center"/>
          </w:tcPr>
          <w:p w14:paraId="693D525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2.3</w:t>
            </w:r>
          </w:p>
        </w:tc>
        <w:tc>
          <w:tcPr>
            <w:tcW w:w="1112" w:type="pct"/>
            <w:vMerge w:val="continue"/>
            <w:vAlign w:val="center"/>
          </w:tcPr>
          <w:p w14:paraId="659E6001">
            <w:pPr>
              <w:pStyle w:val="41"/>
              <w:rPr>
                <w:rFonts w:hint="default" w:ascii="Times New Roman" w:hAnsi="Times New Roman" w:cs="Times New Roman"/>
                <w:color w:val="auto"/>
                <w:u w:val="none"/>
              </w:rPr>
            </w:pPr>
          </w:p>
        </w:tc>
      </w:tr>
      <w:tr w14:paraId="5E1C2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2FFA48A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w:t>
            </w:r>
          </w:p>
        </w:tc>
        <w:tc>
          <w:tcPr>
            <w:tcW w:w="1153" w:type="pct"/>
            <w:vAlign w:val="center"/>
          </w:tcPr>
          <w:p w14:paraId="565BCE10">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含镍（铬）污泥</w:t>
            </w:r>
          </w:p>
        </w:tc>
        <w:tc>
          <w:tcPr>
            <w:tcW w:w="586" w:type="pct"/>
            <w:vMerge w:val="continue"/>
            <w:vAlign w:val="center"/>
          </w:tcPr>
          <w:p w14:paraId="5A1AE7DD">
            <w:pPr>
              <w:pStyle w:val="41"/>
              <w:rPr>
                <w:rFonts w:hint="default" w:ascii="Times New Roman" w:hAnsi="Times New Roman" w:cs="Times New Roman"/>
                <w:color w:val="auto"/>
                <w:u w:val="none"/>
              </w:rPr>
            </w:pPr>
          </w:p>
        </w:tc>
        <w:tc>
          <w:tcPr>
            <w:tcW w:w="658" w:type="pct"/>
            <w:vAlign w:val="center"/>
          </w:tcPr>
          <w:p w14:paraId="1538B5BB">
            <w:pPr>
              <w:pStyle w:val="41"/>
              <w:rPr>
                <w:rFonts w:hint="default" w:ascii="Times New Roman" w:hAnsi="Times New Roman" w:cs="Times New Roman"/>
                <w:color w:val="auto"/>
                <w:u w:val="none"/>
              </w:rPr>
            </w:pPr>
            <w:r>
              <w:rPr>
                <w:rFonts w:hint="default" w:ascii="Times New Roman" w:hAnsi="Times New Roman" w:cs="Times New Roman"/>
                <w:color w:val="auto"/>
                <w:u w:val="none"/>
              </w:rPr>
              <w:t>HW17</w:t>
            </w:r>
          </w:p>
        </w:tc>
        <w:tc>
          <w:tcPr>
            <w:tcW w:w="704" w:type="pct"/>
            <w:vAlign w:val="center"/>
          </w:tcPr>
          <w:p w14:paraId="5AA65B1F">
            <w:pPr>
              <w:pStyle w:val="41"/>
              <w:rPr>
                <w:rFonts w:hint="default" w:ascii="Times New Roman" w:hAnsi="Times New Roman" w:cs="Times New Roman"/>
                <w:color w:val="auto"/>
                <w:u w:val="none"/>
              </w:rPr>
            </w:pPr>
            <w:r>
              <w:rPr>
                <w:rFonts w:hint="default" w:ascii="Times New Roman" w:hAnsi="Times New Roman" w:cs="Times New Roman"/>
                <w:color w:val="auto"/>
                <w:u w:val="none"/>
              </w:rPr>
              <w:t>336-064-17</w:t>
            </w:r>
          </w:p>
        </w:tc>
        <w:tc>
          <w:tcPr>
            <w:tcW w:w="447" w:type="pct"/>
            <w:vAlign w:val="center"/>
          </w:tcPr>
          <w:p w14:paraId="6E93C1A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43.5</w:t>
            </w:r>
          </w:p>
        </w:tc>
        <w:tc>
          <w:tcPr>
            <w:tcW w:w="1112" w:type="pct"/>
            <w:vMerge w:val="continue"/>
            <w:vAlign w:val="center"/>
          </w:tcPr>
          <w:p w14:paraId="69D034AC">
            <w:pPr>
              <w:pStyle w:val="41"/>
              <w:rPr>
                <w:rFonts w:hint="default" w:ascii="Times New Roman" w:hAnsi="Times New Roman" w:cs="Times New Roman"/>
                <w:color w:val="auto"/>
                <w:u w:val="none"/>
              </w:rPr>
            </w:pPr>
          </w:p>
        </w:tc>
      </w:tr>
      <w:tr w14:paraId="13F56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5E98C85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7</w:t>
            </w:r>
          </w:p>
        </w:tc>
        <w:tc>
          <w:tcPr>
            <w:tcW w:w="1153" w:type="pct"/>
            <w:vAlign w:val="center"/>
          </w:tcPr>
          <w:p w14:paraId="5065C891">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含铬（镍）结晶盐</w:t>
            </w:r>
          </w:p>
        </w:tc>
        <w:tc>
          <w:tcPr>
            <w:tcW w:w="586" w:type="pct"/>
            <w:vMerge w:val="continue"/>
            <w:vAlign w:val="center"/>
          </w:tcPr>
          <w:p w14:paraId="357303A1">
            <w:pPr>
              <w:pStyle w:val="41"/>
              <w:rPr>
                <w:rFonts w:hint="default" w:ascii="Times New Roman" w:hAnsi="Times New Roman" w:cs="Times New Roman"/>
                <w:color w:val="auto"/>
                <w:u w:val="none"/>
              </w:rPr>
            </w:pPr>
          </w:p>
        </w:tc>
        <w:tc>
          <w:tcPr>
            <w:tcW w:w="658" w:type="pct"/>
            <w:vAlign w:val="center"/>
          </w:tcPr>
          <w:p w14:paraId="68406723">
            <w:pPr>
              <w:pStyle w:val="41"/>
              <w:rPr>
                <w:rFonts w:hint="default" w:ascii="Times New Roman" w:hAnsi="Times New Roman" w:cs="Times New Roman"/>
                <w:color w:val="auto"/>
                <w:u w:val="none"/>
              </w:rPr>
            </w:pPr>
            <w:r>
              <w:rPr>
                <w:rFonts w:hint="default" w:ascii="Times New Roman" w:hAnsi="Times New Roman" w:cs="Times New Roman"/>
                <w:color w:val="auto"/>
                <w:u w:val="none"/>
              </w:rPr>
              <w:t>HW17</w:t>
            </w:r>
          </w:p>
        </w:tc>
        <w:tc>
          <w:tcPr>
            <w:tcW w:w="704" w:type="pct"/>
            <w:vAlign w:val="center"/>
          </w:tcPr>
          <w:p w14:paraId="2657F4AC">
            <w:pPr>
              <w:pStyle w:val="41"/>
              <w:rPr>
                <w:rFonts w:hint="default" w:ascii="Times New Roman" w:hAnsi="Times New Roman" w:cs="Times New Roman"/>
                <w:color w:val="auto"/>
                <w:u w:val="none"/>
              </w:rPr>
            </w:pPr>
            <w:r>
              <w:rPr>
                <w:rFonts w:hint="default" w:ascii="Times New Roman" w:hAnsi="Times New Roman" w:cs="Times New Roman"/>
                <w:color w:val="auto"/>
                <w:u w:val="none"/>
              </w:rPr>
              <w:t>336-064-17</w:t>
            </w:r>
          </w:p>
        </w:tc>
        <w:tc>
          <w:tcPr>
            <w:tcW w:w="447" w:type="pct"/>
            <w:vAlign w:val="center"/>
          </w:tcPr>
          <w:p w14:paraId="50761C0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4.2</w:t>
            </w:r>
          </w:p>
        </w:tc>
        <w:tc>
          <w:tcPr>
            <w:tcW w:w="1112" w:type="pct"/>
            <w:vMerge w:val="continue"/>
            <w:vAlign w:val="center"/>
          </w:tcPr>
          <w:p w14:paraId="6AF3E0A5">
            <w:pPr>
              <w:pStyle w:val="41"/>
              <w:rPr>
                <w:rFonts w:hint="default" w:ascii="Times New Roman" w:hAnsi="Times New Roman" w:cs="Times New Roman"/>
                <w:color w:val="auto"/>
                <w:u w:val="none"/>
              </w:rPr>
            </w:pPr>
          </w:p>
        </w:tc>
      </w:tr>
      <w:tr w14:paraId="0683C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099CE9C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8</w:t>
            </w:r>
          </w:p>
        </w:tc>
        <w:tc>
          <w:tcPr>
            <w:tcW w:w="1153" w:type="pct"/>
            <w:vAlign w:val="center"/>
          </w:tcPr>
          <w:p w14:paraId="36A287FC">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废水处理、中水回用</w:t>
            </w:r>
            <w:r>
              <w:rPr>
                <w:rFonts w:hint="default" w:ascii="Times New Roman" w:hAnsi="Times New Roman" w:cs="Times New Roman"/>
                <w:color w:val="auto"/>
                <w:u w:val="none"/>
                <w:lang w:val="en-US" w:eastAsia="zh-CN"/>
              </w:rPr>
              <w:t>系统：</w:t>
            </w:r>
            <w:r>
              <w:rPr>
                <w:rFonts w:hint="default" w:ascii="Times New Roman" w:hAnsi="Times New Roman" w:cs="Times New Roman"/>
                <w:color w:val="auto"/>
                <w:u w:val="none"/>
              </w:rPr>
              <w:t>废RO反渗透膜</w:t>
            </w:r>
          </w:p>
        </w:tc>
        <w:tc>
          <w:tcPr>
            <w:tcW w:w="586" w:type="pct"/>
            <w:vMerge w:val="continue"/>
            <w:vAlign w:val="center"/>
          </w:tcPr>
          <w:p w14:paraId="2FF84856">
            <w:pPr>
              <w:pStyle w:val="41"/>
              <w:rPr>
                <w:rFonts w:hint="default" w:ascii="Times New Roman" w:hAnsi="Times New Roman" w:cs="Times New Roman"/>
                <w:color w:val="auto"/>
                <w:u w:val="none"/>
              </w:rPr>
            </w:pPr>
          </w:p>
        </w:tc>
        <w:tc>
          <w:tcPr>
            <w:tcW w:w="658" w:type="pct"/>
            <w:vAlign w:val="center"/>
          </w:tcPr>
          <w:p w14:paraId="0A837389">
            <w:pPr>
              <w:pStyle w:val="41"/>
              <w:rPr>
                <w:rFonts w:hint="default" w:ascii="Times New Roman" w:hAnsi="Times New Roman" w:cs="Times New Roman"/>
                <w:color w:val="auto"/>
                <w:u w:val="none"/>
              </w:rPr>
            </w:pPr>
            <w:r>
              <w:rPr>
                <w:rFonts w:hint="default" w:ascii="Times New Roman" w:hAnsi="Times New Roman" w:cs="Times New Roman"/>
                <w:color w:val="auto"/>
                <w:u w:val="none"/>
              </w:rPr>
              <w:t>HW49</w:t>
            </w:r>
          </w:p>
        </w:tc>
        <w:tc>
          <w:tcPr>
            <w:tcW w:w="704" w:type="pct"/>
            <w:vAlign w:val="center"/>
          </w:tcPr>
          <w:p w14:paraId="3F2D20A1">
            <w:pPr>
              <w:pStyle w:val="41"/>
              <w:rPr>
                <w:rFonts w:hint="default" w:ascii="Times New Roman" w:hAnsi="Times New Roman" w:cs="Times New Roman"/>
                <w:color w:val="auto"/>
                <w:u w:val="none"/>
              </w:rPr>
            </w:pPr>
            <w:r>
              <w:rPr>
                <w:rFonts w:hint="default" w:ascii="Times New Roman" w:hAnsi="Times New Roman" w:cs="Times New Roman"/>
                <w:color w:val="auto"/>
                <w:u w:val="none"/>
              </w:rPr>
              <w:t>900-041-49</w:t>
            </w:r>
          </w:p>
        </w:tc>
        <w:tc>
          <w:tcPr>
            <w:tcW w:w="447" w:type="pct"/>
            <w:vAlign w:val="center"/>
          </w:tcPr>
          <w:p w14:paraId="5ED0042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0.3</w:t>
            </w:r>
          </w:p>
        </w:tc>
        <w:tc>
          <w:tcPr>
            <w:tcW w:w="1112" w:type="pct"/>
            <w:vMerge w:val="continue"/>
            <w:vAlign w:val="center"/>
          </w:tcPr>
          <w:p w14:paraId="47FD5251">
            <w:pPr>
              <w:pStyle w:val="41"/>
              <w:rPr>
                <w:rFonts w:hint="default" w:ascii="Times New Roman" w:hAnsi="Times New Roman" w:cs="Times New Roman"/>
                <w:color w:val="auto"/>
                <w:u w:val="none"/>
              </w:rPr>
            </w:pPr>
          </w:p>
        </w:tc>
      </w:tr>
      <w:tr w14:paraId="25A0D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6AFB785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9</w:t>
            </w:r>
          </w:p>
        </w:tc>
        <w:tc>
          <w:tcPr>
            <w:tcW w:w="1153" w:type="pct"/>
            <w:vAlign w:val="center"/>
          </w:tcPr>
          <w:p w14:paraId="79E4D440">
            <w:pPr>
              <w:pStyle w:val="41"/>
              <w:rPr>
                <w:rFonts w:hint="default" w:ascii="Times New Roman" w:hAnsi="Times New Roman" w:cs="Times New Roman"/>
                <w:color w:val="auto"/>
                <w:u w:val="none"/>
              </w:rPr>
            </w:pPr>
            <w:r>
              <w:rPr>
                <w:rFonts w:hint="default" w:ascii="Times New Roman" w:hAnsi="Times New Roman" w:cs="Times New Roman"/>
                <w:color w:val="auto"/>
                <w:u w:val="none"/>
              </w:rPr>
              <w:t>废滤芯</w:t>
            </w:r>
          </w:p>
        </w:tc>
        <w:tc>
          <w:tcPr>
            <w:tcW w:w="586" w:type="pct"/>
            <w:vMerge w:val="continue"/>
            <w:vAlign w:val="center"/>
          </w:tcPr>
          <w:p w14:paraId="4353B833">
            <w:pPr>
              <w:pStyle w:val="41"/>
              <w:rPr>
                <w:rFonts w:hint="default" w:ascii="Times New Roman" w:hAnsi="Times New Roman" w:cs="Times New Roman"/>
                <w:color w:val="auto"/>
                <w:u w:val="none"/>
              </w:rPr>
            </w:pPr>
          </w:p>
        </w:tc>
        <w:tc>
          <w:tcPr>
            <w:tcW w:w="658" w:type="pct"/>
            <w:vAlign w:val="center"/>
          </w:tcPr>
          <w:p w14:paraId="4A334452">
            <w:pPr>
              <w:pStyle w:val="41"/>
              <w:rPr>
                <w:rFonts w:hint="default" w:ascii="Times New Roman" w:hAnsi="Times New Roman" w:cs="Times New Roman"/>
                <w:color w:val="auto"/>
                <w:u w:val="none"/>
              </w:rPr>
            </w:pPr>
            <w:r>
              <w:rPr>
                <w:rFonts w:hint="default" w:ascii="Times New Roman" w:hAnsi="Times New Roman" w:cs="Times New Roman"/>
                <w:color w:val="auto"/>
                <w:u w:val="none"/>
              </w:rPr>
              <w:t>HW49</w:t>
            </w:r>
          </w:p>
        </w:tc>
        <w:tc>
          <w:tcPr>
            <w:tcW w:w="704" w:type="pct"/>
            <w:vAlign w:val="center"/>
          </w:tcPr>
          <w:p w14:paraId="1CD1DF1C">
            <w:pPr>
              <w:pStyle w:val="41"/>
              <w:rPr>
                <w:rFonts w:hint="default" w:ascii="Times New Roman" w:hAnsi="Times New Roman" w:cs="Times New Roman"/>
                <w:color w:val="auto"/>
                <w:u w:val="none"/>
              </w:rPr>
            </w:pPr>
            <w:r>
              <w:rPr>
                <w:rFonts w:hint="default" w:ascii="Times New Roman" w:hAnsi="Times New Roman" w:cs="Times New Roman"/>
                <w:color w:val="auto"/>
                <w:u w:val="none"/>
              </w:rPr>
              <w:t>900-401-49</w:t>
            </w:r>
          </w:p>
        </w:tc>
        <w:tc>
          <w:tcPr>
            <w:tcW w:w="447" w:type="pct"/>
            <w:vAlign w:val="center"/>
          </w:tcPr>
          <w:p w14:paraId="6EF81970">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0.</w:t>
            </w:r>
            <w:r>
              <w:rPr>
                <w:rFonts w:hint="eastAsia" w:cs="Times New Roman"/>
                <w:color w:val="auto"/>
                <w:u w:val="none"/>
                <w:lang w:val="en-US" w:eastAsia="zh-CN"/>
              </w:rPr>
              <w:t>2</w:t>
            </w:r>
          </w:p>
        </w:tc>
        <w:tc>
          <w:tcPr>
            <w:tcW w:w="1112" w:type="pct"/>
            <w:vMerge w:val="continue"/>
            <w:vAlign w:val="center"/>
          </w:tcPr>
          <w:p w14:paraId="30211E90">
            <w:pPr>
              <w:pStyle w:val="41"/>
              <w:rPr>
                <w:rFonts w:hint="default" w:ascii="Times New Roman" w:hAnsi="Times New Roman" w:cs="Times New Roman"/>
                <w:color w:val="auto"/>
                <w:u w:val="none"/>
              </w:rPr>
            </w:pPr>
          </w:p>
        </w:tc>
      </w:tr>
      <w:tr w14:paraId="63253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612DA55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w:t>
            </w:r>
          </w:p>
        </w:tc>
        <w:tc>
          <w:tcPr>
            <w:tcW w:w="1153" w:type="pct"/>
            <w:vAlign w:val="center"/>
          </w:tcPr>
          <w:p w14:paraId="6B5F3697">
            <w:pPr>
              <w:pStyle w:val="41"/>
              <w:rPr>
                <w:rFonts w:hint="default" w:ascii="Times New Roman" w:hAnsi="Times New Roman" w:cs="Times New Roman"/>
                <w:color w:val="auto"/>
                <w:u w:val="none"/>
              </w:rPr>
            </w:pPr>
            <w:r>
              <w:rPr>
                <w:rFonts w:hint="default" w:ascii="Times New Roman" w:hAnsi="Times New Roman" w:cs="Times New Roman"/>
                <w:color w:val="auto"/>
                <w:u w:val="none"/>
              </w:rPr>
              <w:t>废机油</w:t>
            </w:r>
          </w:p>
        </w:tc>
        <w:tc>
          <w:tcPr>
            <w:tcW w:w="586" w:type="pct"/>
            <w:vMerge w:val="continue"/>
            <w:vAlign w:val="center"/>
          </w:tcPr>
          <w:p w14:paraId="054F2EC4">
            <w:pPr>
              <w:pStyle w:val="41"/>
              <w:rPr>
                <w:rFonts w:hint="default" w:ascii="Times New Roman" w:hAnsi="Times New Roman" w:cs="Times New Roman"/>
                <w:color w:val="auto"/>
                <w:u w:val="none"/>
              </w:rPr>
            </w:pPr>
          </w:p>
        </w:tc>
        <w:tc>
          <w:tcPr>
            <w:tcW w:w="658" w:type="pct"/>
            <w:vAlign w:val="center"/>
          </w:tcPr>
          <w:p w14:paraId="4A477823">
            <w:pPr>
              <w:pStyle w:val="41"/>
              <w:rPr>
                <w:rFonts w:hint="default" w:ascii="Times New Roman" w:hAnsi="Times New Roman" w:cs="Times New Roman"/>
                <w:color w:val="auto"/>
                <w:u w:val="none"/>
              </w:rPr>
            </w:pPr>
            <w:r>
              <w:rPr>
                <w:rFonts w:hint="default" w:ascii="Times New Roman" w:hAnsi="Times New Roman" w:cs="Times New Roman"/>
                <w:color w:val="auto"/>
                <w:u w:val="none"/>
              </w:rPr>
              <w:t>HW08</w:t>
            </w:r>
          </w:p>
        </w:tc>
        <w:tc>
          <w:tcPr>
            <w:tcW w:w="704" w:type="pct"/>
            <w:vAlign w:val="center"/>
          </w:tcPr>
          <w:p w14:paraId="3B508771">
            <w:pPr>
              <w:pStyle w:val="41"/>
              <w:rPr>
                <w:rFonts w:hint="default" w:ascii="Times New Roman" w:hAnsi="Times New Roman" w:cs="Times New Roman"/>
                <w:color w:val="auto"/>
                <w:u w:val="none"/>
              </w:rPr>
            </w:pPr>
            <w:r>
              <w:rPr>
                <w:rFonts w:hint="default" w:ascii="Times New Roman" w:hAnsi="Times New Roman" w:cs="Times New Roman"/>
                <w:color w:val="auto"/>
                <w:u w:val="none"/>
              </w:rPr>
              <w:t>900-217-08</w:t>
            </w:r>
          </w:p>
        </w:tc>
        <w:tc>
          <w:tcPr>
            <w:tcW w:w="447" w:type="pct"/>
            <w:vAlign w:val="center"/>
          </w:tcPr>
          <w:p w14:paraId="0683ECF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0.5</w:t>
            </w:r>
          </w:p>
        </w:tc>
        <w:tc>
          <w:tcPr>
            <w:tcW w:w="1112" w:type="pct"/>
            <w:vMerge w:val="continue"/>
            <w:vAlign w:val="center"/>
          </w:tcPr>
          <w:p w14:paraId="1CF3AE4B">
            <w:pPr>
              <w:pStyle w:val="41"/>
              <w:rPr>
                <w:rFonts w:hint="default" w:ascii="Times New Roman" w:hAnsi="Times New Roman" w:cs="Times New Roman"/>
                <w:color w:val="auto"/>
                <w:u w:val="none"/>
              </w:rPr>
            </w:pPr>
          </w:p>
        </w:tc>
      </w:tr>
      <w:tr w14:paraId="70302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336" w:type="pct"/>
            <w:vAlign w:val="center"/>
          </w:tcPr>
          <w:p w14:paraId="574CE0F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111</w:t>
            </w:r>
          </w:p>
        </w:tc>
        <w:tc>
          <w:tcPr>
            <w:tcW w:w="1153" w:type="pct"/>
            <w:vAlign w:val="center"/>
          </w:tcPr>
          <w:p w14:paraId="7BBF4E7F">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生活垃圾</w:t>
            </w:r>
          </w:p>
        </w:tc>
        <w:tc>
          <w:tcPr>
            <w:tcW w:w="586" w:type="pct"/>
            <w:vAlign w:val="center"/>
          </w:tcPr>
          <w:p w14:paraId="059C1636">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生活垃圾</w:t>
            </w:r>
          </w:p>
        </w:tc>
        <w:tc>
          <w:tcPr>
            <w:tcW w:w="658" w:type="pct"/>
            <w:vAlign w:val="center"/>
          </w:tcPr>
          <w:p w14:paraId="154434F6">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04" w:type="pct"/>
            <w:vAlign w:val="center"/>
          </w:tcPr>
          <w:p w14:paraId="34C5CFE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47" w:type="pct"/>
            <w:vAlign w:val="center"/>
          </w:tcPr>
          <w:p w14:paraId="1883697C">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3</w:t>
            </w:r>
          </w:p>
        </w:tc>
        <w:tc>
          <w:tcPr>
            <w:tcW w:w="1112" w:type="pct"/>
            <w:vAlign w:val="center"/>
          </w:tcPr>
          <w:p w14:paraId="560E982B">
            <w:pPr>
              <w:pStyle w:val="41"/>
              <w:rPr>
                <w:rFonts w:hint="default" w:ascii="Times New Roman" w:hAnsi="Times New Roman" w:cs="Times New Roman"/>
                <w:color w:val="auto"/>
                <w:u w:val="none"/>
              </w:rPr>
            </w:pPr>
            <w:r>
              <w:rPr>
                <w:rFonts w:hint="default" w:ascii="Times New Roman" w:hAnsi="Times New Roman" w:cs="Times New Roman"/>
                <w:color w:val="auto"/>
                <w:u w:val="none"/>
              </w:rPr>
              <w:t>环卫部门清运</w:t>
            </w:r>
          </w:p>
        </w:tc>
      </w:tr>
    </w:tbl>
    <w:p w14:paraId="1F4CF61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表4.6-</w:t>
      </w:r>
      <w:r>
        <w:rPr>
          <w:rFonts w:hint="eastAsia" w:ascii="Times New Roman" w:hAnsi="Times New Roman" w:cs="Times New Roman"/>
          <w:b/>
          <w:bCs/>
          <w:color w:val="auto"/>
          <w:u w:val="none"/>
          <w:lang w:val="en-US" w:eastAsia="zh-CN"/>
        </w:rPr>
        <w:t xml:space="preserve">24 </w:t>
      </w:r>
      <w:r>
        <w:rPr>
          <w:rFonts w:hint="default" w:ascii="Times New Roman" w:hAnsi="Times New Roman" w:cs="Times New Roman"/>
          <w:b/>
          <w:bCs/>
          <w:color w:val="auto"/>
          <w:u w:val="none"/>
        </w:rPr>
        <w:t xml:space="preserve"> 工程分析中危险废物汇总表</w:t>
      </w:r>
    </w:p>
    <w:tbl>
      <w:tblPr>
        <w:tblStyle w:val="3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22"/>
        <w:gridCol w:w="1024"/>
        <w:gridCol w:w="1311"/>
        <w:gridCol w:w="1043"/>
        <w:gridCol w:w="1523"/>
        <w:gridCol w:w="786"/>
        <w:gridCol w:w="976"/>
        <w:gridCol w:w="625"/>
        <w:gridCol w:w="1009"/>
      </w:tblGrid>
      <w:tr w14:paraId="1C276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3DB4187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570" w:type="pct"/>
            <w:vAlign w:val="center"/>
          </w:tcPr>
          <w:p w14:paraId="504C3AD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危险废物名称</w:t>
            </w:r>
          </w:p>
        </w:tc>
        <w:tc>
          <w:tcPr>
            <w:tcW w:w="520" w:type="pct"/>
            <w:vAlign w:val="center"/>
          </w:tcPr>
          <w:p w14:paraId="2D093E0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危险废物类别</w:t>
            </w:r>
          </w:p>
        </w:tc>
        <w:tc>
          <w:tcPr>
            <w:tcW w:w="665" w:type="pct"/>
            <w:vAlign w:val="center"/>
          </w:tcPr>
          <w:p w14:paraId="16991A2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危险废物代码</w:t>
            </w:r>
          </w:p>
        </w:tc>
        <w:tc>
          <w:tcPr>
            <w:tcW w:w="529" w:type="pct"/>
            <w:vAlign w:val="center"/>
          </w:tcPr>
          <w:p w14:paraId="3DBACC6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产生量（t/a/）</w:t>
            </w:r>
          </w:p>
        </w:tc>
        <w:tc>
          <w:tcPr>
            <w:tcW w:w="773" w:type="pct"/>
            <w:vAlign w:val="center"/>
          </w:tcPr>
          <w:p w14:paraId="68EA3A2A">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产生工序及装置</w:t>
            </w:r>
          </w:p>
        </w:tc>
        <w:tc>
          <w:tcPr>
            <w:tcW w:w="399" w:type="pct"/>
            <w:vAlign w:val="center"/>
          </w:tcPr>
          <w:p w14:paraId="49D4E49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形态</w:t>
            </w:r>
          </w:p>
        </w:tc>
        <w:tc>
          <w:tcPr>
            <w:tcW w:w="495" w:type="pct"/>
            <w:vAlign w:val="center"/>
          </w:tcPr>
          <w:p w14:paraId="5F584204">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有害成分</w:t>
            </w:r>
          </w:p>
        </w:tc>
        <w:tc>
          <w:tcPr>
            <w:tcW w:w="317" w:type="pct"/>
            <w:vAlign w:val="center"/>
          </w:tcPr>
          <w:p w14:paraId="47E4292E">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危险特性</w:t>
            </w:r>
          </w:p>
        </w:tc>
        <w:tc>
          <w:tcPr>
            <w:tcW w:w="512" w:type="pct"/>
            <w:vAlign w:val="center"/>
          </w:tcPr>
          <w:p w14:paraId="756D8B21">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污染防治措施*</w:t>
            </w:r>
          </w:p>
        </w:tc>
      </w:tr>
      <w:tr w14:paraId="510C61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34FABBF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1</w:t>
            </w:r>
          </w:p>
        </w:tc>
        <w:tc>
          <w:tcPr>
            <w:tcW w:w="570" w:type="pct"/>
            <w:vAlign w:val="center"/>
          </w:tcPr>
          <w:p w14:paraId="614B3CA5">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危险化学品废包装</w:t>
            </w:r>
          </w:p>
        </w:tc>
        <w:tc>
          <w:tcPr>
            <w:tcW w:w="520" w:type="pct"/>
            <w:vAlign w:val="center"/>
          </w:tcPr>
          <w:p w14:paraId="6299D86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HW49</w:t>
            </w:r>
          </w:p>
        </w:tc>
        <w:tc>
          <w:tcPr>
            <w:tcW w:w="665" w:type="pct"/>
            <w:vAlign w:val="center"/>
          </w:tcPr>
          <w:p w14:paraId="5445C32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900-401-49</w:t>
            </w:r>
          </w:p>
        </w:tc>
        <w:tc>
          <w:tcPr>
            <w:tcW w:w="529" w:type="pct"/>
            <w:vAlign w:val="center"/>
          </w:tcPr>
          <w:p w14:paraId="40EEE052">
            <w:pPr>
              <w:pStyle w:val="41"/>
              <w:rPr>
                <w:rFonts w:hint="default" w:ascii="Times New Roman" w:hAnsi="Times New Roman" w:cs="Times New Roman"/>
                <w:b w:val="0"/>
                <w:color w:val="auto"/>
                <w:u w:val="none"/>
              </w:rPr>
            </w:pPr>
            <w:r>
              <w:rPr>
                <w:rFonts w:hint="eastAsia" w:cs="Times New Roman"/>
                <w:color w:val="auto"/>
                <w:u w:val="none"/>
                <w:lang w:val="en-US" w:eastAsia="zh-CN"/>
              </w:rPr>
              <w:t>3</w:t>
            </w:r>
          </w:p>
        </w:tc>
        <w:tc>
          <w:tcPr>
            <w:tcW w:w="773" w:type="pct"/>
            <w:vAlign w:val="center"/>
          </w:tcPr>
          <w:p w14:paraId="1703130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危化品使用</w:t>
            </w:r>
          </w:p>
        </w:tc>
        <w:tc>
          <w:tcPr>
            <w:tcW w:w="399" w:type="pct"/>
            <w:vAlign w:val="center"/>
          </w:tcPr>
          <w:p w14:paraId="3982D8AD">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95" w:type="pct"/>
            <w:vAlign w:val="center"/>
          </w:tcPr>
          <w:p w14:paraId="7F548DE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有机溶剂</w:t>
            </w:r>
          </w:p>
        </w:tc>
        <w:tc>
          <w:tcPr>
            <w:tcW w:w="317" w:type="pct"/>
            <w:vAlign w:val="center"/>
          </w:tcPr>
          <w:p w14:paraId="4950482B">
            <w:pPr>
              <w:pStyle w:val="45"/>
              <w:rPr>
                <w:rFonts w:hint="default" w:ascii="Times New Roman" w:hAnsi="Times New Roman" w:cs="Times New Roman"/>
                <w:color w:val="auto"/>
                <w:u w:val="none"/>
              </w:rPr>
            </w:pPr>
            <w:r>
              <w:rPr>
                <w:rFonts w:hint="default" w:ascii="Times New Roman" w:hAnsi="Times New Roman" w:cs="Times New Roman"/>
                <w:color w:val="auto"/>
                <w:u w:val="none"/>
              </w:rPr>
              <w:t>T/In</w:t>
            </w:r>
          </w:p>
        </w:tc>
        <w:tc>
          <w:tcPr>
            <w:tcW w:w="512" w:type="pct"/>
            <w:vMerge w:val="restart"/>
            <w:vAlign w:val="center"/>
          </w:tcPr>
          <w:p w14:paraId="113BDFA7">
            <w:pPr>
              <w:pStyle w:val="45"/>
              <w:rPr>
                <w:rFonts w:hint="default" w:ascii="Times New Roman" w:hAnsi="Times New Roman" w:cs="Times New Roman"/>
                <w:color w:val="auto"/>
                <w:u w:val="none"/>
              </w:rPr>
            </w:pPr>
            <w:r>
              <w:rPr>
                <w:rFonts w:hint="default" w:ascii="Times New Roman" w:hAnsi="Times New Roman" w:cs="Times New Roman"/>
                <w:color w:val="auto"/>
                <w:u w:val="none"/>
              </w:rPr>
              <w:t>委托有资质的单位处理</w:t>
            </w:r>
          </w:p>
        </w:tc>
      </w:tr>
      <w:tr w14:paraId="5D7B13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09BE1D30">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2</w:t>
            </w:r>
          </w:p>
        </w:tc>
        <w:tc>
          <w:tcPr>
            <w:tcW w:w="570" w:type="pct"/>
            <w:vAlign w:val="center"/>
          </w:tcPr>
          <w:p w14:paraId="51B8325E">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废槽渣</w:t>
            </w:r>
          </w:p>
        </w:tc>
        <w:tc>
          <w:tcPr>
            <w:tcW w:w="520" w:type="pct"/>
            <w:vAlign w:val="center"/>
          </w:tcPr>
          <w:p w14:paraId="16E93CE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665" w:type="pct"/>
            <w:vAlign w:val="center"/>
          </w:tcPr>
          <w:p w14:paraId="78373FE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29" w:type="pct"/>
            <w:vAlign w:val="center"/>
          </w:tcPr>
          <w:p w14:paraId="0F81D576">
            <w:pPr>
              <w:pStyle w:val="41"/>
              <w:rPr>
                <w:rFonts w:hint="default" w:ascii="Times New Roman" w:hAnsi="Times New Roman" w:cs="Times New Roman"/>
                <w:b w:val="0"/>
                <w:color w:val="auto"/>
                <w:u w:val="none"/>
              </w:rPr>
            </w:pPr>
            <w:r>
              <w:rPr>
                <w:rFonts w:hint="eastAsia" w:cs="Times New Roman"/>
                <w:color w:val="auto"/>
                <w:u w:val="none"/>
                <w:lang w:val="en-US" w:eastAsia="zh-CN"/>
              </w:rPr>
              <w:t>0.8</w:t>
            </w:r>
          </w:p>
        </w:tc>
        <w:tc>
          <w:tcPr>
            <w:tcW w:w="773" w:type="pct"/>
            <w:vAlign w:val="center"/>
          </w:tcPr>
          <w:p w14:paraId="6283DCF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阳极氧化设施</w:t>
            </w:r>
          </w:p>
        </w:tc>
        <w:tc>
          <w:tcPr>
            <w:tcW w:w="399" w:type="pct"/>
            <w:vAlign w:val="center"/>
          </w:tcPr>
          <w:p w14:paraId="255427D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95" w:type="pct"/>
            <w:vAlign w:val="center"/>
          </w:tcPr>
          <w:p w14:paraId="3C3235C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有机物</w:t>
            </w:r>
          </w:p>
        </w:tc>
        <w:tc>
          <w:tcPr>
            <w:tcW w:w="317" w:type="pct"/>
            <w:vAlign w:val="center"/>
          </w:tcPr>
          <w:p w14:paraId="26EF4A73">
            <w:pPr>
              <w:pStyle w:val="45"/>
              <w:rPr>
                <w:rFonts w:hint="default" w:ascii="Times New Roman" w:hAnsi="Times New Roman" w:cs="Times New Roman"/>
                <w:color w:val="auto"/>
                <w:u w:val="none"/>
              </w:rPr>
            </w:pPr>
            <w:r>
              <w:rPr>
                <w:rFonts w:hint="default" w:ascii="Times New Roman" w:hAnsi="Times New Roman" w:cs="Times New Roman"/>
                <w:color w:val="auto"/>
                <w:u w:val="none"/>
              </w:rPr>
              <w:t>T，I</w:t>
            </w:r>
          </w:p>
        </w:tc>
        <w:tc>
          <w:tcPr>
            <w:tcW w:w="512" w:type="pct"/>
            <w:vMerge w:val="continue"/>
            <w:vAlign w:val="center"/>
          </w:tcPr>
          <w:p w14:paraId="70CD5B17">
            <w:pPr>
              <w:pStyle w:val="45"/>
              <w:rPr>
                <w:rFonts w:hint="default" w:ascii="Times New Roman" w:hAnsi="Times New Roman" w:cs="Times New Roman"/>
                <w:color w:val="auto"/>
                <w:u w:val="none"/>
              </w:rPr>
            </w:pPr>
          </w:p>
        </w:tc>
      </w:tr>
      <w:tr w14:paraId="0CBBB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794B772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w:t>
            </w:r>
          </w:p>
        </w:tc>
        <w:tc>
          <w:tcPr>
            <w:tcW w:w="570" w:type="pct"/>
            <w:vAlign w:val="center"/>
          </w:tcPr>
          <w:p w14:paraId="5A04C99D">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含磷废水处理系统浓缩液</w:t>
            </w:r>
          </w:p>
        </w:tc>
        <w:tc>
          <w:tcPr>
            <w:tcW w:w="520" w:type="pct"/>
            <w:vAlign w:val="center"/>
          </w:tcPr>
          <w:p w14:paraId="09D5543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665" w:type="pct"/>
            <w:vAlign w:val="center"/>
          </w:tcPr>
          <w:p w14:paraId="7F55479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29" w:type="pct"/>
            <w:vAlign w:val="center"/>
          </w:tcPr>
          <w:p w14:paraId="0CE962A3">
            <w:pPr>
              <w:pStyle w:val="41"/>
              <w:rPr>
                <w:rFonts w:hint="default" w:ascii="Times New Roman" w:hAnsi="Times New Roman" w:cs="Times New Roman"/>
                <w:b w:val="0"/>
                <w:color w:val="auto"/>
                <w:u w:val="none"/>
              </w:rPr>
            </w:pPr>
            <w:r>
              <w:rPr>
                <w:rFonts w:hint="eastAsia" w:cs="Times New Roman"/>
                <w:color w:val="auto"/>
                <w:u w:val="none"/>
                <w:lang w:val="en-US" w:eastAsia="zh-CN"/>
              </w:rPr>
              <w:t>2.3</w:t>
            </w:r>
          </w:p>
        </w:tc>
        <w:tc>
          <w:tcPr>
            <w:tcW w:w="773" w:type="pct"/>
            <w:vAlign w:val="center"/>
          </w:tcPr>
          <w:p w14:paraId="5C0DDB0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含磷废水处理系统</w:t>
            </w:r>
          </w:p>
        </w:tc>
        <w:tc>
          <w:tcPr>
            <w:tcW w:w="399" w:type="pct"/>
            <w:vAlign w:val="center"/>
          </w:tcPr>
          <w:p w14:paraId="273D83A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液态</w:t>
            </w:r>
          </w:p>
        </w:tc>
        <w:tc>
          <w:tcPr>
            <w:tcW w:w="495" w:type="pct"/>
            <w:vAlign w:val="center"/>
          </w:tcPr>
          <w:p w14:paraId="60FBF120">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317" w:type="pct"/>
            <w:vAlign w:val="center"/>
          </w:tcPr>
          <w:p w14:paraId="755A665B">
            <w:pPr>
              <w:pStyle w:val="45"/>
              <w:rPr>
                <w:rFonts w:hint="default" w:ascii="Times New Roman" w:hAnsi="Times New Roman" w:cs="Times New Roman"/>
                <w:color w:val="auto"/>
                <w:u w:val="none"/>
              </w:rPr>
            </w:pPr>
            <w:r>
              <w:rPr>
                <w:rFonts w:hint="default" w:ascii="Times New Roman" w:hAnsi="Times New Roman" w:cs="Times New Roman"/>
                <w:color w:val="auto"/>
                <w:u w:val="none"/>
              </w:rPr>
              <w:t>T/In</w:t>
            </w:r>
          </w:p>
        </w:tc>
        <w:tc>
          <w:tcPr>
            <w:tcW w:w="512" w:type="pct"/>
            <w:vMerge w:val="continue"/>
            <w:vAlign w:val="center"/>
          </w:tcPr>
          <w:p w14:paraId="13B58561">
            <w:pPr>
              <w:pStyle w:val="45"/>
              <w:rPr>
                <w:rFonts w:hint="default" w:ascii="Times New Roman" w:hAnsi="Times New Roman" w:cs="Times New Roman"/>
                <w:color w:val="auto"/>
                <w:u w:val="none"/>
              </w:rPr>
            </w:pPr>
          </w:p>
        </w:tc>
      </w:tr>
      <w:tr w14:paraId="18D9F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286AFE77">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4</w:t>
            </w:r>
          </w:p>
        </w:tc>
        <w:tc>
          <w:tcPr>
            <w:tcW w:w="570" w:type="pct"/>
            <w:vAlign w:val="center"/>
          </w:tcPr>
          <w:p w14:paraId="6BE94BA2">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含镍（铬）污泥</w:t>
            </w:r>
          </w:p>
        </w:tc>
        <w:tc>
          <w:tcPr>
            <w:tcW w:w="520" w:type="pct"/>
            <w:vAlign w:val="center"/>
          </w:tcPr>
          <w:p w14:paraId="405036F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665" w:type="pct"/>
            <w:vAlign w:val="center"/>
          </w:tcPr>
          <w:p w14:paraId="0BCFB5A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29" w:type="pct"/>
            <w:vAlign w:val="center"/>
          </w:tcPr>
          <w:p w14:paraId="29EF50E8">
            <w:pPr>
              <w:pStyle w:val="41"/>
              <w:rPr>
                <w:rFonts w:hint="default" w:ascii="Times New Roman" w:hAnsi="Times New Roman" w:cs="Times New Roman"/>
                <w:b w:val="0"/>
                <w:color w:val="auto"/>
                <w:u w:val="none"/>
              </w:rPr>
            </w:pPr>
            <w:r>
              <w:rPr>
                <w:rFonts w:hint="eastAsia" w:cs="Times New Roman"/>
                <w:color w:val="auto"/>
                <w:u w:val="none"/>
                <w:lang w:val="en-US" w:eastAsia="zh-CN"/>
              </w:rPr>
              <w:t>43.5</w:t>
            </w:r>
          </w:p>
        </w:tc>
        <w:tc>
          <w:tcPr>
            <w:tcW w:w="773" w:type="pct"/>
            <w:vAlign w:val="center"/>
          </w:tcPr>
          <w:p w14:paraId="7C13423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含镍（铬）废水处理系统</w:t>
            </w:r>
          </w:p>
        </w:tc>
        <w:tc>
          <w:tcPr>
            <w:tcW w:w="399" w:type="pct"/>
            <w:vAlign w:val="center"/>
          </w:tcPr>
          <w:p w14:paraId="6D2231F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95" w:type="pct"/>
            <w:vAlign w:val="center"/>
          </w:tcPr>
          <w:p w14:paraId="2FF8447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317" w:type="pct"/>
            <w:vAlign w:val="center"/>
          </w:tcPr>
          <w:p w14:paraId="287AA75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12" w:type="pct"/>
            <w:vMerge w:val="continue"/>
            <w:vAlign w:val="center"/>
          </w:tcPr>
          <w:p w14:paraId="480DA18F">
            <w:pPr>
              <w:pStyle w:val="39"/>
              <w:rPr>
                <w:rFonts w:hint="default" w:ascii="Times New Roman" w:hAnsi="Times New Roman" w:cs="Times New Roman"/>
                <w:color w:val="auto"/>
                <w:u w:val="none"/>
              </w:rPr>
            </w:pPr>
          </w:p>
        </w:tc>
      </w:tr>
      <w:tr w14:paraId="755E1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1D6CC24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5</w:t>
            </w:r>
          </w:p>
        </w:tc>
        <w:tc>
          <w:tcPr>
            <w:tcW w:w="570" w:type="pct"/>
            <w:vAlign w:val="center"/>
          </w:tcPr>
          <w:p w14:paraId="52A1DE30">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含铬（镍）结晶盐</w:t>
            </w:r>
          </w:p>
        </w:tc>
        <w:tc>
          <w:tcPr>
            <w:tcW w:w="520" w:type="pct"/>
            <w:vAlign w:val="center"/>
          </w:tcPr>
          <w:p w14:paraId="777C5C1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665" w:type="pct"/>
            <w:vAlign w:val="center"/>
          </w:tcPr>
          <w:p w14:paraId="3DDD8B1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29" w:type="pct"/>
            <w:vAlign w:val="center"/>
          </w:tcPr>
          <w:p w14:paraId="7FA27CF4">
            <w:pPr>
              <w:pStyle w:val="41"/>
              <w:rPr>
                <w:rFonts w:hint="default" w:ascii="Times New Roman" w:hAnsi="Times New Roman" w:eastAsia="宋体" w:cs="Times New Roman"/>
                <w:b w:val="0"/>
                <w:color w:val="auto"/>
                <w:u w:val="none"/>
                <w:lang w:val="en-US" w:eastAsia="zh-CN"/>
              </w:rPr>
            </w:pPr>
            <w:r>
              <w:rPr>
                <w:rFonts w:hint="eastAsia" w:cs="Times New Roman"/>
                <w:color w:val="auto"/>
                <w:u w:val="none"/>
                <w:lang w:val="en-US" w:eastAsia="zh-CN"/>
              </w:rPr>
              <w:t>4.2</w:t>
            </w:r>
          </w:p>
        </w:tc>
        <w:tc>
          <w:tcPr>
            <w:tcW w:w="773" w:type="pct"/>
            <w:vAlign w:val="center"/>
          </w:tcPr>
          <w:p w14:paraId="2CF7403D">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废水处理系统</w:t>
            </w:r>
          </w:p>
        </w:tc>
        <w:tc>
          <w:tcPr>
            <w:tcW w:w="399" w:type="pct"/>
            <w:vAlign w:val="center"/>
          </w:tcPr>
          <w:p w14:paraId="2AD1A96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95" w:type="pct"/>
            <w:vAlign w:val="center"/>
          </w:tcPr>
          <w:p w14:paraId="005BD05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317" w:type="pct"/>
            <w:vAlign w:val="center"/>
          </w:tcPr>
          <w:p w14:paraId="03D7654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12" w:type="pct"/>
            <w:vMerge w:val="continue"/>
            <w:vAlign w:val="center"/>
          </w:tcPr>
          <w:p w14:paraId="168DF049">
            <w:pPr>
              <w:pStyle w:val="39"/>
              <w:rPr>
                <w:rFonts w:hint="default" w:ascii="Times New Roman" w:hAnsi="Times New Roman" w:cs="Times New Roman"/>
                <w:color w:val="auto"/>
                <w:u w:val="none"/>
              </w:rPr>
            </w:pPr>
          </w:p>
        </w:tc>
      </w:tr>
      <w:tr w14:paraId="1D6453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145E9A5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6</w:t>
            </w:r>
          </w:p>
        </w:tc>
        <w:tc>
          <w:tcPr>
            <w:tcW w:w="570" w:type="pct"/>
            <w:vAlign w:val="center"/>
          </w:tcPr>
          <w:p w14:paraId="197FCCE9">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废水处理、中水回用</w:t>
            </w:r>
            <w:r>
              <w:rPr>
                <w:rFonts w:hint="default" w:ascii="Times New Roman" w:hAnsi="Times New Roman" w:cs="Times New Roman"/>
                <w:color w:val="auto"/>
                <w:u w:val="none"/>
                <w:lang w:val="en-US" w:eastAsia="zh-CN"/>
              </w:rPr>
              <w:t>系统：</w:t>
            </w:r>
            <w:r>
              <w:rPr>
                <w:rFonts w:hint="default" w:ascii="Times New Roman" w:hAnsi="Times New Roman" w:cs="Times New Roman"/>
                <w:color w:val="auto"/>
                <w:u w:val="none"/>
              </w:rPr>
              <w:t>废RO反渗透膜</w:t>
            </w:r>
          </w:p>
        </w:tc>
        <w:tc>
          <w:tcPr>
            <w:tcW w:w="520" w:type="pct"/>
            <w:vAlign w:val="center"/>
          </w:tcPr>
          <w:p w14:paraId="2D820E37">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HW49</w:t>
            </w:r>
          </w:p>
        </w:tc>
        <w:tc>
          <w:tcPr>
            <w:tcW w:w="665" w:type="pct"/>
            <w:vAlign w:val="center"/>
          </w:tcPr>
          <w:p w14:paraId="2F453A4D">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900-041-49</w:t>
            </w:r>
          </w:p>
        </w:tc>
        <w:tc>
          <w:tcPr>
            <w:tcW w:w="529" w:type="pct"/>
            <w:vAlign w:val="center"/>
          </w:tcPr>
          <w:p w14:paraId="53BD8030">
            <w:pPr>
              <w:pStyle w:val="41"/>
              <w:rPr>
                <w:rFonts w:hint="default" w:ascii="Times New Roman" w:hAnsi="Times New Roman" w:cs="Times New Roman"/>
                <w:b w:val="0"/>
                <w:color w:val="auto"/>
                <w:u w:val="none"/>
              </w:rPr>
            </w:pPr>
            <w:r>
              <w:rPr>
                <w:rFonts w:hint="eastAsia" w:cs="Times New Roman"/>
                <w:color w:val="auto"/>
                <w:u w:val="none"/>
                <w:lang w:val="en-US" w:eastAsia="zh-CN"/>
              </w:rPr>
              <w:t>0.3</w:t>
            </w:r>
          </w:p>
        </w:tc>
        <w:tc>
          <w:tcPr>
            <w:tcW w:w="773" w:type="pct"/>
            <w:vAlign w:val="center"/>
          </w:tcPr>
          <w:p w14:paraId="49538E5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中水回用</w:t>
            </w:r>
          </w:p>
        </w:tc>
        <w:tc>
          <w:tcPr>
            <w:tcW w:w="399" w:type="pct"/>
            <w:vAlign w:val="center"/>
          </w:tcPr>
          <w:p w14:paraId="01C4841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95" w:type="pct"/>
            <w:vAlign w:val="center"/>
          </w:tcPr>
          <w:p w14:paraId="16DEC06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317" w:type="pct"/>
            <w:vAlign w:val="center"/>
          </w:tcPr>
          <w:p w14:paraId="39E658E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12" w:type="pct"/>
            <w:vMerge w:val="continue"/>
            <w:vAlign w:val="center"/>
          </w:tcPr>
          <w:p w14:paraId="6DE1D3CE">
            <w:pPr>
              <w:pStyle w:val="39"/>
              <w:rPr>
                <w:rFonts w:hint="default" w:ascii="Times New Roman" w:hAnsi="Times New Roman" w:cs="Times New Roman"/>
                <w:color w:val="auto"/>
                <w:u w:val="none"/>
              </w:rPr>
            </w:pPr>
          </w:p>
        </w:tc>
      </w:tr>
      <w:tr w14:paraId="19581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6" w:type="pct"/>
            <w:vAlign w:val="center"/>
          </w:tcPr>
          <w:p w14:paraId="347E4E9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7</w:t>
            </w:r>
          </w:p>
        </w:tc>
        <w:tc>
          <w:tcPr>
            <w:tcW w:w="570" w:type="pct"/>
            <w:vAlign w:val="center"/>
          </w:tcPr>
          <w:p w14:paraId="4E50F99C">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废滤芯</w:t>
            </w:r>
          </w:p>
        </w:tc>
        <w:tc>
          <w:tcPr>
            <w:tcW w:w="520" w:type="pct"/>
            <w:vAlign w:val="center"/>
          </w:tcPr>
          <w:p w14:paraId="53563D0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HW49</w:t>
            </w:r>
          </w:p>
        </w:tc>
        <w:tc>
          <w:tcPr>
            <w:tcW w:w="665" w:type="pct"/>
            <w:vAlign w:val="center"/>
          </w:tcPr>
          <w:p w14:paraId="6D66BE3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900-401-49</w:t>
            </w:r>
          </w:p>
        </w:tc>
        <w:tc>
          <w:tcPr>
            <w:tcW w:w="529" w:type="pct"/>
            <w:vAlign w:val="center"/>
          </w:tcPr>
          <w:p w14:paraId="38962D42">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0.</w:t>
            </w:r>
            <w:r>
              <w:rPr>
                <w:rFonts w:hint="eastAsia" w:cs="Times New Roman"/>
                <w:color w:val="auto"/>
                <w:u w:val="none"/>
                <w:lang w:val="en-US" w:eastAsia="zh-CN"/>
              </w:rPr>
              <w:t>2</w:t>
            </w:r>
          </w:p>
        </w:tc>
        <w:tc>
          <w:tcPr>
            <w:tcW w:w="773" w:type="pct"/>
            <w:vAlign w:val="center"/>
          </w:tcPr>
          <w:p w14:paraId="6469120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阳极氧化设施</w:t>
            </w:r>
          </w:p>
        </w:tc>
        <w:tc>
          <w:tcPr>
            <w:tcW w:w="399" w:type="pct"/>
            <w:vAlign w:val="center"/>
          </w:tcPr>
          <w:p w14:paraId="010C01C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95" w:type="pct"/>
            <w:vAlign w:val="center"/>
          </w:tcPr>
          <w:p w14:paraId="02ADCB9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317" w:type="pct"/>
            <w:vAlign w:val="center"/>
          </w:tcPr>
          <w:p w14:paraId="3C97C43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12" w:type="pct"/>
            <w:vMerge w:val="continue"/>
            <w:vAlign w:val="center"/>
          </w:tcPr>
          <w:p w14:paraId="76CECF51">
            <w:pPr>
              <w:pStyle w:val="39"/>
              <w:rPr>
                <w:rFonts w:hint="default" w:ascii="Times New Roman" w:hAnsi="Times New Roman" w:cs="Times New Roman"/>
                <w:color w:val="auto"/>
                <w:u w:val="none"/>
              </w:rPr>
            </w:pPr>
          </w:p>
        </w:tc>
      </w:tr>
    </w:tbl>
    <w:p w14:paraId="2C4C9231">
      <w:pPr>
        <w:pStyle w:val="38"/>
        <w:rPr>
          <w:rFonts w:hint="default" w:ascii="Times New Roman" w:hAnsi="Times New Roman" w:cs="Times New Roman"/>
          <w:color w:val="auto"/>
          <w:u w:val="none"/>
        </w:rPr>
      </w:pPr>
    </w:p>
    <w:p w14:paraId="0E817719">
      <w:pPr>
        <w:ind w:firstLine="480"/>
        <w:rPr>
          <w:rFonts w:hint="default" w:ascii="Times New Roman" w:hAnsi="Times New Roman" w:cs="Times New Roman"/>
          <w:color w:val="auto"/>
          <w:u w:val="none"/>
        </w:rPr>
        <w:sectPr>
          <w:pgSz w:w="11906" w:h="16838"/>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14:paraId="0821CE17">
      <w:pPr>
        <w:pStyle w:val="4"/>
        <w:ind w:left="0" w:leftChars="0" w:firstLineChars="0"/>
        <w:rPr>
          <w:rFonts w:hint="default" w:ascii="Times New Roman" w:hAnsi="Times New Roman" w:cs="Times New Roman"/>
          <w:color w:val="auto"/>
          <w:u w:val="none"/>
        </w:rPr>
      </w:pPr>
      <w:bookmarkStart w:id="101" w:name="_Toc18245"/>
      <w:r>
        <w:rPr>
          <w:rFonts w:hint="default" w:ascii="Times New Roman" w:hAnsi="Times New Roman" w:cs="Times New Roman"/>
          <w:color w:val="auto"/>
          <w:u w:val="none"/>
        </w:rPr>
        <w:t>营运期污染源强汇总</w:t>
      </w:r>
      <w:bookmarkEnd w:id="101"/>
    </w:p>
    <w:p w14:paraId="49D9C96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本项目营运期污染源强汇总如表4.7-1。</w:t>
      </w:r>
    </w:p>
    <w:p w14:paraId="6132076D">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表4.7-1    项目“三废”污染物源强汇总表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80"/>
        <w:gridCol w:w="862"/>
        <w:gridCol w:w="23"/>
        <w:gridCol w:w="1237"/>
        <w:gridCol w:w="290"/>
        <w:gridCol w:w="988"/>
        <w:gridCol w:w="72"/>
        <w:gridCol w:w="783"/>
        <w:gridCol w:w="507"/>
        <w:gridCol w:w="21"/>
        <w:gridCol w:w="748"/>
        <w:gridCol w:w="425"/>
        <w:gridCol w:w="850"/>
        <w:gridCol w:w="993"/>
        <w:gridCol w:w="1057"/>
        <w:gridCol w:w="135"/>
        <w:gridCol w:w="780"/>
        <w:gridCol w:w="721"/>
        <w:gridCol w:w="89"/>
        <w:gridCol w:w="391"/>
        <w:gridCol w:w="227"/>
        <w:gridCol w:w="427"/>
        <w:gridCol w:w="71"/>
        <w:gridCol w:w="775"/>
        <w:gridCol w:w="496"/>
        <w:gridCol w:w="440"/>
      </w:tblGrid>
      <w:tr w14:paraId="21205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restart"/>
            <w:vAlign w:val="center"/>
          </w:tcPr>
          <w:p w14:paraId="463E9F3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废气</w:t>
            </w:r>
          </w:p>
        </w:tc>
        <w:tc>
          <w:tcPr>
            <w:tcW w:w="13408" w:type="dxa"/>
            <w:gridSpan w:val="25"/>
            <w:vAlign w:val="center"/>
          </w:tcPr>
          <w:p w14:paraId="78123191">
            <w:pPr>
              <w:pStyle w:val="41"/>
              <w:rPr>
                <w:rFonts w:hint="default" w:ascii="Times New Roman" w:hAnsi="Times New Roman" w:cs="Times New Roman"/>
                <w:color w:val="auto"/>
                <w:kern w:val="2"/>
                <w:u w:val="none"/>
              </w:rPr>
            </w:pPr>
            <w:r>
              <w:rPr>
                <w:rFonts w:hint="default" w:ascii="Times New Roman" w:hAnsi="Times New Roman" w:cs="Times New Roman"/>
                <w:b/>
                <w:bCs/>
                <w:color w:val="auto"/>
                <w:kern w:val="2"/>
                <w:u w:val="none"/>
              </w:rPr>
              <w:t>有组织排放情况</w:t>
            </w:r>
          </w:p>
        </w:tc>
      </w:tr>
      <w:tr w14:paraId="45E2F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2598267C">
            <w:pPr>
              <w:pStyle w:val="41"/>
              <w:rPr>
                <w:rFonts w:hint="default" w:ascii="Times New Roman" w:hAnsi="Times New Roman" w:cs="Times New Roman"/>
                <w:color w:val="auto"/>
                <w:kern w:val="2"/>
                <w:u w:val="none"/>
              </w:rPr>
            </w:pPr>
          </w:p>
        </w:tc>
        <w:tc>
          <w:tcPr>
            <w:tcW w:w="2122" w:type="dxa"/>
            <w:gridSpan w:val="3"/>
            <w:vMerge w:val="restart"/>
            <w:vAlign w:val="center"/>
          </w:tcPr>
          <w:p w14:paraId="687D06CC">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污染物名称</w:t>
            </w:r>
          </w:p>
        </w:tc>
        <w:tc>
          <w:tcPr>
            <w:tcW w:w="3834" w:type="dxa"/>
            <w:gridSpan w:val="8"/>
            <w:vAlign w:val="center"/>
          </w:tcPr>
          <w:p w14:paraId="400FF01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产生情况</w:t>
            </w:r>
          </w:p>
        </w:tc>
        <w:tc>
          <w:tcPr>
            <w:tcW w:w="1843" w:type="dxa"/>
            <w:gridSpan w:val="2"/>
            <w:vMerge w:val="restart"/>
            <w:vAlign w:val="center"/>
          </w:tcPr>
          <w:p w14:paraId="04DF2704">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控制措施</w:t>
            </w:r>
          </w:p>
        </w:tc>
        <w:tc>
          <w:tcPr>
            <w:tcW w:w="2782" w:type="dxa"/>
            <w:gridSpan w:val="5"/>
            <w:vAlign w:val="center"/>
          </w:tcPr>
          <w:p w14:paraId="29264A97">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排放情况</w:t>
            </w:r>
          </w:p>
        </w:tc>
        <w:tc>
          <w:tcPr>
            <w:tcW w:w="1116" w:type="dxa"/>
            <w:gridSpan w:val="4"/>
            <w:vAlign w:val="center"/>
          </w:tcPr>
          <w:p w14:paraId="3E2C5C7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排气筒</w:t>
            </w:r>
          </w:p>
        </w:tc>
        <w:tc>
          <w:tcPr>
            <w:tcW w:w="1271" w:type="dxa"/>
            <w:gridSpan w:val="2"/>
            <w:vAlign w:val="center"/>
          </w:tcPr>
          <w:p w14:paraId="5C26D44E">
            <w:pPr>
              <w:pStyle w:val="41"/>
              <w:rPr>
                <w:rFonts w:hint="default" w:ascii="Times New Roman" w:hAnsi="Times New Roman" w:cs="Times New Roman"/>
                <w:b w:val="0"/>
                <w:bCs w:val="0"/>
                <w:color w:val="auto"/>
                <w:kern w:val="2"/>
                <w:u w:val="none"/>
              </w:rPr>
            </w:pPr>
            <w:r>
              <w:rPr>
                <w:rFonts w:hint="default" w:ascii="Times New Roman" w:hAnsi="Times New Roman" w:cs="Times New Roman"/>
                <w:b w:val="0"/>
                <w:bCs w:val="0"/>
                <w:color w:val="auto"/>
                <w:kern w:val="2"/>
                <w:u w:val="none"/>
              </w:rPr>
              <w:t>排放标准</w:t>
            </w:r>
          </w:p>
        </w:tc>
        <w:tc>
          <w:tcPr>
            <w:tcW w:w="440" w:type="dxa"/>
            <w:vMerge w:val="restart"/>
            <w:vAlign w:val="center"/>
          </w:tcPr>
          <w:p w14:paraId="22395FAB">
            <w:pPr>
              <w:pStyle w:val="41"/>
              <w:rPr>
                <w:rFonts w:hint="default" w:ascii="Times New Roman" w:hAnsi="Times New Roman" w:cs="Times New Roman"/>
                <w:b w:val="0"/>
                <w:bCs w:val="0"/>
                <w:color w:val="auto"/>
                <w:kern w:val="2"/>
                <w:u w:val="none"/>
              </w:rPr>
            </w:pPr>
            <w:r>
              <w:rPr>
                <w:rFonts w:hint="default" w:ascii="Times New Roman" w:hAnsi="Times New Roman" w:cs="Times New Roman"/>
                <w:b w:val="0"/>
                <w:bCs w:val="0"/>
                <w:color w:val="auto"/>
                <w:kern w:val="2"/>
                <w:u w:val="none"/>
              </w:rPr>
              <w:t>是否达标</w:t>
            </w:r>
          </w:p>
        </w:tc>
      </w:tr>
      <w:tr w14:paraId="4FE338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0C40FBEE">
            <w:pPr>
              <w:pStyle w:val="41"/>
              <w:rPr>
                <w:rFonts w:hint="default" w:ascii="Times New Roman" w:hAnsi="Times New Roman" w:cs="Times New Roman"/>
                <w:color w:val="auto"/>
                <w:kern w:val="2"/>
                <w:u w:val="none"/>
              </w:rPr>
            </w:pPr>
          </w:p>
        </w:tc>
        <w:tc>
          <w:tcPr>
            <w:tcW w:w="2122" w:type="dxa"/>
            <w:gridSpan w:val="3"/>
            <w:vMerge w:val="continue"/>
            <w:vAlign w:val="center"/>
          </w:tcPr>
          <w:p w14:paraId="1DFDF825">
            <w:pPr>
              <w:pStyle w:val="41"/>
              <w:rPr>
                <w:rFonts w:hint="default" w:ascii="Times New Roman" w:hAnsi="Times New Roman" w:cs="Times New Roman"/>
                <w:b/>
                <w:bCs/>
                <w:color w:val="auto"/>
                <w:kern w:val="2"/>
                <w:u w:val="none"/>
              </w:rPr>
            </w:pPr>
          </w:p>
        </w:tc>
        <w:tc>
          <w:tcPr>
            <w:tcW w:w="1350" w:type="dxa"/>
            <w:gridSpan w:val="3"/>
            <w:vAlign w:val="center"/>
          </w:tcPr>
          <w:p w14:paraId="07FFA358">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产生浓度mg/m</w:t>
            </w:r>
            <w:r>
              <w:rPr>
                <w:rFonts w:hint="default" w:ascii="Times New Roman" w:hAnsi="Times New Roman" w:cs="Times New Roman"/>
                <w:b/>
                <w:bCs/>
                <w:color w:val="auto"/>
                <w:kern w:val="2"/>
                <w:u w:val="none"/>
                <w:vertAlign w:val="superscript"/>
              </w:rPr>
              <w:t>3</w:t>
            </w:r>
          </w:p>
        </w:tc>
        <w:tc>
          <w:tcPr>
            <w:tcW w:w="1290" w:type="dxa"/>
            <w:gridSpan w:val="2"/>
            <w:vAlign w:val="center"/>
          </w:tcPr>
          <w:p w14:paraId="5B5C0BB8">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产生速率kg/h</w:t>
            </w:r>
          </w:p>
        </w:tc>
        <w:tc>
          <w:tcPr>
            <w:tcW w:w="1194" w:type="dxa"/>
            <w:gridSpan w:val="3"/>
            <w:vAlign w:val="center"/>
          </w:tcPr>
          <w:p w14:paraId="64982E2B">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产生量t/a</w:t>
            </w:r>
          </w:p>
        </w:tc>
        <w:tc>
          <w:tcPr>
            <w:tcW w:w="1843" w:type="dxa"/>
            <w:gridSpan w:val="2"/>
            <w:vMerge w:val="continue"/>
            <w:vAlign w:val="center"/>
          </w:tcPr>
          <w:p w14:paraId="14ED8235">
            <w:pPr>
              <w:pStyle w:val="41"/>
              <w:rPr>
                <w:rFonts w:hint="default" w:ascii="Times New Roman" w:hAnsi="Times New Roman" w:cs="Times New Roman"/>
                <w:b/>
                <w:bCs/>
                <w:color w:val="auto"/>
                <w:kern w:val="2"/>
                <w:u w:val="none"/>
              </w:rPr>
            </w:pPr>
          </w:p>
        </w:tc>
        <w:tc>
          <w:tcPr>
            <w:tcW w:w="1057" w:type="dxa"/>
            <w:vAlign w:val="center"/>
          </w:tcPr>
          <w:p w14:paraId="33EB596C">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排放浓度mg/m</w:t>
            </w:r>
            <w:r>
              <w:rPr>
                <w:rFonts w:hint="default" w:ascii="Times New Roman" w:hAnsi="Times New Roman" w:cs="Times New Roman"/>
                <w:b/>
                <w:bCs/>
                <w:color w:val="auto"/>
                <w:kern w:val="2"/>
                <w:u w:val="none"/>
                <w:vertAlign w:val="superscript"/>
              </w:rPr>
              <w:t>3</w:t>
            </w:r>
          </w:p>
        </w:tc>
        <w:tc>
          <w:tcPr>
            <w:tcW w:w="915" w:type="dxa"/>
            <w:gridSpan w:val="2"/>
            <w:vAlign w:val="center"/>
          </w:tcPr>
          <w:p w14:paraId="380A9E9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排放速率kg/h</w:t>
            </w:r>
          </w:p>
        </w:tc>
        <w:tc>
          <w:tcPr>
            <w:tcW w:w="810" w:type="dxa"/>
            <w:gridSpan w:val="2"/>
            <w:vAlign w:val="center"/>
          </w:tcPr>
          <w:p w14:paraId="2F8FA5DF">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排放量t/a</w:t>
            </w:r>
          </w:p>
        </w:tc>
        <w:tc>
          <w:tcPr>
            <w:tcW w:w="618" w:type="dxa"/>
            <w:gridSpan w:val="2"/>
            <w:vAlign w:val="center"/>
          </w:tcPr>
          <w:p w14:paraId="6647A3E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高m</w:t>
            </w:r>
          </w:p>
        </w:tc>
        <w:tc>
          <w:tcPr>
            <w:tcW w:w="498" w:type="dxa"/>
            <w:gridSpan w:val="2"/>
            <w:vAlign w:val="center"/>
          </w:tcPr>
          <w:p w14:paraId="31C7D15F">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内径m</w:t>
            </w:r>
          </w:p>
        </w:tc>
        <w:tc>
          <w:tcPr>
            <w:tcW w:w="775" w:type="dxa"/>
            <w:vAlign w:val="center"/>
          </w:tcPr>
          <w:p w14:paraId="47D10722">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浓度mg/m</w:t>
            </w:r>
            <w:r>
              <w:rPr>
                <w:rFonts w:hint="default" w:ascii="Times New Roman" w:hAnsi="Times New Roman" w:cs="Times New Roman"/>
                <w:b/>
                <w:bCs/>
                <w:color w:val="auto"/>
                <w:kern w:val="2"/>
                <w:u w:val="none"/>
                <w:vertAlign w:val="superscript"/>
              </w:rPr>
              <w:t>3</w:t>
            </w:r>
          </w:p>
        </w:tc>
        <w:tc>
          <w:tcPr>
            <w:tcW w:w="496" w:type="dxa"/>
            <w:vAlign w:val="center"/>
          </w:tcPr>
          <w:p w14:paraId="036C70E4">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速率kg/h</w:t>
            </w:r>
          </w:p>
        </w:tc>
        <w:tc>
          <w:tcPr>
            <w:tcW w:w="440" w:type="dxa"/>
            <w:vMerge w:val="continue"/>
            <w:vAlign w:val="center"/>
          </w:tcPr>
          <w:p w14:paraId="7C70497E">
            <w:pPr>
              <w:pStyle w:val="41"/>
              <w:rPr>
                <w:rFonts w:hint="default" w:ascii="Times New Roman" w:hAnsi="Times New Roman" w:cs="Times New Roman"/>
                <w:color w:val="auto"/>
                <w:kern w:val="2"/>
                <w:u w:val="none"/>
              </w:rPr>
            </w:pPr>
          </w:p>
        </w:tc>
      </w:tr>
      <w:tr w14:paraId="3C1C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329D4FBF">
            <w:pPr>
              <w:pStyle w:val="41"/>
              <w:rPr>
                <w:rFonts w:hint="default" w:ascii="Times New Roman" w:hAnsi="Times New Roman" w:cs="Times New Roman"/>
                <w:color w:val="auto"/>
                <w:kern w:val="2"/>
                <w:u w:val="none"/>
              </w:rPr>
            </w:pPr>
          </w:p>
        </w:tc>
        <w:tc>
          <w:tcPr>
            <w:tcW w:w="862" w:type="dxa"/>
            <w:vMerge w:val="restart"/>
            <w:vAlign w:val="center"/>
          </w:tcPr>
          <w:p w14:paraId="7DDF6594">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阳极氧化线</w:t>
            </w:r>
          </w:p>
        </w:tc>
        <w:tc>
          <w:tcPr>
            <w:tcW w:w="1260" w:type="dxa"/>
            <w:gridSpan w:val="2"/>
            <w:vAlign w:val="center"/>
          </w:tcPr>
          <w:p w14:paraId="12D946E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1350" w:type="dxa"/>
            <w:gridSpan w:val="3"/>
            <w:vAlign w:val="center"/>
          </w:tcPr>
          <w:p w14:paraId="1A260470">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24.39</w:t>
            </w:r>
          </w:p>
        </w:tc>
        <w:tc>
          <w:tcPr>
            <w:tcW w:w="1290" w:type="dxa"/>
            <w:gridSpan w:val="2"/>
            <w:vAlign w:val="center"/>
          </w:tcPr>
          <w:p w14:paraId="2046E101">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0.4878</w:t>
            </w:r>
          </w:p>
        </w:tc>
        <w:tc>
          <w:tcPr>
            <w:tcW w:w="1194" w:type="dxa"/>
            <w:gridSpan w:val="3"/>
            <w:vAlign w:val="center"/>
          </w:tcPr>
          <w:p w14:paraId="3F532CA9">
            <w:pPr>
              <w:pStyle w:val="41"/>
              <w:rPr>
                <w:rFonts w:hint="default" w:ascii="Times New Roman" w:hAnsi="Times New Roman" w:eastAsia="宋体" w:cs="Times New Roman"/>
                <w:color w:val="auto"/>
                <w:u w:val="none"/>
                <w:lang w:val="en-US" w:eastAsia="zh-CN"/>
              </w:rPr>
            </w:pPr>
            <w:r>
              <w:rPr>
                <w:rFonts w:hint="eastAsia" w:cs="Times New Roman"/>
                <w:color w:val="auto"/>
                <w:kern w:val="2"/>
                <w:u w:val="none"/>
                <w:lang w:val="en-US" w:eastAsia="zh-CN"/>
              </w:rPr>
              <w:t>3.5126</w:t>
            </w:r>
          </w:p>
        </w:tc>
        <w:tc>
          <w:tcPr>
            <w:tcW w:w="1843" w:type="dxa"/>
            <w:gridSpan w:val="2"/>
            <w:vMerge w:val="restart"/>
            <w:vAlign w:val="center"/>
          </w:tcPr>
          <w:p w14:paraId="11EF8E11">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两级碱性喷淋塔</w:t>
            </w:r>
            <w:r>
              <w:rPr>
                <w:rFonts w:hint="default" w:ascii="Times New Roman" w:hAnsi="Times New Roman" w:cs="Times New Roman"/>
                <w:color w:val="auto"/>
                <w:kern w:val="2"/>
                <w:u w:val="none"/>
              </w:rPr>
              <w:t>（DA0</w:t>
            </w:r>
            <w:r>
              <w:rPr>
                <w:rFonts w:hint="eastAsia" w:cs="Times New Roman"/>
                <w:color w:val="auto"/>
                <w:kern w:val="2"/>
                <w:u w:val="none"/>
                <w:lang w:val="en-US" w:eastAsia="zh-CN"/>
              </w:rPr>
              <w:t>01</w:t>
            </w:r>
            <w:r>
              <w:rPr>
                <w:rFonts w:hint="default" w:ascii="Times New Roman" w:hAnsi="Times New Roman" w:cs="Times New Roman"/>
                <w:color w:val="auto"/>
                <w:kern w:val="2"/>
                <w:u w:val="none"/>
              </w:rPr>
              <w:t>）</w:t>
            </w:r>
          </w:p>
        </w:tc>
        <w:tc>
          <w:tcPr>
            <w:tcW w:w="1057" w:type="dxa"/>
            <w:vAlign w:val="center"/>
          </w:tcPr>
          <w:p w14:paraId="2B5EF646">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2.31738</w:t>
            </w:r>
          </w:p>
        </w:tc>
        <w:tc>
          <w:tcPr>
            <w:tcW w:w="915" w:type="dxa"/>
            <w:gridSpan w:val="2"/>
            <w:vAlign w:val="center"/>
          </w:tcPr>
          <w:p w14:paraId="14FEA245">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0.04635</w:t>
            </w:r>
          </w:p>
        </w:tc>
        <w:tc>
          <w:tcPr>
            <w:tcW w:w="810" w:type="dxa"/>
            <w:gridSpan w:val="2"/>
            <w:vAlign w:val="center"/>
          </w:tcPr>
          <w:p w14:paraId="7A4E39C6">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0.333703</w:t>
            </w:r>
          </w:p>
        </w:tc>
        <w:tc>
          <w:tcPr>
            <w:tcW w:w="618" w:type="dxa"/>
            <w:gridSpan w:val="2"/>
            <w:vMerge w:val="restart"/>
            <w:vAlign w:val="center"/>
          </w:tcPr>
          <w:p w14:paraId="39D20E8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25.5</w:t>
            </w:r>
          </w:p>
        </w:tc>
        <w:tc>
          <w:tcPr>
            <w:tcW w:w="498" w:type="dxa"/>
            <w:gridSpan w:val="2"/>
            <w:vMerge w:val="restart"/>
            <w:vAlign w:val="center"/>
          </w:tcPr>
          <w:p w14:paraId="5DDC4B8A">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0.8</w:t>
            </w:r>
          </w:p>
        </w:tc>
        <w:tc>
          <w:tcPr>
            <w:tcW w:w="775" w:type="dxa"/>
            <w:vAlign w:val="center"/>
          </w:tcPr>
          <w:p w14:paraId="0534215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15</w:t>
            </w:r>
          </w:p>
        </w:tc>
        <w:tc>
          <w:tcPr>
            <w:tcW w:w="496" w:type="dxa"/>
            <w:vAlign w:val="center"/>
          </w:tcPr>
          <w:p w14:paraId="6023980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440" w:type="dxa"/>
            <w:vAlign w:val="center"/>
          </w:tcPr>
          <w:p w14:paraId="2A8BDBC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6734C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0C4B536B">
            <w:pPr>
              <w:pStyle w:val="41"/>
              <w:rPr>
                <w:rFonts w:hint="default" w:ascii="Times New Roman" w:hAnsi="Times New Roman" w:cs="Times New Roman"/>
                <w:color w:val="auto"/>
                <w:kern w:val="2"/>
                <w:u w:val="none"/>
              </w:rPr>
            </w:pPr>
          </w:p>
        </w:tc>
        <w:tc>
          <w:tcPr>
            <w:tcW w:w="862" w:type="dxa"/>
            <w:vMerge w:val="continue"/>
            <w:vAlign w:val="center"/>
          </w:tcPr>
          <w:p w14:paraId="426275B6">
            <w:pPr>
              <w:pStyle w:val="41"/>
              <w:rPr>
                <w:rFonts w:hint="default" w:ascii="Times New Roman" w:hAnsi="Times New Roman" w:cs="Times New Roman"/>
                <w:color w:val="auto"/>
                <w:u w:val="none"/>
              </w:rPr>
            </w:pPr>
          </w:p>
        </w:tc>
        <w:tc>
          <w:tcPr>
            <w:tcW w:w="1260" w:type="dxa"/>
            <w:gridSpan w:val="2"/>
            <w:vAlign w:val="center"/>
          </w:tcPr>
          <w:p w14:paraId="6BDA5908">
            <w:pPr>
              <w:pStyle w:val="41"/>
              <w:rPr>
                <w:rFonts w:hint="default" w:ascii="Times New Roman" w:hAnsi="Times New Roman" w:cs="Times New Roman"/>
                <w:color w:val="auto"/>
                <w:kern w:val="2"/>
                <w:u w:val="none"/>
              </w:rPr>
            </w:pPr>
            <w:r>
              <w:rPr>
                <w:kern w:val="2"/>
              </w:rPr>
              <w:t>氮氧化物</w:t>
            </w:r>
          </w:p>
        </w:tc>
        <w:tc>
          <w:tcPr>
            <w:tcW w:w="1350" w:type="dxa"/>
            <w:gridSpan w:val="3"/>
            <w:vAlign w:val="center"/>
          </w:tcPr>
          <w:p w14:paraId="067EB8E3">
            <w:pPr>
              <w:pStyle w:val="41"/>
              <w:rPr>
                <w:rFonts w:hint="default" w:cs="Times New Roman"/>
                <w:color w:val="auto"/>
                <w:kern w:val="2"/>
                <w:u w:val="none"/>
                <w:lang w:val="en-US" w:eastAsia="zh-CN"/>
              </w:rPr>
            </w:pPr>
            <w:r>
              <w:rPr>
                <w:rFonts w:hint="eastAsia" w:cs="Times New Roman"/>
                <w:color w:val="auto"/>
                <w:kern w:val="2"/>
                <w:u w:val="none"/>
                <w:lang w:val="en-US" w:eastAsia="zh-CN"/>
              </w:rPr>
              <w:t>9.93145</w:t>
            </w:r>
          </w:p>
        </w:tc>
        <w:tc>
          <w:tcPr>
            <w:tcW w:w="1290" w:type="dxa"/>
            <w:gridSpan w:val="2"/>
            <w:vAlign w:val="center"/>
          </w:tcPr>
          <w:p w14:paraId="4458F684">
            <w:pPr>
              <w:pStyle w:val="41"/>
              <w:rPr>
                <w:rFonts w:hint="default" w:cs="Times New Roman"/>
                <w:color w:val="auto"/>
                <w:kern w:val="2"/>
                <w:u w:val="none"/>
                <w:lang w:val="en-US" w:eastAsia="zh-CN"/>
              </w:rPr>
            </w:pPr>
            <w:r>
              <w:rPr>
                <w:rFonts w:hint="eastAsia" w:cs="Times New Roman"/>
                <w:color w:val="auto"/>
                <w:kern w:val="2"/>
                <w:u w:val="none"/>
                <w:lang w:val="en-US" w:eastAsia="zh-CN"/>
              </w:rPr>
              <w:t>0.19863</w:t>
            </w:r>
          </w:p>
        </w:tc>
        <w:tc>
          <w:tcPr>
            <w:tcW w:w="1194" w:type="dxa"/>
            <w:gridSpan w:val="3"/>
            <w:vAlign w:val="center"/>
          </w:tcPr>
          <w:p w14:paraId="53167B81">
            <w:pPr>
              <w:pStyle w:val="41"/>
              <w:rPr>
                <w:rFonts w:hint="default" w:cs="Times New Roman"/>
                <w:color w:val="auto"/>
                <w:kern w:val="2"/>
                <w:u w:val="none"/>
                <w:lang w:val="en-US" w:eastAsia="zh-CN"/>
              </w:rPr>
            </w:pPr>
            <w:r>
              <w:rPr>
                <w:rFonts w:hint="eastAsia" w:cs="Times New Roman"/>
                <w:color w:val="auto"/>
                <w:kern w:val="2"/>
                <w:u w:val="none"/>
                <w:lang w:val="en-US" w:eastAsia="zh-CN"/>
              </w:rPr>
              <w:t>1.43013</w:t>
            </w:r>
          </w:p>
        </w:tc>
        <w:tc>
          <w:tcPr>
            <w:tcW w:w="1843" w:type="dxa"/>
            <w:gridSpan w:val="2"/>
            <w:vMerge w:val="continue"/>
            <w:vAlign w:val="center"/>
          </w:tcPr>
          <w:p w14:paraId="41B1CBEA">
            <w:pPr>
              <w:pStyle w:val="41"/>
              <w:rPr>
                <w:rFonts w:hint="default" w:ascii="Times New Roman" w:hAnsi="Times New Roman" w:cs="Times New Roman"/>
                <w:color w:val="auto"/>
                <w:kern w:val="2"/>
                <w:u w:val="none"/>
              </w:rPr>
            </w:pPr>
          </w:p>
        </w:tc>
        <w:tc>
          <w:tcPr>
            <w:tcW w:w="1057" w:type="dxa"/>
            <w:vAlign w:val="center"/>
          </w:tcPr>
          <w:p w14:paraId="062CEE18">
            <w:pPr>
              <w:pStyle w:val="41"/>
              <w:rPr>
                <w:rFonts w:hint="eastAsia" w:cs="Times New Roman"/>
                <w:color w:val="auto"/>
                <w:kern w:val="2"/>
                <w:u w:val="none"/>
                <w:lang w:val="en-US" w:eastAsia="zh-CN"/>
              </w:rPr>
            </w:pPr>
            <w:r>
              <w:rPr>
                <w:rFonts w:hint="eastAsia" w:cs="Times New Roman"/>
                <w:color w:val="auto"/>
                <w:kern w:val="2"/>
                <w:u w:val="none"/>
                <w:lang w:val="en-US" w:eastAsia="zh-CN"/>
              </w:rPr>
              <w:t>1.489715</w:t>
            </w:r>
          </w:p>
        </w:tc>
        <w:tc>
          <w:tcPr>
            <w:tcW w:w="915" w:type="dxa"/>
            <w:gridSpan w:val="2"/>
            <w:vAlign w:val="center"/>
          </w:tcPr>
          <w:p w14:paraId="17E909BF">
            <w:pPr>
              <w:pStyle w:val="41"/>
              <w:rPr>
                <w:rFonts w:hint="default" w:cs="Times New Roman"/>
                <w:color w:val="auto"/>
                <w:kern w:val="2"/>
                <w:u w:val="none"/>
                <w:lang w:val="en-US" w:eastAsia="zh-CN"/>
              </w:rPr>
            </w:pPr>
            <w:r>
              <w:rPr>
                <w:rFonts w:hint="eastAsia" w:cs="Times New Roman"/>
                <w:color w:val="auto"/>
                <w:kern w:val="2"/>
                <w:u w:val="none"/>
                <w:lang w:val="en-US" w:eastAsia="zh-CN"/>
              </w:rPr>
              <w:t>0.02979</w:t>
            </w:r>
          </w:p>
        </w:tc>
        <w:tc>
          <w:tcPr>
            <w:tcW w:w="810" w:type="dxa"/>
            <w:gridSpan w:val="2"/>
            <w:vAlign w:val="center"/>
          </w:tcPr>
          <w:p w14:paraId="3F806C9C">
            <w:pPr>
              <w:pStyle w:val="41"/>
              <w:rPr>
                <w:rFonts w:hint="default" w:cs="Times New Roman"/>
                <w:color w:val="auto"/>
                <w:kern w:val="2"/>
                <w:u w:val="none"/>
                <w:lang w:val="en-US" w:eastAsia="zh-CN"/>
              </w:rPr>
            </w:pPr>
            <w:r>
              <w:rPr>
                <w:rFonts w:hint="eastAsia" w:cs="Times New Roman"/>
                <w:color w:val="auto"/>
                <w:kern w:val="2"/>
                <w:u w:val="none"/>
                <w:lang w:val="en-US" w:eastAsia="zh-CN"/>
              </w:rPr>
              <w:t>0.214519</w:t>
            </w:r>
          </w:p>
        </w:tc>
        <w:tc>
          <w:tcPr>
            <w:tcW w:w="618" w:type="dxa"/>
            <w:gridSpan w:val="2"/>
            <w:vMerge w:val="continue"/>
            <w:vAlign w:val="center"/>
          </w:tcPr>
          <w:p w14:paraId="3378619C">
            <w:pPr>
              <w:pStyle w:val="41"/>
              <w:rPr>
                <w:rFonts w:hint="default" w:ascii="Times New Roman" w:hAnsi="Times New Roman" w:cs="Times New Roman"/>
                <w:color w:val="auto"/>
                <w:kern w:val="2"/>
                <w:u w:val="none"/>
              </w:rPr>
            </w:pPr>
          </w:p>
        </w:tc>
        <w:tc>
          <w:tcPr>
            <w:tcW w:w="498" w:type="dxa"/>
            <w:gridSpan w:val="2"/>
            <w:vMerge w:val="continue"/>
            <w:vAlign w:val="center"/>
          </w:tcPr>
          <w:p w14:paraId="1FEDE97B">
            <w:pPr>
              <w:pStyle w:val="41"/>
              <w:rPr>
                <w:rFonts w:hint="default" w:ascii="Times New Roman" w:hAnsi="Times New Roman" w:cs="Times New Roman"/>
                <w:color w:val="auto"/>
                <w:kern w:val="2"/>
                <w:u w:val="none"/>
              </w:rPr>
            </w:pPr>
          </w:p>
        </w:tc>
        <w:tc>
          <w:tcPr>
            <w:tcW w:w="775" w:type="dxa"/>
            <w:vAlign w:val="center"/>
          </w:tcPr>
          <w:p w14:paraId="6F35AFCE">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100</w:t>
            </w:r>
          </w:p>
        </w:tc>
        <w:tc>
          <w:tcPr>
            <w:tcW w:w="496" w:type="dxa"/>
            <w:vAlign w:val="center"/>
          </w:tcPr>
          <w:p w14:paraId="4A542253">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w:t>
            </w:r>
          </w:p>
        </w:tc>
        <w:tc>
          <w:tcPr>
            <w:tcW w:w="440" w:type="dxa"/>
            <w:vAlign w:val="center"/>
          </w:tcPr>
          <w:p w14:paraId="0E1413E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05C18A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2FEF0FC3">
            <w:pPr>
              <w:pStyle w:val="41"/>
              <w:rPr>
                <w:rFonts w:hint="default" w:ascii="Times New Roman" w:hAnsi="Times New Roman" w:cs="Times New Roman"/>
                <w:color w:val="auto"/>
                <w:kern w:val="2"/>
                <w:u w:val="none"/>
              </w:rPr>
            </w:pPr>
          </w:p>
        </w:tc>
        <w:tc>
          <w:tcPr>
            <w:tcW w:w="862" w:type="dxa"/>
            <w:vAlign w:val="center"/>
          </w:tcPr>
          <w:p w14:paraId="34419DB3">
            <w:pPr>
              <w:pStyle w:val="41"/>
              <w:rPr>
                <w:rFonts w:hint="default" w:ascii="Times New Roman" w:hAnsi="Times New Roman" w:cs="Times New Roman"/>
                <w:color w:val="auto"/>
                <w:u w:val="none"/>
              </w:rPr>
            </w:pPr>
            <w:r>
              <w:rPr>
                <w:rFonts w:hint="default" w:ascii="Times New Roman" w:hAnsi="Times New Roman" w:cs="Times New Roman"/>
                <w:color w:val="auto"/>
                <w:u w:val="none"/>
              </w:rPr>
              <w:t>铬酸盐封闭</w:t>
            </w:r>
          </w:p>
        </w:tc>
        <w:tc>
          <w:tcPr>
            <w:tcW w:w="1260" w:type="dxa"/>
            <w:gridSpan w:val="2"/>
            <w:vAlign w:val="center"/>
          </w:tcPr>
          <w:p w14:paraId="13235A26">
            <w:pPr>
              <w:pStyle w:val="41"/>
              <w:rPr>
                <w:rFonts w:hint="eastAsia" w:eastAsia="宋体"/>
                <w:kern w:val="2"/>
                <w:lang w:val="en-US" w:eastAsia="zh-CN"/>
              </w:rPr>
            </w:pPr>
            <w:r>
              <w:rPr>
                <w:rFonts w:hint="eastAsia"/>
                <w:kern w:val="2"/>
                <w:lang w:val="en-US" w:eastAsia="zh-CN"/>
              </w:rPr>
              <w:t>铬酸雾</w:t>
            </w:r>
          </w:p>
        </w:tc>
        <w:tc>
          <w:tcPr>
            <w:tcW w:w="1350" w:type="dxa"/>
            <w:gridSpan w:val="3"/>
            <w:vAlign w:val="center"/>
          </w:tcPr>
          <w:p w14:paraId="5D31F2EC">
            <w:pPr>
              <w:pStyle w:val="41"/>
              <w:rPr>
                <w:rFonts w:hint="default" w:cs="Times New Roman"/>
                <w:color w:val="auto"/>
                <w:kern w:val="2"/>
                <w:u w:val="none"/>
                <w:lang w:val="en-US" w:eastAsia="zh-CN"/>
              </w:rPr>
            </w:pPr>
            <w:r>
              <w:rPr>
                <w:rFonts w:hint="eastAsia" w:cs="Times New Roman"/>
                <w:color w:val="auto"/>
                <w:kern w:val="2"/>
                <w:u w:val="none"/>
                <w:lang w:val="en-US" w:eastAsia="zh-CN"/>
              </w:rPr>
              <w:t>1.789958</w:t>
            </w:r>
          </w:p>
        </w:tc>
        <w:tc>
          <w:tcPr>
            <w:tcW w:w="1290" w:type="dxa"/>
            <w:gridSpan w:val="2"/>
            <w:vAlign w:val="center"/>
          </w:tcPr>
          <w:p w14:paraId="4E0E3BD7">
            <w:pPr>
              <w:pStyle w:val="41"/>
              <w:rPr>
                <w:rFonts w:hint="default" w:cs="Times New Roman"/>
                <w:color w:val="auto"/>
                <w:kern w:val="2"/>
                <w:u w:val="none"/>
                <w:lang w:val="en-US" w:eastAsia="zh-CN"/>
              </w:rPr>
            </w:pPr>
            <w:r>
              <w:rPr>
                <w:rFonts w:hint="eastAsia" w:cs="Times New Roman"/>
                <w:color w:val="auto"/>
                <w:kern w:val="2"/>
                <w:u w:val="none"/>
                <w:lang w:val="en-US" w:eastAsia="zh-CN"/>
              </w:rPr>
              <w:t>0.053698</w:t>
            </w:r>
          </w:p>
        </w:tc>
        <w:tc>
          <w:tcPr>
            <w:tcW w:w="1194" w:type="dxa"/>
            <w:gridSpan w:val="3"/>
            <w:vAlign w:val="center"/>
          </w:tcPr>
          <w:p w14:paraId="140B7E50">
            <w:pPr>
              <w:pStyle w:val="41"/>
              <w:rPr>
                <w:rFonts w:hint="default" w:cs="Times New Roman"/>
                <w:color w:val="auto"/>
                <w:kern w:val="2"/>
                <w:u w:val="none"/>
                <w:lang w:val="en-US" w:eastAsia="zh-CN"/>
              </w:rPr>
            </w:pPr>
            <w:r>
              <w:rPr>
                <w:rFonts w:hint="eastAsia" w:cs="Times New Roman"/>
                <w:color w:val="auto"/>
                <w:kern w:val="2"/>
                <w:u w:val="none"/>
                <w:lang w:val="en-US" w:eastAsia="zh-CN"/>
              </w:rPr>
              <w:t>0.386631</w:t>
            </w:r>
          </w:p>
        </w:tc>
        <w:tc>
          <w:tcPr>
            <w:tcW w:w="1843" w:type="dxa"/>
            <w:gridSpan w:val="2"/>
            <w:vAlign w:val="center"/>
          </w:tcPr>
          <w:p w14:paraId="0226783D">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两级碱性喷淋塔</w:t>
            </w:r>
            <w:r>
              <w:rPr>
                <w:rFonts w:hint="default" w:ascii="Times New Roman" w:hAnsi="Times New Roman" w:cs="Times New Roman"/>
                <w:color w:val="auto"/>
                <w:kern w:val="2"/>
                <w:u w:val="none"/>
              </w:rPr>
              <w:t>（DA0</w:t>
            </w:r>
            <w:r>
              <w:rPr>
                <w:rFonts w:hint="eastAsia" w:cs="Times New Roman"/>
                <w:color w:val="auto"/>
                <w:kern w:val="2"/>
                <w:u w:val="none"/>
                <w:lang w:val="en-US" w:eastAsia="zh-CN"/>
              </w:rPr>
              <w:t>02</w:t>
            </w:r>
            <w:r>
              <w:rPr>
                <w:rFonts w:hint="default" w:ascii="Times New Roman" w:hAnsi="Times New Roman" w:cs="Times New Roman"/>
                <w:color w:val="auto"/>
                <w:kern w:val="2"/>
                <w:u w:val="none"/>
              </w:rPr>
              <w:t>）</w:t>
            </w:r>
          </w:p>
        </w:tc>
        <w:tc>
          <w:tcPr>
            <w:tcW w:w="1057" w:type="dxa"/>
            <w:vAlign w:val="center"/>
          </w:tcPr>
          <w:p w14:paraId="2010CBBB">
            <w:pPr>
              <w:pStyle w:val="41"/>
              <w:rPr>
                <w:rFonts w:hint="default" w:cs="Times New Roman"/>
                <w:color w:val="auto"/>
                <w:kern w:val="2"/>
                <w:u w:val="none"/>
                <w:lang w:val="en-US" w:eastAsia="zh-CN"/>
              </w:rPr>
            </w:pPr>
            <w:r>
              <w:rPr>
                <w:rFonts w:hint="eastAsia" w:cs="Times New Roman"/>
                <w:color w:val="auto"/>
                <w:kern w:val="2"/>
                <w:u w:val="none"/>
                <w:lang w:val="en-US" w:eastAsia="zh-CN"/>
              </w:rPr>
              <w:t>0.17928</w:t>
            </w:r>
          </w:p>
        </w:tc>
        <w:tc>
          <w:tcPr>
            <w:tcW w:w="915" w:type="dxa"/>
            <w:gridSpan w:val="2"/>
            <w:vAlign w:val="center"/>
          </w:tcPr>
          <w:p w14:paraId="2B7DB33B">
            <w:pPr>
              <w:pStyle w:val="41"/>
              <w:rPr>
                <w:rFonts w:hint="default" w:cs="Times New Roman"/>
                <w:color w:val="auto"/>
                <w:kern w:val="2"/>
                <w:u w:val="none"/>
                <w:lang w:val="en-US" w:eastAsia="zh-CN"/>
              </w:rPr>
            </w:pPr>
            <w:r>
              <w:rPr>
                <w:rFonts w:hint="eastAsia" w:cs="Times New Roman"/>
                <w:color w:val="auto"/>
                <w:kern w:val="2"/>
                <w:u w:val="none"/>
                <w:lang w:val="en-US" w:eastAsia="zh-CN"/>
              </w:rPr>
              <w:t>0.0053786</w:t>
            </w:r>
          </w:p>
        </w:tc>
        <w:tc>
          <w:tcPr>
            <w:tcW w:w="810" w:type="dxa"/>
            <w:gridSpan w:val="2"/>
            <w:vAlign w:val="center"/>
          </w:tcPr>
          <w:p w14:paraId="7A676F78">
            <w:pPr>
              <w:pStyle w:val="41"/>
              <w:rPr>
                <w:rFonts w:hint="default" w:cs="Times New Roman"/>
                <w:color w:val="auto"/>
                <w:kern w:val="2"/>
                <w:u w:val="none"/>
                <w:lang w:val="en-US" w:eastAsia="zh-CN"/>
              </w:rPr>
            </w:pPr>
            <w:r>
              <w:rPr>
                <w:rFonts w:hint="eastAsia" w:cs="Times New Roman"/>
                <w:color w:val="auto"/>
                <w:kern w:val="2"/>
                <w:u w:val="none"/>
                <w:lang w:val="en-US" w:eastAsia="zh-CN"/>
              </w:rPr>
              <w:t>0.038726</w:t>
            </w:r>
          </w:p>
        </w:tc>
        <w:tc>
          <w:tcPr>
            <w:tcW w:w="618" w:type="dxa"/>
            <w:gridSpan w:val="2"/>
            <w:vAlign w:val="center"/>
          </w:tcPr>
          <w:p w14:paraId="5BBFE667">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25.5</w:t>
            </w:r>
          </w:p>
        </w:tc>
        <w:tc>
          <w:tcPr>
            <w:tcW w:w="498" w:type="dxa"/>
            <w:gridSpan w:val="2"/>
            <w:vAlign w:val="center"/>
          </w:tcPr>
          <w:p w14:paraId="5F68986D">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0.8</w:t>
            </w:r>
          </w:p>
        </w:tc>
        <w:tc>
          <w:tcPr>
            <w:tcW w:w="775" w:type="dxa"/>
            <w:vAlign w:val="center"/>
          </w:tcPr>
          <w:p w14:paraId="6A673BE5">
            <w:pPr>
              <w:pStyle w:val="41"/>
              <w:rPr>
                <w:rFonts w:hint="default" w:cs="Times New Roman"/>
                <w:color w:val="auto"/>
                <w:kern w:val="2"/>
                <w:u w:val="none"/>
                <w:lang w:val="en-US" w:eastAsia="zh-CN"/>
              </w:rPr>
            </w:pPr>
            <w:r>
              <w:rPr>
                <w:rFonts w:hint="eastAsia" w:cs="Times New Roman"/>
                <w:color w:val="auto"/>
                <w:kern w:val="2"/>
                <w:u w:val="none"/>
                <w:lang w:val="en-US" w:eastAsia="zh-CN"/>
              </w:rPr>
              <w:t>0.025</w:t>
            </w:r>
          </w:p>
        </w:tc>
        <w:tc>
          <w:tcPr>
            <w:tcW w:w="496" w:type="dxa"/>
            <w:vAlign w:val="center"/>
          </w:tcPr>
          <w:p w14:paraId="648B34A5">
            <w:pPr>
              <w:pStyle w:val="41"/>
              <w:rPr>
                <w:rFonts w:hint="eastAsia" w:cs="Times New Roman"/>
                <w:color w:val="auto"/>
                <w:kern w:val="2"/>
                <w:u w:val="none"/>
                <w:lang w:val="en-US" w:eastAsia="zh-CN"/>
              </w:rPr>
            </w:pPr>
            <w:r>
              <w:rPr>
                <w:rFonts w:hint="eastAsia" w:cs="Times New Roman"/>
                <w:color w:val="auto"/>
                <w:kern w:val="2"/>
                <w:u w:val="none"/>
                <w:lang w:val="en-US" w:eastAsia="zh-CN"/>
              </w:rPr>
              <w:t>/</w:t>
            </w:r>
          </w:p>
        </w:tc>
        <w:tc>
          <w:tcPr>
            <w:tcW w:w="440" w:type="dxa"/>
            <w:vAlign w:val="center"/>
          </w:tcPr>
          <w:p w14:paraId="52D61E8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3D536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0DA070A5">
            <w:pPr>
              <w:pStyle w:val="41"/>
              <w:rPr>
                <w:rFonts w:hint="default" w:ascii="Times New Roman" w:hAnsi="Times New Roman" w:cs="Times New Roman"/>
                <w:color w:val="auto"/>
                <w:kern w:val="2"/>
                <w:u w:val="none"/>
              </w:rPr>
            </w:pPr>
          </w:p>
        </w:tc>
        <w:tc>
          <w:tcPr>
            <w:tcW w:w="13408" w:type="dxa"/>
            <w:gridSpan w:val="25"/>
            <w:vAlign w:val="center"/>
          </w:tcPr>
          <w:p w14:paraId="55F1860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无组织排放情况</w:t>
            </w:r>
          </w:p>
        </w:tc>
      </w:tr>
      <w:tr w14:paraId="614C60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2C2F1079">
            <w:pPr>
              <w:pStyle w:val="41"/>
              <w:rPr>
                <w:rFonts w:hint="default" w:ascii="Times New Roman" w:hAnsi="Times New Roman" w:cs="Times New Roman"/>
                <w:color w:val="auto"/>
                <w:kern w:val="2"/>
                <w:u w:val="none"/>
              </w:rPr>
            </w:pPr>
          </w:p>
        </w:tc>
        <w:tc>
          <w:tcPr>
            <w:tcW w:w="2122" w:type="dxa"/>
            <w:gridSpan w:val="3"/>
            <w:vMerge w:val="restart"/>
            <w:vAlign w:val="center"/>
          </w:tcPr>
          <w:p w14:paraId="1D96152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无组织位置</w:t>
            </w:r>
          </w:p>
        </w:tc>
        <w:tc>
          <w:tcPr>
            <w:tcW w:w="1278" w:type="dxa"/>
            <w:gridSpan w:val="2"/>
            <w:vMerge w:val="restart"/>
            <w:vAlign w:val="center"/>
          </w:tcPr>
          <w:p w14:paraId="3FD0D4E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污染物名称</w:t>
            </w:r>
          </w:p>
        </w:tc>
        <w:tc>
          <w:tcPr>
            <w:tcW w:w="3406" w:type="dxa"/>
            <w:gridSpan w:val="7"/>
            <w:vAlign w:val="center"/>
          </w:tcPr>
          <w:p w14:paraId="1FA8A60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产生情况</w:t>
            </w:r>
          </w:p>
        </w:tc>
        <w:tc>
          <w:tcPr>
            <w:tcW w:w="993" w:type="dxa"/>
            <w:vMerge w:val="restart"/>
            <w:vAlign w:val="center"/>
          </w:tcPr>
          <w:p w14:paraId="3CE97D7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控制措施</w:t>
            </w:r>
          </w:p>
        </w:tc>
        <w:tc>
          <w:tcPr>
            <w:tcW w:w="3827" w:type="dxa"/>
            <w:gridSpan w:val="8"/>
            <w:vAlign w:val="center"/>
          </w:tcPr>
          <w:p w14:paraId="0BA14D7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排放情况</w:t>
            </w:r>
          </w:p>
        </w:tc>
        <w:tc>
          <w:tcPr>
            <w:tcW w:w="1782" w:type="dxa"/>
            <w:gridSpan w:val="4"/>
            <w:vAlign w:val="center"/>
          </w:tcPr>
          <w:p w14:paraId="42A059C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面源</w:t>
            </w:r>
          </w:p>
        </w:tc>
      </w:tr>
      <w:tr w14:paraId="1A20E3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7D62F199">
            <w:pPr>
              <w:pStyle w:val="41"/>
              <w:rPr>
                <w:rFonts w:hint="default" w:ascii="Times New Roman" w:hAnsi="Times New Roman" w:cs="Times New Roman"/>
                <w:color w:val="auto"/>
                <w:kern w:val="2"/>
                <w:u w:val="none"/>
              </w:rPr>
            </w:pPr>
          </w:p>
        </w:tc>
        <w:tc>
          <w:tcPr>
            <w:tcW w:w="2122" w:type="dxa"/>
            <w:gridSpan w:val="3"/>
            <w:vMerge w:val="continue"/>
            <w:vAlign w:val="center"/>
          </w:tcPr>
          <w:p w14:paraId="7E035504">
            <w:pPr>
              <w:pStyle w:val="41"/>
              <w:rPr>
                <w:rFonts w:hint="default" w:ascii="Times New Roman" w:hAnsi="Times New Roman" w:cs="Times New Roman"/>
                <w:color w:val="auto"/>
                <w:kern w:val="2"/>
                <w:u w:val="none"/>
              </w:rPr>
            </w:pPr>
          </w:p>
        </w:tc>
        <w:tc>
          <w:tcPr>
            <w:tcW w:w="1278" w:type="dxa"/>
            <w:gridSpan w:val="2"/>
            <w:vMerge w:val="continue"/>
            <w:vAlign w:val="center"/>
          </w:tcPr>
          <w:p w14:paraId="4331157E">
            <w:pPr>
              <w:pStyle w:val="41"/>
              <w:rPr>
                <w:rFonts w:hint="default" w:ascii="Times New Roman" w:hAnsi="Times New Roman" w:cs="Times New Roman"/>
                <w:color w:val="auto"/>
                <w:kern w:val="2"/>
                <w:u w:val="none"/>
              </w:rPr>
            </w:pPr>
          </w:p>
        </w:tc>
        <w:tc>
          <w:tcPr>
            <w:tcW w:w="855" w:type="dxa"/>
            <w:gridSpan w:val="2"/>
            <w:vAlign w:val="center"/>
          </w:tcPr>
          <w:p w14:paraId="458A013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产生量t/a</w:t>
            </w:r>
          </w:p>
        </w:tc>
        <w:tc>
          <w:tcPr>
            <w:tcW w:w="1276" w:type="dxa"/>
            <w:gridSpan w:val="3"/>
            <w:vAlign w:val="center"/>
          </w:tcPr>
          <w:p w14:paraId="2B0267E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产生浓度mg/m</w:t>
            </w:r>
            <w:r>
              <w:rPr>
                <w:rFonts w:hint="default" w:ascii="Times New Roman" w:hAnsi="Times New Roman" w:cs="Times New Roman"/>
                <w:color w:val="auto"/>
                <w:kern w:val="2"/>
                <w:u w:val="none"/>
                <w:vertAlign w:val="superscript"/>
              </w:rPr>
              <w:t>3</w:t>
            </w:r>
          </w:p>
        </w:tc>
        <w:tc>
          <w:tcPr>
            <w:tcW w:w="1275" w:type="dxa"/>
            <w:gridSpan w:val="2"/>
            <w:vAlign w:val="center"/>
          </w:tcPr>
          <w:p w14:paraId="5937B72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产生速率kg/h</w:t>
            </w:r>
          </w:p>
        </w:tc>
        <w:tc>
          <w:tcPr>
            <w:tcW w:w="993" w:type="dxa"/>
            <w:vMerge w:val="continue"/>
            <w:vAlign w:val="center"/>
          </w:tcPr>
          <w:p w14:paraId="1DC1D932">
            <w:pPr>
              <w:pStyle w:val="41"/>
              <w:rPr>
                <w:rFonts w:hint="default" w:ascii="Times New Roman" w:hAnsi="Times New Roman" w:cs="Times New Roman"/>
                <w:color w:val="auto"/>
                <w:kern w:val="2"/>
                <w:u w:val="none"/>
              </w:rPr>
            </w:pPr>
          </w:p>
        </w:tc>
        <w:tc>
          <w:tcPr>
            <w:tcW w:w="1057" w:type="dxa"/>
            <w:vAlign w:val="center"/>
          </w:tcPr>
          <w:p w14:paraId="27BC889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排放量t/a</w:t>
            </w:r>
          </w:p>
        </w:tc>
        <w:tc>
          <w:tcPr>
            <w:tcW w:w="1636" w:type="dxa"/>
            <w:gridSpan w:val="3"/>
            <w:vAlign w:val="center"/>
          </w:tcPr>
          <w:p w14:paraId="632B23C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排放浓度mg/m</w:t>
            </w:r>
            <w:r>
              <w:rPr>
                <w:rFonts w:hint="default" w:ascii="Times New Roman" w:hAnsi="Times New Roman" w:cs="Times New Roman"/>
                <w:color w:val="auto"/>
                <w:kern w:val="2"/>
                <w:u w:val="none"/>
                <w:vertAlign w:val="superscript"/>
              </w:rPr>
              <w:t>3</w:t>
            </w:r>
          </w:p>
        </w:tc>
        <w:tc>
          <w:tcPr>
            <w:tcW w:w="1134" w:type="dxa"/>
            <w:gridSpan w:val="4"/>
            <w:vAlign w:val="center"/>
          </w:tcPr>
          <w:p w14:paraId="7892FC5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排放速率kg/h</w:t>
            </w:r>
          </w:p>
        </w:tc>
        <w:tc>
          <w:tcPr>
            <w:tcW w:w="1782" w:type="dxa"/>
            <w:gridSpan w:val="4"/>
            <w:vAlign w:val="center"/>
          </w:tcPr>
          <w:p w14:paraId="4AAC2D0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长/宽/高（m）</w:t>
            </w:r>
          </w:p>
        </w:tc>
      </w:tr>
      <w:tr w14:paraId="13245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5BAE591B">
            <w:pPr>
              <w:pStyle w:val="41"/>
              <w:rPr>
                <w:rFonts w:hint="default" w:ascii="Times New Roman" w:hAnsi="Times New Roman" w:cs="Times New Roman"/>
                <w:color w:val="auto"/>
                <w:kern w:val="2"/>
                <w:u w:val="none"/>
              </w:rPr>
            </w:pPr>
          </w:p>
        </w:tc>
        <w:tc>
          <w:tcPr>
            <w:tcW w:w="2122" w:type="dxa"/>
            <w:gridSpan w:val="3"/>
            <w:vMerge w:val="restart"/>
            <w:vAlign w:val="center"/>
          </w:tcPr>
          <w:p w14:paraId="1AFB5252">
            <w:pPr>
              <w:pStyle w:val="41"/>
              <w:rPr>
                <w:rFonts w:hint="default" w:ascii="Times New Roman" w:hAnsi="Times New Roman" w:cs="Times New Roman"/>
                <w:color w:val="auto"/>
                <w:u w:val="none"/>
              </w:rPr>
            </w:pPr>
            <w:r>
              <w:rPr>
                <w:rFonts w:hint="default" w:ascii="Times New Roman" w:hAnsi="Times New Roman" w:cs="Times New Roman"/>
                <w:color w:val="auto"/>
                <w:u w:val="none"/>
              </w:rPr>
              <w:t>生产车间</w:t>
            </w:r>
          </w:p>
        </w:tc>
        <w:tc>
          <w:tcPr>
            <w:tcW w:w="1278" w:type="dxa"/>
            <w:gridSpan w:val="2"/>
            <w:vAlign w:val="center"/>
          </w:tcPr>
          <w:p w14:paraId="77FB1709">
            <w:pPr>
              <w:pStyle w:val="41"/>
              <w:ind w:right="113" w:rightChars="0"/>
              <w:rPr>
                <w:rFonts w:hint="default" w:ascii="Times New Roman" w:hAnsi="Times New Roman" w:cs="Times New Roman"/>
                <w:color w:val="auto"/>
                <w:kern w:val="2"/>
                <w:u w:val="none"/>
              </w:rPr>
            </w:pPr>
            <w:r>
              <w:rPr>
                <w:rFonts w:hint="default" w:ascii="Times New Roman" w:hAnsi="Times New Roman" w:cs="Times New Roman"/>
                <w:color w:val="auto"/>
                <w:u w:val="none"/>
              </w:rPr>
              <w:t>硫酸雾</w:t>
            </w:r>
          </w:p>
        </w:tc>
        <w:tc>
          <w:tcPr>
            <w:tcW w:w="855" w:type="dxa"/>
            <w:gridSpan w:val="2"/>
            <w:vAlign w:val="center"/>
          </w:tcPr>
          <w:p w14:paraId="2187A428">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0.17563</w:t>
            </w:r>
          </w:p>
        </w:tc>
        <w:tc>
          <w:tcPr>
            <w:tcW w:w="1276" w:type="dxa"/>
            <w:gridSpan w:val="3"/>
            <w:vAlign w:val="center"/>
          </w:tcPr>
          <w:p w14:paraId="27F4DF48">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w:t>
            </w:r>
          </w:p>
        </w:tc>
        <w:tc>
          <w:tcPr>
            <w:tcW w:w="1275" w:type="dxa"/>
            <w:gridSpan w:val="2"/>
            <w:vAlign w:val="center"/>
          </w:tcPr>
          <w:p w14:paraId="431894FD">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0.02439</w:t>
            </w:r>
          </w:p>
        </w:tc>
        <w:tc>
          <w:tcPr>
            <w:tcW w:w="993" w:type="dxa"/>
            <w:vAlign w:val="center"/>
          </w:tcPr>
          <w:p w14:paraId="42F664D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加强通风</w:t>
            </w:r>
          </w:p>
        </w:tc>
        <w:tc>
          <w:tcPr>
            <w:tcW w:w="1057" w:type="dxa"/>
            <w:vAlign w:val="center"/>
          </w:tcPr>
          <w:p w14:paraId="319EFB4F">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0.17563</w:t>
            </w:r>
          </w:p>
        </w:tc>
        <w:tc>
          <w:tcPr>
            <w:tcW w:w="1636" w:type="dxa"/>
            <w:gridSpan w:val="3"/>
            <w:vAlign w:val="center"/>
          </w:tcPr>
          <w:p w14:paraId="300C62CB">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w:t>
            </w:r>
          </w:p>
        </w:tc>
        <w:tc>
          <w:tcPr>
            <w:tcW w:w="1134" w:type="dxa"/>
            <w:gridSpan w:val="4"/>
            <w:vAlign w:val="center"/>
          </w:tcPr>
          <w:p w14:paraId="1EE93C37">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0.02439</w:t>
            </w:r>
          </w:p>
        </w:tc>
        <w:tc>
          <w:tcPr>
            <w:tcW w:w="1782" w:type="dxa"/>
            <w:gridSpan w:val="4"/>
            <w:vMerge w:val="restart"/>
            <w:vAlign w:val="center"/>
          </w:tcPr>
          <w:p w14:paraId="3CB5A72D">
            <w:pPr>
              <w:pStyle w:val="41"/>
              <w:rPr>
                <w:rFonts w:hint="eastAsia" w:ascii="Times New Roman" w:hAnsi="Times New Roman" w:eastAsia="宋体" w:cs="Times New Roman"/>
                <w:color w:val="auto"/>
                <w:kern w:val="2"/>
                <w:u w:val="none"/>
                <w:lang w:val="en-US" w:eastAsia="zh-CN"/>
              </w:rPr>
            </w:pPr>
            <w:r>
              <w:rPr>
                <w:rFonts w:hint="eastAsia" w:cs="Times New Roman"/>
                <w:color w:val="auto"/>
                <w:u w:val="none"/>
                <w:lang w:val="en-US" w:eastAsia="zh-CN"/>
              </w:rPr>
              <w:t>60</w:t>
            </w:r>
            <w:r>
              <w:rPr>
                <w:rFonts w:hint="default" w:ascii="Times New Roman" w:hAnsi="Times New Roman" w:cs="Times New Roman"/>
                <w:color w:val="auto"/>
                <w:u w:val="none"/>
              </w:rPr>
              <w:t>×</w:t>
            </w:r>
            <w:r>
              <w:rPr>
                <w:rFonts w:hint="eastAsia" w:cs="Times New Roman"/>
                <w:color w:val="auto"/>
                <w:u w:val="none"/>
                <w:lang w:val="en-US" w:eastAsia="zh-CN"/>
              </w:rPr>
              <w:t>35</w:t>
            </w:r>
            <w:r>
              <w:rPr>
                <w:rFonts w:hint="default" w:ascii="Times New Roman" w:hAnsi="Times New Roman" w:cs="Times New Roman"/>
                <w:color w:val="auto"/>
                <w:u w:val="none"/>
              </w:rPr>
              <w:t>×</w:t>
            </w:r>
            <w:r>
              <w:rPr>
                <w:rFonts w:hint="default" w:ascii="Times New Roman" w:hAnsi="Times New Roman" w:cs="Times New Roman"/>
                <w:color w:val="auto"/>
                <w:kern w:val="2"/>
                <w:u w:val="none"/>
              </w:rPr>
              <w:t>1</w:t>
            </w:r>
            <w:r>
              <w:rPr>
                <w:rFonts w:hint="eastAsia" w:cs="Times New Roman"/>
                <w:color w:val="auto"/>
                <w:kern w:val="2"/>
                <w:u w:val="none"/>
                <w:lang w:val="en-US" w:eastAsia="zh-CN"/>
              </w:rPr>
              <w:t>5</w:t>
            </w:r>
          </w:p>
        </w:tc>
      </w:tr>
      <w:tr w14:paraId="7D052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73542F35">
            <w:pPr>
              <w:pStyle w:val="41"/>
              <w:rPr>
                <w:rFonts w:hint="default" w:ascii="Times New Roman" w:hAnsi="Times New Roman" w:cs="Times New Roman"/>
                <w:color w:val="auto"/>
                <w:kern w:val="2"/>
                <w:u w:val="none"/>
              </w:rPr>
            </w:pPr>
          </w:p>
        </w:tc>
        <w:tc>
          <w:tcPr>
            <w:tcW w:w="2122" w:type="dxa"/>
            <w:gridSpan w:val="3"/>
            <w:vMerge w:val="continue"/>
            <w:vAlign w:val="center"/>
          </w:tcPr>
          <w:p w14:paraId="1A6D940E">
            <w:pPr>
              <w:pStyle w:val="41"/>
              <w:rPr>
                <w:rFonts w:hint="default" w:ascii="Times New Roman" w:hAnsi="Times New Roman" w:cs="Times New Roman"/>
                <w:color w:val="auto"/>
                <w:kern w:val="2"/>
                <w:u w:val="none"/>
              </w:rPr>
            </w:pPr>
          </w:p>
        </w:tc>
        <w:tc>
          <w:tcPr>
            <w:tcW w:w="1278" w:type="dxa"/>
            <w:gridSpan w:val="2"/>
            <w:vAlign w:val="center"/>
          </w:tcPr>
          <w:p w14:paraId="12985AA4">
            <w:pPr>
              <w:pStyle w:val="41"/>
              <w:rPr>
                <w:rFonts w:hint="default" w:ascii="Times New Roman" w:hAnsi="Times New Roman" w:cs="Times New Roman"/>
                <w:color w:val="auto"/>
                <w:kern w:val="2"/>
                <w:u w:val="none"/>
              </w:rPr>
            </w:pPr>
            <w:r>
              <w:rPr>
                <w:kern w:val="2"/>
              </w:rPr>
              <w:t>氮氧化物</w:t>
            </w:r>
          </w:p>
        </w:tc>
        <w:tc>
          <w:tcPr>
            <w:tcW w:w="855" w:type="dxa"/>
            <w:gridSpan w:val="2"/>
            <w:vAlign w:val="center"/>
          </w:tcPr>
          <w:p w14:paraId="5B8B4D82">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0.07527</w:t>
            </w:r>
          </w:p>
        </w:tc>
        <w:tc>
          <w:tcPr>
            <w:tcW w:w="1276" w:type="dxa"/>
            <w:gridSpan w:val="3"/>
            <w:vAlign w:val="center"/>
          </w:tcPr>
          <w:p w14:paraId="52704C79">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w:t>
            </w:r>
          </w:p>
        </w:tc>
        <w:tc>
          <w:tcPr>
            <w:tcW w:w="1275" w:type="dxa"/>
            <w:gridSpan w:val="2"/>
            <w:vAlign w:val="center"/>
          </w:tcPr>
          <w:p w14:paraId="0526E70D">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0.01045</w:t>
            </w:r>
          </w:p>
        </w:tc>
        <w:tc>
          <w:tcPr>
            <w:tcW w:w="993" w:type="dxa"/>
            <w:vAlign w:val="center"/>
          </w:tcPr>
          <w:p w14:paraId="40DB672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加强通风</w:t>
            </w:r>
          </w:p>
        </w:tc>
        <w:tc>
          <w:tcPr>
            <w:tcW w:w="1057" w:type="dxa"/>
            <w:vAlign w:val="center"/>
          </w:tcPr>
          <w:p w14:paraId="60182694">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0.07527</w:t>
            </w:r>
          </w:p>
        </w:tc>
        <w:tc>
          <w:tcPr>
            <w:tcW w:w="1636" w:type="dxa"/>
            <w:gridSpan w:val="3"/>
            <w:vAlign w:val="center"/>
          </w:tcPr>
          <w:p w14:paraId="0B81D060">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w:t>
            </w:r>
          </w:p>
        </w:tc>
        <w:tc>
          <w:tcPr>
            <w:tcW w:w="1134" w:type="dxa"/>
            <w:gridSpan w:val="4"/>
            <w:vAlign w:val="center"/>
          </w:tcPr>
          <w:p w14:paraId="113AF9F0">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0.01045</w:t>
            </w:r>
          </w:p>
        </w:tc>
        <w:tc>
          <w:tcPr>
            <w:tcW w:w="1782" w:type="dxa"/>
            <w:gridSpan w:val="4"/>
            <w:vMerge w:val="continue"/>
            <w:vAlign w:val="center"/>
          </w:tcPr>
          <w:p w14:paraId="18958E11">
            <w:pPr>
              <w:pStyle w:val="41"/>
              <w:rPr>
                <w:rFonts w:hint="default" w:ascii="Times New Roman" w:hAnsi="Times New Roman" w:cs="Times New Roman"/>
                <w:color w:val="auto"/>
                <w:kern w:val="2"/>
                <w:u w:val="none"/>
              </w:rPr>
            </w:pPr>
          </w:p>
        </w:tc>
      </w:tr>
      <w:tr w14:paraId="129547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5E685A0B">
            <w:pPr>
              <w:pStyle w:val="41"/>
              <w:rPr>
                <w:rFonts w:hint="default" w:ascii="Times New Roman" w:hAnsi="Times New Roman" w:cs="Times New Roman"/>
                <w:color w:val="auto"/>
                <w:kern w:val="2"/>
                <w:u w:val="none"/>
              </w:rPr>
            </w:pPr>
          </w:p>
        </w:tc>
        <w:tc>
          <w:tcPr>
            <w:tcW w:w="2122" w:type="dxa"/>
            <w:gridSpan w:val="3"/>
            <w:vMerge w:val="continue"/>
            <w:vAlign w:val="center"/>
          </w:tcPr>
          <w:p w14:paraId="7B77CB0B">
            <w:pPr>
              <w:pStyle w:val="41"/>
              <w:rPr>
                <w:rFonts w:hint="default" w:ascii="Times New Roman" w:hAnsi="Times New Roman" w:cs="Times New Roman"/>
                <w:color w:val="auto"/>
                <w:u w:val="none"/>
              </w:rPr>
            </w:pPr>
          </w:p>
        </w:tc>
        <w:tc>
          <w:tcPr>
            <w:tcW w:w="1278" w:type="dxa"/>
            <w:gridSpan w:val="2"/>
            <w:vAlign w:val="center"/>
          </w:tcPr>
          <w:p w14:paraId="1A3064D4">
            <w:pPr>
              <w:pStyle w:val="41"/>
              <w:rPr>
                <w:rFonts w:hint="default" w:ascii="Times New Roman" w:hAnsi="Times New Roman" w:cs="Times New Roman"/>
                <w:color w:val="auto"/>
                <w:u w:val="none"/>
              </w:rPr>
            </w:pPr>
            <w:r>
              <w:rPr>
                <w:rFonts w:hint="eastAsia"/>
                <w:kern w:val="2"/>
                <w:lang w:val="en-US" w:eastAsia="zh-CN"/>
              </w:rPr>
              <w:t>铬酸雾</w:t>
            </w:r>
          </w:p>
        </w:tc>
        <w:tc>
          <w:tcPr>
            <w:tcW w:w="855" w:type="dxa"/>
            <w:gridSpan w:val="2"/>
            <w:vAlign w:val="center"/>
          </w:tcPr>
          <w:p w14:paraId="7039D9FB">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0.020349</w:t>
            </w:r>
          </w:p>
        </w:tc>
        <w:tc>
          <w:tcPr>
            <w:tcW w:w="1276" w:type="dxa"/>
            <w:gridSpan w:val="3"/>
            <w:vAlign w:val="center"/>
          </w:tcPr>
          <w:p w14:paraId="219418E7">
            <w:pPr>
              <w:pStyle w:val="41"/>
              <w:rPr>
                <w:rFonts w:hint="default" w:ascii="Times New Roman" w:hAnsi="Times New Roman" w:cs="Times New Roman"/>
                <w:color w:val="auto"/>
                <w:u w:val="none"/>
              </w:rPr>
            </w:pPr>
            <w:r>
              <w:rPr>
                <w:rFonts w:hint="eastAsia" w:cs="Times New Roman"/>
                <w:color w:val="auto"/>
                <w:kern w:val="2"/>
                <w:u w:val="none"/>
                <w:lang w:val="en-US" w:eastAsia="zh-CN"/>
              </w:rPr>
              <w:t>/</w:t>
            </w:r>
          </w:p>
        </w:tc>
        <w:tc>
          <w:tcPr>
            <w:tcW w:w="1275" w:type="dxa"/>
            <w:gridSpan w:val="2"/>
            <w:vAlign w:val="center"/>
          </w:tcPr>
          <w:p w14:paraId="1E575EBD">
            <w:pPr>
              <w:pStyle w:val="41"/>
              <w:rPr>
                <w:rFonts w:hint="default" w:ascii="Times New Roman" w:hAnsi="Times New Roman" w:cs="Times New Roman"/>
                <w:color w:val="auto"/>
                <w:u w:val="none"/>
              </w:rPr>
            </w:pPr>
            <w:r>
              <w:rPr>
                <w:rFonts w:hint="eastAsia" w:cs="Times New Roman"/>
                <w:color w:val="auto"/>
                <w:kern w:val="2"/>
                <w:u w:val="none"/>
                <w:lang w:val="en-US" w:eastAsia="zh-CN"/>
              </w:rPr>
              <w:t>0.002826</w:t>
            </w:r>
          </w:p>
        </w:tc>
        <w:tc>
          <w:tcPr>
            <w:tcW w:w="993" w:type="dxa"/>
            <w:vAlign w:val="center"/>
          </w:tcPr>
          <w:p w14:paraId="525088D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加强通风</w:t>
            </w:r>
          </w:p>
        </w:tc>
        <w:tc>
          <w:tcPr>
            <w:tcW w:w="1057" w:type="dxa"/>
            <w:vAlign w:val="center"/>
          </w:tcPr>
          <w:p w14:paraId="5DF088E0">
            <w:pPr>
              <w:pStyle w:val="41"/>
              <w:rPr>
                <w:rFonts w:hint="default" w:ascii="Times New Roman" w:hAnsi="Times New Roman" w:cs="Times New Roman"/>
                <w:color w:val="auto"/>
                <w:u w:val="none"/>
              </w:rPr>
            </w:pPr>
            <w:r>
              <w:rPr>
                <w:rFonts w:hint="eastAsia" w:cs="Times New Roman"/>
                <w:color w:val="auto"/>
                <w:kern w:val="2"/>
                <w:u w:val="none"/>
                <w:lang w:val="en-US" w:eastAsia="zh-CN"/>
              </w:rPr>
              <w:t>0.020349</w:t>
            </w:r>
          </w:p>
        </w:tc>
        <w:tc>
          <w:tcPr>
            <w:tcW w:w="1636" w:type="dxa"/>
            <w:gridSpan w:val="3"/>
            <w:vAlign w:val="center"/>
          </w:tcPr>
          <w:p w14:paraId="06CE6160">
            <w:pPr>
              <w:pStyle w:val="41"/>
              <w:rPr>
                <w:rFonts w:hint="default" w:ascii="Times New Roman" w:hAnsi="Times New Roman" w:cs="Times New Roman"/>
                <w:color w:val="auto"/>
                <w:u w:val="none"/>
              </w:rPr>
            </w:pPr>
            <w:r>
              <w:rPr>
                <w:rFonts w:hint="eastAsia" w:cs="Times New Roman"/>
                <w:color w:val="auto"/>
                <w:kern w:val="2"/>
                <w:u w:val="none"/>
                <w:lang w:val="en-US" w:eastAsia="zh-CN"/>
              </w:rPr>
              <w:t>/</w:t>
            </w:r>
          </w:p>
        </w:tc>
        <w:tc>
          <w:tcPr>
            <w:tcW w:w="1134" w:type="dxa"/>
            <w:gridSpan w:val="4"/>
            <w:vAlign w:val="center"/>
          </w:tcPr>
          <w:p w14:paraId="142D656C">
            <w:pPr>
              <w:pStyle w:val="41"/>
              <w:rPr>
                <w:rFonts w:hint="default" w:ascii="Times New Roman" w:hAnsi="Times New Roman" w:cs="Times New Roman"/>
                <w:color w:val="auto"/>
                <w:u w:val="none"/>
              </w:rPr>
            </w:pPr>
            <w:r>
              <w:rPr>
                <w:rFonts w:hint="eastAsia" w:cs="Times New Roman"/>
                <w:color w:val="auto"/>
                <w:kern w:val="2"/>
                <w:u w:val="none"/>
                <w:lang w:val="en-US" w:eastAsia="zh-CN"/>
              </w:rPr>
              <w:t>0.002826</w:t>
            </w:r>
          </w:p>
        </w:tc>
        <w:tc>
          <w:tcPr>
            <w:tcW w:w="1782" w:type="dxa"/>
            <w:gridSpan w:val="4"/>
            <w:vMerge w:val="continue"/>
            <w:vAlign w:val="center"/>
          </w:tcPr>
          <w:p w14:paraId="282B5B45">
            <w:pPr>
              <w:pStyle w:val="41"/>
              <w:rPr>
                <w:rFonts w:hint="eastAsia" w:ascii="Times New Roman" w:hAnsi="Times New Roman" w:eastAsia="宋体" w:cs="Times New Roman"/>
                <w:color w:val="auto"/>
                <w:kern w:val="2"/>
                <w:u w:val="none"/>
                <w:lang w:val="en-US" w:eastAsia="zh-CN"/>
              </w:rPr>
            </w:pPr>
          </w:p>
        </w:tc>
      </w:tr>
      <w:tr w14:paraId="401BB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restart"/>
            <w:vAlign w:val="center"/>
          </w:tcPr>
          <w:p w14:paraId="4D2C51C8">
            <w:pPr>
              <w:pStyle w:val="41"/>
              <w:rPr>
                <w:rFonts w:hint="default" w:ascii="Times New Roman" w:hAnsi="Times New Roman" w:cs="Times New Roman"/>
                <w:color w:val="auto"/>
                <w:u w:val="none"/>
              </w:rPr>
            </w:pPr>
            <w:r>
              <w:rPr>
                <w:rFonts w:hint="default" w:ascii="Times New Roman" w:hAnsi="Times New Roman" w:cs="Times New Roman"/>
                <w:color w:val="auto"/>
                <w:u w:val="none"/>
              </w:rPr>
              <w:t>项目</w:t>
            </w:r>
          </w:p>
        </w:tc>
        <w:tc>
          <w:tcPr>
            <w:tcW w:w="2412" w:type="dxa"/>
            <w:gridSpan w:val="4"/>
            <w:vMerge w:val="restart"/>
            <w:vAlign w:val="center"/>
          </w:tcPr>
          <w:p w14:paraId="339A24A9">
            <w:pPr>
              <w:pStyle w:val="41"/>
              <w:rPr>
                <w:rFonts w:hint="default" w:ascii="Times New Roman" w:hAnsi="Times New Roman" w:cs="Times New Roman"/>
                <w:color w:val="auto"/>
                <w:u w:val="none"/>
              </w:rPr>
            </w:pPr>
            <w:r>
              <w:rPr>
                <w:rFonts w:hint="default" w:ascii="Times New Roman" w:hAnsi="Times New Roman" w:cs="Times New Roman"/>
                <w:color w:val="auto"/>
                <w:u w:val="none"/>
              </w:rPr>
              <w:t>污染物名称</w:t>
            </w:r>
          </w:p>
        </w:tc>
        <w:tc>
          <w:tcPr>
            <w:tcW w:w="988" w:type="dxa"/>
            <w:vMerge w:val="restart"/>
            <w:vAlign w:val="center"/>
          </w:tcPr>
          <w:p w14:paraId="38177F35">
            <w:pPr>
              <w:pStyle w:val="41"/>
              <w:rPr>
                <w:rFonts w:hint="default" w:ascii="Times New Roman" w:hAnsi="Times New Roman" w:cs="Times New Roman"/>
                <w:color w:val="auto"/>
                <w:u w:val="none"/>
              </w:rPr>
            </w:pPr>
            <w:r>
              <w:rPr>
                <w:rFonts w:hint="default" w:ascii="Times New Roman" w:hAnsi="Times New Roman" w:cs="Times New Roman"/>
                <w:color w:val="auto"/>
                <w:u w:val="none"/>
              </w:rPr>
              <w:t>污染因子</w:t>
            </w:r>
          </w:p>
        </w:tc>
        <w:tc>
          <w:tcPr>
            <w:tcW w:w="3406" w:type="dxa"/>
            <w:gridSpan w:val="7"/>
            <w:vAlign w:val="center"/>
          </w:tcPr>
          <w:p w14:paraId="142C71A1">
            <w:pPr>
              <w:pStyle w:val="41"/>
              <w:rPr>
                <w:rFonts w:hint="default" w:ascii="Times New Roman" w:hAnsi="Times New Roman" w:cs="Times New Roman"/>
                <w:color w:val="auto"/>
                <w:u w:val="none"/>
              </w:rPr>
            </w:pPr>
            <w:r>
              <w:rPr>
                <w:rFonts w:hint="default" w:ascii="Times New Roman" w:hAnsi="Times New Roman" w:cs="Times New Roman"/>
                <w:color w:val="auto"/>
                <w:u w:val="none"/>
              </w:rPr>
              <w:t>产生量</w:t>
            </w:r>
          </w:p>
        </w:tc>
        <w:tc>
          <w:tcPr>
            <w:tcW w:w="2185" w:type="dxa"/>
            <w:gridSpan w:val="3"/>
            <w:vMerge w:val="restart"/>
            <w:vAlign w:val="center"/>
          </w:tcPr>
          <w:p w14:paraId="19883942">
            <w:pPr>
              <w:pStyle w:val="41"/>
              <w:rPr>
                <w:rFonts w:hint="default" w:ascii="Times New Roman" w:hAnsi="Times New Roman" w:cs="Times New Roman"/>
                <w:color w:val="auto"/>
                <w:u w:val="none"/>
              </w:rPr>
            </w:pPr>
            <w:r>
              <w:rPr>
                <w:rFonts w:hint="default" w:ascii="Times New Roman" w:hAnsi="Times New Roman" w:cs="Times New Roman"/>
                <w:color w:val="auto"/>
                <w:u w:val="none"/>
              </w:rPr>
              <w:t>拟治理措施</w:t>
            </w:r>
          </w:p>
        </w:tc>
        <w:tc>
          <w:tcPr>
            <w:tcW w:w="4417" w:type="dxa"/>
            <w:gridSpan w:val="10"/>
            <w:vAlign w:val="center"/>
          </w:tcPr>
          <w:p w14:paraId="38635063">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排放情况</w:t>
            </w:r>
          </w:p>
        </w:tc>
      </w:tr>
      <w:tr w14:paraId="46061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372ABA2E">
            <w:pPr>
              <w:pStyle w:val="41"/>
              <w:rPr>
                <w:rFonts w:hint="default" w:ascii="Times New Roman" w:hAnsi="Times New Roman" w:cs="Times New Roman"/>
                <w:color w:val="auto"/>
                <w:u w:val="none"/>
              </w:rPr>
            </w:pPr>
          </w:p>
        </w:tc>
        <w:tc>
          <w:tcPr>
            <w:tcW w:w="2412" w:type="dxa"/>
            <w:gridSpan w:val="4"/>
            <w:vMerge w:val="continue"/>
            <w:vAlign w:val="center"/>
          </w:tcPr>
          <w:p w14:paraId="7E6D1223">
            <w:pPr>
              <w:pStyle w:val="41"/>
              <w:rPr>
                <w:rFonts w:hint="default" w:ascii="Times New Roman" w:hAnsi="Times New Roman" w:cs="Times New Roman"/>
                <w:color w:val="auto"/>
                <w:u w:val="none"/>
              </w:rPr>
            </w:pPr>
          </w:p>
        </w:tc>
        <w:tc>
          <w:tcPr>
            <w:tcW w:w="988" w:type="dxa"/>
            <w:vMerge w:val="continue"/>
            <w:vAlign w:val="center"/>
          </w:tcPr>
          <w:p w14:paraId="5F224FE2">
            <w:pPr>
              <w:pStyle w:val="39"/>
              <w:rPr>
                <w:rFonts w:hint="default" w:ascii="Times New Roman" w:hAnsi="Times New Roman" w:cs="Times New Roman"/>
                <w:color w:val="auto"/>
                <w:u w:val="none"/>
              </w:rPr>
            </w:pPr>
          </w:p>
        </w:tc>
        <w:tc>
          <w:tcPr>
            <w:tcW w:w="1383" w:type="dxa"/>
            <w:gridSpan w:val="4"/>
            <w:vAlign w:val="center"/>
          </w:tcPr>
          <w:p w14:paraId="2F05F57E">
            <w:pPr>
              <w:pStyle w:val="39"/>
              <w:rPr>
                <w:rFonts w:hint="default" w:ascii="Times New Roman" w:hAnsi="Times New Roman" w:cs="Times New Roman"/>
                <w:color w:val="auto"/>
                <w:u w:val="none"/>
              </w:rPr>
            </w:pPr>
            <w:r>
              <w:rPr>
                <w:rFonts w:hint="default" w:ascii="Times New Roman" w:hAnsi="Times New Roman" w:cs="Times New Roman"/>
                <w:color w:val="auto"/>
                <w:u w:val="none"/>
              </w:rPr>
              <w:t>产生浓度mg/L</w:t>
            </w:r>
          </w:p>
        </w:tc>
        <w:tc>
          <w:tcPr>
            <w:tcW w:w="2023" w:type="dxa"/>
            <w:gridSpan w:val="3"/>
            <w:vAlign w:val="center"/>
          </w:tcPr>
          <w:p w14:paraId="069BBDDE">
            <w:pPr>
              <w:pStyle w:val="39"/>
              <w:rPr>
                <w:rFonts w:hint="default" w:ascii="Times New Roman" w:hAnsi="Times New Roman" w:cs="Times New Roman"/>
                <w:color w:val="auto"/>
                <w:u w:val="none"/>
              </w:rPr>
            </w:pPr>
            <w:r>
              <w:rPr>
                <w:rFonts w:hint="default" w:ascii="Times New Roman" w:hAnsi="Times New Roman" w:cs="Times New Roman"/>
                <w:color w:val="auto"/>
                <w:u w:val="none"/>
              </w:rPr>
              <w:t>产生量t/a</w:t>
            </w:r>
          </w:p>
        </w:tc>
        <w:tc>
          <w:tcPr>
            <w:tcW w:w="2185" w:type="dxa"/>
            <w:gridSpan w:val="3"/>
            <w:vMerge w:val="continue"/>
            <w:vAlign w:val="center"/>
          </w:tcPr>
          <w:p w14:paraId="608855EE">
            <w:pPr>
              <w:pStyle w:val="41"/>
              <w:rPr>
                <w:rFonts w:hint="default" w:ascii="Times New Roman" w:hAnsi="Times New Roman" w:cs="Times New Roman"/>
                <w:color w:val="auto"/>
                <w:u w:val="none"/>
              </w:rPr>
            </w:pPr>
          </w:p>
        </w:tc>
        <w:tc>
          <w:tcPr>
            <w:tcW w:w="1981" w:type="dxa"/>
            <w:gridSpan w:val="4"/>
            <w:vAlign w:val="center"/>
          </w:tcPr>
          <w:p w14:paraId="22F3CDA7">
            <w:pPr>
              <w:pStyle w:val="39"/>
              <w:rPr>
                <w:rFonts w:hint="default" w:ascii="Times New Roman" w:hAnsi="Times New Roman" w:cs="Times New Roman"/>
                <w:color w:val="auto"/>
                <w:u w:val="none"/>
              </w:rPr>
            </w:pPr>
            <w:r>
              <w:rPr>
                <w:rFonts w:hint="default" w:ascii="Times New Roman" w:hAnsi="Times New Roman" w:cs="Times New Roman"/>
                <w:color w:val="auto"/>
                <w:u w:val="none"/>
              </w:rPr>
              <w:t>排放浓度mg/m</w:t>
            </w:r>
            <w:r>
              <w:rPr>
                <w:rFonts w:hint="default" w:ascii="Times New Roman" w:hAnsi="Times New Roman" w:cs="Times New Roman"/>
                <w:color w:val="auto"/>
                <w:u w:val="none"/>
                <w:vertAlign w:val="superscript"/>
              </w:rPr>
              <w:t>3</w:t>
            </w:r>
          </w:p>
        </w:tc>
        <w:tc>
          <w:tcPr>
            <w:tcW w:w="2436" w:type="dxa"/>
            <w:gridSpan w:val="6"/>
            <w:vAlign w:val="center"/>
          </w:tcPr>
          <w:p w14:paraId="0BD54D31">
            <w:pPr>
              <w:pStyle w:val="39"/>
              <w:rPr>
                <w:rFonts w:hint="default" w:ascii="Times New Roman" w:hAnsi="Times New Roman" w:cs="Times New Roman"/>
                <w:color w:val="auto"/>
                <w:u w:val="none"/>
              </w:rPr>
            </w:pPr>
            <w:r>
              <w:rPr>
                <w:rFonts w:hint="default" w:ascii="Times New Roman" w:hAnsi="Times New Roman" w:cs="Times New Roman"/>
                <w:color w:val="auto"/>
                <w:u w:val="none"/>
              </w:rPr>
              <w:t>排放量t/a</w:t>
            </w:r>
          </w:p>
        </w:tc>
      </w:tr>
      <w:tr w14:paraId="1209B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02" w:hRule="atLeast"/>
          <w:jc w:val="center"/>
        </w:trPr>
        <w:tc>
          <w:tcPr>
            <w:tcW w:w="580" w:type="dxa"/>
            <w:vMerge w:val="restart"/>
            <w:vAlign w:val="center"/>
          </w:tcPr>
          <w:p w14:paraId="1D5573F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w:t>
            </w:r>
          </w:p>
        </w:tc>
        <w:tc>
          <w:tcPr>
            <w:tcW w:w="885" w:type="dxa"/>
            <w:gridSpan w:val="2"/>
            <w:vMerge w:val="restart"/>
            <w:vAlign w:val="center"/>
          </w:tcPr>
          <w:p w14:paraId="2C0782B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职工生活</w:t>
            </w:r>
          </w:p>
        </w:tc>
        <w:tc>
          <w:tcPr>
            <w:tcW w:w="1527" w:type="dxa"/>
            <w:gridSpan w:val="2"/>
            <w:vMerge w:val="restart"/>
            <w:vAlign w:val="center"/>
          </w:tcPr>
          <w:p w14:paraId="77F5AE44">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生活污水（</w:t>
            </w:r>
            <w:r>
              <w:rPr>
                <w:rFonts w:hint="eastAsia" w:cs="Times New Roman"/>
                <w:color w:val="auto"/>
                <w:u w:val="none"/>
                <w:lang w:val="en-US" w:eastAsia="zh-CN"/>
              </w:rPr>
              <w:t>228</w:t>
            </w:r>
            <w:r>
              <w:rPr>
                <w:rFonts w:hint="default" w:ascii="Times New Roman" w:hAnsi="Times New Roman" w:cs="Times New Roman"/>
                <w:color w:val="auto"/>
                <w:u w:val="none"/>
              </w:rPr>
              <w:t>m³/a）</w:t>
            </w:r>
          </w:p>
        </w:tc>
        <w:tc>
          <w:tcPr>
            <w:tcW w:w="988" w:type="dxa"/>
            <w:vAlign w:val="center"/>
          </w:tcPr>
          <w:p w14:paraId="58DFAD1B">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p>
        </w:tc>
        <w:tc>
          <w:tcPr>
            <w:tcW w:w="1383" w:type="dxa"/>
            <w:gridSpan w:val="4"/>
            <w:vAlign w:val="center"/>
          </w:tcPr>
          <w:p w14:paraId="4898C65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350</w:t>
            </w:r>
          </w:p>
        </w:tc>
        <w:tc>
          <w:tcPr>
            <w:tcW w:w="2023" w:type="dxa"/>
            <w:gridSpan w:val="3"/>
            <w:vAlign w:val="center"/>
          </w:tcPr>
          <w:p w14:paraId="1FB3F9BF">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0.0798</w:t>
            </w:r>
          </w:p>
        </w:tc>
        <w:tc>
          <w:tcPr>
            <w:tcW w:w="2185" w:type="dxa"/>
            <w:gridSpan w:val="3"/>
            <w:vMerge w:val="restart"/>
            <w:vAlign w:val="center"/>
          </w:tcPr>
          <w:p w14:paraId="44302D0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化粪池预处理后进入城镇污水处理厂</w:t>
            </w:r>
          </w:p>
        </w:tc>
        <w:tc>
          <w:tcPr>
            <w:tcW w:w="1981" w:type="dxa"/>
            <w:gridSpan w:val="4"/>
            <w:vAlign w:val="center"/>
          </w:tcPr>
          <w:p w14:paraId="3BBB592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2436" w:type="dxa"/>
            <w:gridSpan w:val="6"/>
            <w:vAlign w:val="center"/>
          </w:tcPr>
          <w:p w14:paraId="254FC397">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eastAsia="zh-CN"/>
              </w:rPr>
              <w:t>0</w:t>
            </w:r>
            <w:r>
              <w:rPr>
                <w:rFonts w:hint="eastAsia" w:cs="Times New Roman"/>
                <w:color w:val="auto"/>
                <w:kern w:val="2"/>
                <w:u w:val="none"/>
                <w:lang w:val="en-US" w:eastAsia="zh-CN"/>
              </w:rPr>
              <w:t>.0684</w:t>
            </w:r>
          </w:p>
        </w:tc>
      </w:tr>
      <w:tr w14:paraId="7D2AA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580" w:type="dxa"/>
            <w:vMerge w:val="continue"/>
            <w:vAlign w:val="center"/>
          </w:tcPr>
          <w:p w14:paraId="74373255">
            <w:pPr>
              <w:pStyle w:val="41"/>
              <w:rPr>
                <w:rFonts w:hint="default" w:ascii="Times New Roman" w:hAnsi="Times New Roman" w:cs="Times New Roman"/>
                <w:color w:val="auto"/>
                <w:kern w:val="2"/>
                <w:u w:val="none"/>
              </w:rPr>
            </w:pPr>
          </w:p>
        </w:tc>
        <w:tc>
          <w:tcPr>
            <w:tcW w:w="885" w:type="dxa"/>
            <w:gridSpan w:val="2"/>
            <w:vMerge w:val="continue"/>
            <w:vAlign w:val="center"/>
          </w:tcPr>
          <w:p w14:paraId="77F89577">
            <w:pPr>
              <w:pStyle w:val="41"/>
              <w:rPr>
                <w:rFonts w:hint="default" w:ascii="Times New Roman" w:hAnsi="Times New Roman" w:cs="Times New Roman"/>
                <w:color w:val="auto"/>
                <w:kern w:val="2"/>
                <w:u w:val="none"/>
              </w:rPr>
            </w:pPr>
          </w:p>
        </w:tc>
        <w:tc>
          <w:tcPr>
            <w:tcW w:w="1527" w:type="dxa"/>
            <w:gridSpan w:val="2"/>
            <w:vMerge w:val="continue"/>
            <w:vAlign w:val="center"/>
          </w:tcPr>
          <w:p w14:paraId="5907DB94">
            <w:pPr>
              <w:pStyle w:val="41"/>
              <w:rPr>
                <w:rFonts w:hint="default" w:ascii="Times New Roman" w:hAnsi="Times New Roman" w:cs="Times New Roman"/>
                <w:color w:val="auto"/>
                <w:kern w:val="2"/>
                <w:u w:val="none"/>
              </w:rPr>
            </w:pPr>
          </w:p>
        </w:tc>
        <w:tc>
          <w:tcPr>
            <w:tcW w:w="988" w:type="dxa"/>
            <w:vAlign w:val="center"/>
          </w:tcPr>
          <w:p w14:paraId="2C870C0D">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氨氮</w:t>
            </w:r>
          </w:p>
        </w:tc>
        <w:tc>
          <w:tcPr>
            <w:tcW w:w="1383" w:type="dxa"/>
            <w:gridSpan w:val="4"/>
            <w:vAlign w:val="center"/>
          </w:tcPr>
          <w:p w14:paraId="4A354B1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35</w:t>
            </w:r>
          </w:p>
        </w:tc>
        <w:tc>
          <w:tcPr>
            <w:tcW w:w="2023" w:type="dxa"/>
            <w:gridSpan w:val="3"/>
            <w:vAlign w:val="center"/>
          </w:tcPr>
          <w:p w14:paraId="1B3A3483">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0.00798</w:t>
            </w:r>
          </w:p>
        </w:tc>
        <w:tc>
          <w:tcPr>
            <w:tcW w:w="2185" w:type="dxa"/>
            <w:gridSpan w:val="3"/>
            <w:vMerge w:val="continue"/>
            <w:vAlign w:val="center"/>
          </w:tcPr>
          <w:p w14:paraId="071C725B">
            <w:pPr>
              <w:pStyle w:val="41"/>
              <w:rPr>
                <w:rFonts w:hint="default" w:ascii="Times New Roman" w:hAnsi="Times New Roman" w:cs="Times New Roman"/>
                <w:color w:val="auto"/>
                <w:kern w:val="2"/>
                <w:u w:val="none"/>
              </w:rPr>
            </w:pPr>
          </w:p>
        </w:tc>
        <w:tc>
          <w:tcPr>
            <w:tcW w:w="1981" w:type="dxa"/>
            <w:gridSpan w:val="4"/>
            <w:vAlign w:val="center"/>
          </w:tcPr>
          <w:p w14:paraId="297541E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w:t>
            </w:r>
          </w:p>
        </w:tc>
        <w:tc>
          <w:tcPr>
            <w:tcW w:w="2436" w:type="dxa"/>
            <w:gridSpan w:val="6"/>
            <w:vAlign w:val="center"/>
          </w:tcPr>
          <w:p w14:paraId="5331ADC7">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0.00684</w:t>
            </w:r>
          </w:p>
        </w:tc>
      </w:tr>
      <w:tr w14:paraId="55353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2D28AA10">
            <w:pPr>
              <w:pStyle w:val="41"/>
              <w:rPr>
                <w:rFonts w:hint="default" w:ascii="Times New Roman" w:hAnsi="Times New Roman" w:cs="Times New Roman"/>
                <w:color w:val="auto"/>
                <w:u w:val="none"/>
              </w:rPr>
            </w:pPr>
          </w:p>
        </w:tc>
        <w:tc>
          <w:tcPr>
            <w:tcW w:w="885" w:type="dxa"/>
            <w:gridSpan w:val="2"/>
            <w:vMerge w:val="restart"/>
            <w:vAlign w:val="center"/>
          </w:tcPr>
          <w:p w14:paraId="1D9B5D5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阳极氧化线</w:t>
            </w:r>
          </w:p>
        </w:tc>
        <w:tc>
          <w:tcPr>
            <w:tcW w:w="1527" w:type="dxa"/>
            <w:gridSpan w:val="2"/>
            <w:vMerge w:val="restart"/>
            <w:vAlign w:val="center"/>
          </w:tcPr>
          <w:p w14:paraId="041654F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含磷废水（</w:t>
            </w:r>
            <w:r>
              <w:rPr>
                <w:rFonts w:hint="eastAsia" w:cs="Times New Roman"/>
                <w:color w:val="auto"/>
                <w:u w:val="none"/>
                <w:lang w:val="en-US" w:eastAsia="zh-CN"/>
              </w:rPr>
              <w:t>578.4</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3DA52E4C">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pH</w:t>
            </w:r>
          </w:p>
        </w:tc>
        <w:tc>
          <w:tcPr>
            <w:tcW w:w="1383" w:type="dxa"/>
            <w:gridSpan w:val="4"/>
            <w:vAlign w:val="center"/>
          </w:tcPr>
          <w:p w14:paraId="1CF772E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3~4</w:t>
            </w:r>
          </w:p>
        </w:tc>
        <w:tc>
          <w:tcPr>
            <w:tcW w:w="2023" w:type="dxa"/>
            <w:gridSpan w:val="3"/>
            <w:vAlign w:val="center"/>
          </w:tcPr>
          <w:p w14:paraId="4D2E609B">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53324A54">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进入含磷废水（液）处理系统处理后，回用于生产不外排</w:t>
            </w:r>
          </w:p>
        </w:tc>
        <w:tc>
          <w:tcPr>
            <w:tcW w:w="4417" w:type="dxa"/>
            <w:gridSpan w:val="10"/>
            <w:vMerge w:val="restart"/>
            <w:vAlign w:val="center"/>
          </w:tcPr>
          <w:p w14:paraId="29AA8FE2">
            <w:pPr>
              <w:pStyle w:val="39"/>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r>
      <w:tr w14:paraId="4DB9BB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42AF53E">
            <w:pPr>
              <w:pStyle w:val="41"/>
              <w:rPr>
                <w:rFonts w:hint="default" w:ascii="Times New Roman" w:hAnsi="Times New Roman" w:cs="Times New Roman"/>
                <w:color w:val="auto"/>
                <w:u w:val="none"/>
              </w:rPr>
            </w:pPr>
          </w:p>
        </w:tc>
        <w:tc>
          <w:tcPr>
            <w:tcW w:w="885" w:type="dxa"/>
            <w:gridSpan w:val="2"/>
            <w:vMerge w:val="continue"/>
            <w:vAlign w:val="center"/>
          </w:tcPr>
          <w:p w14:paraId="69FE11CD">
            <w:pPr>
              <w:pStyle w:val="41"/>
              <w:rPr>
                <w:rFonts w:hint="default" w:ascii="Times New Roman" w:hAnsi="Times New Roman" w:cs="Times New Roman"/>
                <w:color w:val="auto"/>
                <w:kern w:val="2"/>
                <w:u w:val="none"/>
              </w:rPr>
            </w:pPr>
          </w:p>
        </w:tc>
        <w:tc>
          <w:tcPr>
            <w:tcW w:w="1527" w:type="dxa"/>
            <w:gridSpan w:val="2"/>
            <w:vMerge w:val="continue"/>
            <w:vAlign w:val="center"/>
          </w:tcPr>
          <w:p w14:paraId="5BA11EB6">
            <w:pPr>
              <w:pStyle w:val="41"/>
              <w:rPr>
                <w:rFonts w:hint="default" w:ascii="Times New Roman" w:hAnsi="Times New Roman" w:cs="Times New Roman"/>
                <w:color w:val="auto"/>
                <w:kern w:val="2"/>
                <w:u w:val="none"/>
              </w:rPr>
            </w:pPr>
          </w:p>
        </w:tc>
        <w:tc>
          <w:tcPr>
            <w:tcW w:w="988" w:type="dxa"/>
            <w:vAlign w:val="center"/>
          </w:tcPr>
          <w:p w14:paraId="68237682">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37C9CBA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2023" w:type="dxa"/>
            <w:gridSpan w:val="3"/>
            <w:vAlign w:val="center"/>
          </w:tcPr>
          <w:p w14:paraId="17A9E086">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0.04392</w:t>
            </w:r>
          </w:p>
        </w:tc>
        <w:tc>
          <w:tcPr>
            <w:tcW w:w="2185" w:type="dxa"/>
            <w:gridSpan w:val="3"/>
            <w:vMerge w:val="continue"/>
            <w:vAlign w:val="center"/>
          </w:tcPr>
          <w:p w14:paraId="6825D65B">
            <w:pPr>
              <w:pStyle w:val="39"/>
              <w:rPr>
                <w:rFonts w:hint="default" w:ascii="Times New Roman" w:hAnsi="Times New Roman" w:cs="Times New Roman"/>
                <w:color w:val="auto"/>
                <w:u w:val="none"/>
              </w:rPr>
            </w:pPr>
          </w:p>
        </w:tc>
        <w:tc>
          <w:tcPr>
            <w:tcW w:w="4417" w:type="dxa"/>
            <w:gridSpan w:val="10"/>
            <w:vMerge w:val="continue"/>
            <w:vAlign w:val="center"/>
          </w:tcPr>
          <w:p w14:paraId="16A4787C">
            <w:pPr>
              <w:pStyle w:val="39"/>
              <w:rPr>
                <w:rFonts w:hint="default" w:ascii="Times New Roman" w:hAnsi="Times New Roman" w:cs="Times New Roman"/>
                <w:color w:val="auto"/>
                <w:u w:val="none"/>
              </w:rPr>
            </w:pPr>
          </w:p>
        </w:tc>
      </w:tr>
      <w:tr w14:paraId="2030D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07AADAC1">
            <w:pPr>
              <w:pStyle w:val="41"/>
              <w:rPr>
                <w:rFonts w:hint="default" w:ascii="Times New Roman" w:hAnsi="Times New Roman" w:cs="Times New Roman"/>
                <w:color w:val="auto"/>
                <w:u w:val="none"/>
              </w:rPr>
            </w:pPr>
          </w:p>
        </w:tc>
        <w:tc>
          <w:tcPr>
            <w:tcW w:w="885" w:type="dxa"/>
            <w:gridSpan w:val="2"/>
            <w:vMerge w:val="continue"/>
            <w:vAlign w:val="center"/>
          </w:tcPr>
          <w:p w14:paraId="495C43A8">
            <w:pPr>
              <w:pStyle w:val="41"/>
              <w:rPr>
                <w:rFonts w:hint="default" w:ascii="Times New Roman" w:hAnsi="Times New Roman" w:cs="Times New Roman"/>
                <w:color w:val="auto"/>
                <w:kern w:val="2"/>
                <w:u w:val="none"/>
              </w:rPr>
            </w:pPr>
          </w:p>
        </w:tc>
        <w:tc>
          <w:tcPr>
            <w:tcW w:w="1527" w:type="dxa"/>
            <w:gridSpan w:val="2"/>
            <w:vMerge w:val="continue"/>
            <w:vAlign w:val="center"/>
          </w:tcPr>
          <w:p w14:paraId="0D22F110">
            <w:pPr>
              <w:pStyle w:val="41"/>
              <w:rPr>
                <w:rFonts w:hint="default" w:ascii="Times New Roman" w:hAnsi="Times New Roman" w:cs="Times New Roman"/>
                <w:color w:val="auto"/>
                <w:kern w:val="2"/>
                <w:u w:val="none"/>
              </w:rPr>
            </w:pPr>
          </w:p>
        </w:tc>
        <w:tc>
          <w:tcPr>
            <w:tcW w:w="988" w:type="dxa"/>
            <w:vAlign w:val="center"/>
          </w:tcPr>
          <w:p w14:paraId="146F3005">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总磷</w:t>
            </w:r>
          </w:p>
        </w:tc>
        <w:tc>
          <w:tcPr>
            <w:tcW w:w="1383" w:type="dxa"/>
            <w:gridSpan w:val="4"/>
            <w:vAlign w:val="center"/>
          </w:tcPr>
          <w:p w14:paraId="2813587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500</w:t>
            </w:r>
          </w:p>
        </w:tc>
        <w:tc>
          <w:tcPr>
            <w:tcW w:w="2023" w:type="dxa"/>
            <w:gridSpan w:val="3"/>
            <w:vAlign w:val="center"/>
          </w:tcPr>
          <w:p w14:paraId="157128EC">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0.0732</w:t>
            </w:r>
          </w:p>
        </w:tc>
        <w:tc>
          <w:tcPr>
            <w:tcW w:w="2185" w:type="dxa"/>
            <w:gridSpan w:val="3"/>
            <w:vMerge w:val="continue"/>
            <w:vAlign w:val="center"/>
          </w:tcPr>
          <w:p w14:paraId="3BD7C110">
            <w:pPr>
              <w:pStyle w:val="39"/>
              <w:rPr>
                <w:rFonts w:hint="default" w:ascii="Times New Roman" w:hAnsi="Times New Roman" w:cs="Times New Roman"/>
                <w:color w:val="auto"/>
                <w:u w:val="none"/>
              </w:rPr>
            </w:pPr>
          </w:p>
        </w:tc>
        <w:tc>
          <w:tcPr>
            <w:tcW w:w="4417" w:type="dxa"/>
            <w:gridSpan w:val="10"/>
            <w:vMerge w:val="continue"/>
            <w:vAlign w:val="center"/>
          </w:tcPr>
          <w:p w14:paraId="30FC69FF">
            <w:pPr>
              <w:pStyle w:val="39"/>
              <w:rPr>
                <w:rFonts w:hint="default" w:ascii="Times New Roman" w:hAnsi="Times New Roman" w:cs="Times New Roman"/>
                <w:color w:val="auto"/>
                <w:u w:val="none"/>
              </w:rPr>
            </w:pPr>
          </w:p>
        </w:tc>
      </w:tr>
      <w:tr w14:paraId="6BEE4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2B1E4DC3">
            <w:pPr>
              <w:pStyle w:val="41"/>
              <w:rPr>
                <w:rFonts w:hint="default" w:ascii="Times New Roman" w:hAnsi="Times New Roman" w:cs="Times New Roman"/>
                <w:color w:val="auto"/>
                <w:u w:val="none"/>
              </w:rPr>
            </w:pPr>
          </w:p>
        </w:tc>
        <w:tc>
          <w:tcPr>
            <w:tcW w:w="885" w:type="dxa"/>
            <w:gridSpan w:val="2"/>
            <w:vMerge w:val="continue"/>
            <w:vAlign w:val="center"/>
          </w:tcPr>
          <w:p w14:paraId="7F46BD44">
            <w:pPr>
              <w:pStyle w:val="41"/>
              <w:rPr>
                <w:rFonts w:hint="default" w:ascii="Times New Roman" w:hAnsi="Times New Roman" w:cs="Times New Roman"/>
                <w:color w:val="auto"/>
                <w:kern w:val="2"/>
                <w:u w:val="none"/>
              </w:rPr>
            </w:pPr>
          </w:p>
        </w:tc>
        <w:tc>
          <w:tcPr>
            <w:tcW w:w="1527" w:type="dxa"/>
            <w:gridSpan w:val="2"/>
            <w:vMerge w:val="continue"/>
            <w:vAlign w:val="center"/>
          </w:tcPr>
          <w:p w14:paraId="7B7BA1A2">
            <w:pPr>
              <w:pStyle w:val="41"/>
              <w:rPr>
                <w:rFonts w:hint="default" w:ascii="Times New Roman" w:hAnsi="Times New Roman" w:cs="Times New Roman"/>
                <w:color w:val="auto"/>
                <w:kern w:val="2"/>
                <w:u w:val="none"/>
              </w:rPr>
            </w:pPr>
          </w:p>
        </w:tc>
        <w:tc>
          <w:tcPr>
            <w:tcW w:w="988" w:type="dxa"/>
            <w:vAlign w:val="center"/>
          </w:tcPr>
          <w:p w14:paraId="36CB4ED5">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石油类</w:t>
            </w:r>
          </w:p>
        </w:tc>
        <w:tc>
          <w:tcPr>
            <w:tcW w:w="1383" w:type="dxa"/>
            <w:gridSpan w:val="4"/>
            <w:vAlign w:val="center"/>
          </w:tcPr>
          <w:p w14:paraId="4CEA148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15</w:t>
            </w:r>
          </w:p>
        </w:tc>
        <w:tc>
          <w:tcPr>
            <w:tcW w:w="2023" w:type="dxa"/>
            <w:gridSpan w:val="3"/>
            <w:vAlign w:val="center"/>
          </w:tcPr>
          <w:p w14:paraId="369D45C6">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0.002196</w:t>
            </w:r>
          </w:p>
        </w:tc>
        <w:tc>
          <w:tcPr>
            <w:tcW w:w="2185" w:type="dxa"/>
            <w:gridSpan w:val="3"/>
            <w:vMerge w:val="continue"/>
            <w:vAlign w:val="center"/>
          </w:tcPr>
          <w:p w14:paraId="2C479B69">
            <w:pPr>
              <w:pStyle w:val="39"/>
              <w:rPr>
                <w:rFonts w:hint="default" w:ascii="Times New Roman" w:hAnsi="Times New Roman" w:cs="Times New Roman"/>
                <w:color w:val="auto"/>
                <w:u w:val="none"/>
              </w:rPr>
            </w:pPr>
          </w:p>
        </w:tc>
        <w:tc>
          <w:tcPr>
            <w:tcW w:w="4417" w:type="dxa"/>
            <w:gridSpan w:val="10"/>
            <w:vMerge w:val="continue"/>
            <w:vAlign w:val="center"/>
          </w:tcPr>
          <w:p w14:paraId="556F4C30">
            <w:pPr>
              <w:pStyle w:val="39"/>
              <w:rPr>
                <w:rFonts w:hint="default" w:ascii="Times New Roman" w:hAnsi="Times New Roman" w:cs="Times New Roman"/>
                <w:color w:val="auto"/>
                <w:u w:val="none"/>
              </w:rPr>
            </w:pPr>
          </w:p>
        </w:tc>
      </w:tr>
      <w:tr w14:paraId="472F4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764C43D5">
            <w:pPr>
              <w:pStyle w:val="41"/>
              <w:rPr>
                <w:rFonts w:hint="default" w:ascii="Times New Roman" w:hAnsi="Times New Roman" w:cs="Times New Roman"/>
                <w:color w:val="auto"/>
                <w:u w:val="none"/>
              </w:rPr>
            </w:pPr>
          </w:p>
        </w:tc>
        <w:tc>
          <w:tcPr>
            <w:tcW w:w="885" w:type="dxa"/>
            <w:gridSpan w:val="2"/>
            <w:vMerge w:val="continue"/>
            <w:vAlign w:val="center"/>
          </w:tcPr>
          <w:p w14:paraId="3CB411CE">
            <w:pPr>
              <w:pStyle w:val="41"/>
              <w:rPr>
                <w:rFonts w:hint="default" w:ascii="Times New Roman" w:hAnsi="Times New Roman" w:cs="Times New Roman"/>
                <w:color w:val="auto"/>
                <w:kern w:val="2"/>
                <w:u w:val="none"/>
              </w:rPr>
            </w:pPr>
          </w:p>
        </w:tc>
        <w:tc>
          <w:tcPr>
            <w:tcW w:w="1527" w:type="dxa"/>
            <w:gridSpan w:val="2"/>
            <w:vMerge w:val="restart"/>
            <w:vAlign w:val="center"/>
          </w:tcPr>
          <w:p w14:paraId="3CE6735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含镍废水（</w:t>
            </w:r>
            <w:r>
              <w:rPr>
                <w:rFonts w:hint="eastAsia" w:cs="Times New Roman"/>
                <w:color w:val="auto"/>
                <w:u w:val="none"/>
                <w:lang w:val="en-US" w:eastAsia="zh-CN"/>
              </w:rPr>
              <w:t>3795</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5FCF2BB4">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pH</w:t>
            </w:r>
          </w:p>
        </w:tc>
        <w:tc>
          <w:tcPr>
            <w:tcW w:w="1383" w:type="dxa"/>
            <w:gridSpan w:val="4"/>
            <w:vAlign w:val="center"/>
          </w:tcPr>
          <w:p w14:paraId="0D7E4DE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5~6</w:t>
            </w:r>
          </w:p>
        </w:tc>
        <w:tc>
          <w:tcPr>
            <w:tcW w:w="2023" w:type="dxa"/>
            <w:gridSpan w:val="3"/>
            <w:vAlign w:val="center"/>
          </w:tcPr>
          <w:p w14:paraId="1868C814">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209B3034">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进入含镍废水处理系统后，回用于生产不外排</w:t>
            </w:r>
          </w:p>
        </w:tc>
        <w:tc>
          <w:tcPr>
            <w:tcW w:w="4417" w:type="dxa"/>
            <w:gridSpan w:val="10"/>
            <w:vMerge w:val="restart"/>
            <w:vAlign w:val="center"/>
          </w:tcPr>
          <w:p w14:paraId="792A2B6D">
            <w:pPr>
              <w:pStyle w:val="39"/>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r>
      <w:tr w14:paraId="13C337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78CA0E60">
            <w:pPr>
              <w:pStyle w:val="41"/>
              <w:rPr>
                <w:rFonts w:hint="default" w:ascii="Times New Roman" w:hAnsi="Times New Roman" w:cs="Times New Roman"/>
                <w:color w:val="auto"/>
                <w:u w:val="none"/>
              </w:rPr>
            </w:pPr>
          </w:p>
        </w:tc>
        <w:tc>
          <w:tcPr>
            <w:tcW w:w="885" w:type="dxa"/>
            <w:gridSpan w:val="2"/>
            <w:vMerge w:val="continue"/>
            <w:vAlign w:val="center"/>
          </w:tcPr>
          <w:p w14:paraId="4AB3440F">
            <w:pPr>
              <w:pStyle w:val="41"/>
              <w:rPr>
                <w:rFonts w:hint="default" w:ascii="Times New Roman" w:hAnsi="Times New Roman" w:cs="Times New Roman"/>
                <w:color w:val="auto"/>
                <w:kern w:val="2"/>
                <w:u w:val="none"/>
              </w:rPr>
            </w:pPr>
          </w:p>
        </w:tc>
        <w:tc>
          <w:tcPr>
            <w:tcW w:w="1527" w:type="dxa"/>
            <w:gridSpan w:val="2"/>
            <w:vMerge w:val="continue"/>
            <w:vAlign w:val="center"/>
          </w:tcPr>
          <w:p w14:paraId="2C64169A">
            <w:pPr>
              <w:pStyle w:val="41"/>
              <w:rPr>
                <w:rFonts w:hint="default" w:ascii="Times New Roman" w:hAnsi="Times New Roman" w:cs="Times New Roman"/>
                <w:color w:val="auto"/>
                <w:kern w:val="2"/>
                <w:u w:val="none"/>
              </w:rPr>
            </w:pPr>
          </w:p>
        </w:tc>
        <w:tc>
          <w:tcPr>
            <w:tcW w:w="988" w:type="dxa"/>
            <w:vAlign w:val="center"/>
          </w:tcPr>
          <w:p w14:paraId="5DB745CC">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39710A0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500</w:t>
            </w:r>
          </w:p>
        </w:tc>
        <w:tc>
          <w:tcPr>
            <w:tcW w:w="2023" w:type="dxa"/>
            <w:gridSpan w:val="3"/>
            <w:vAlign w:val="center"/>
          </w:tcPr>
          <w:p w14:paraId="6E4C2158">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1.7895</w:t>
            </w:r>
          </w:p>
        </w:tc>
        <w:tc>
          <w:tcPr>
            <w:tcW w:w="2185" w:type="dxa"/>
            <w:gridSpan w:val="3"/>
            <w:vMerge w:val="continue"/>
            <w:vAlign w:val="center"/>
          </w:tcPr>
          <w:p w14:paraId="2974603C">
            <w:pPr>
              <w:pStyle w:val="39"/>
              <w:rPr>
                <w:rFonts w:hint="default" w:ascii="Times New Roman" w:hAnsi="Times New Roman" w:cs="Times New Roman"/>
                <w:color w:val="auto"/>
                <w:u w:val="none"/>
              </w:rPr>
            </w:pPr>
          </w:p>
        </w:tc>
        <w:tc>
          <w:tcPr>
            <w:tcW w:w="4417" w:type="dxa"/>
            <w:gridSpan w:val="10"/>
            <w:vMerge w:val="continue"/>
            <w:vAlign w:val="center"/>
          </w:tcPr>
          <w:p w14:paraId="67AFB237">
            <w:pPr>
              <w:pStyle w:val="39"/>
              <w:rPr>
                <w:rFonts w:hint="default" w:ascii="Times New Roman" w:hAnsi="Times New Roman" w:cs="Times New Roman"/>
                <w:color w:val="auto"/>
                <w:u w:val="none"/>
              </w:rPr>
            </w:pPr>
          </w:p>
        </w:tc>
      </w:tr>
      <w:tr w14:paraId="40324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E6DF0B1">
            <w:pPr>
              <w:pStyle w:val="41"/>
              <w:rPr>
                <w:rFonts w:hint="default" w:ascii="Times New Roman" w:hAnsi="Times New Roman" w:cs="Times New Roman"/>
                <w:color w:val="auto"/>
                <w:u w:val="none"/>
              </w:rPr>
            </w:pPr>
          </w:p>
        </w:tc>
        <w:tc>
          <w:tcPr>
            <w:tcW w:w="885" w:type="dxa"/>
            <w:gridSpan w:val="2"/>
            <w:vMerge w:val="continue"/>
            <w:vAlign w:val="center"/>
          </w:tcPr>
          <w:p w14:paraId="451B3C3C">
            <w:pPr>
              <w:pStyle w:val="41"/>
              <w:rPr>
                <w:rFonts w:hint="default" w:ascii="Times New Roman" w:hAnsi="Times New Roman" w:cs="Times New Roman"/>
                <w:color w:val="auto"/>
                <w:kern w:val="2"/>
                <w:u w:val="none"/>
              </w:rPr>
            </w:pPr>
          </w:p>
        </w:tc>
        <w:tc>
          <w:tcPr>
            <w:tcW w:w="1527" w:type="dxa"/>
            <w:gridSpan w:val="2"/>
            <w:vMerge w:val="continue"/>
            <w:vAlign w:val="center"/>
          </w:tcPr>
          <w:p w14:paraId="307E0A6E">
            <w:pPr>
              <w:pStyle w:val="41"/>
              <w:rPr>
                <w:rFonts w:hint="default" w:ascii="Times New Roman" w:hAnsi="Times New Roman" w:cs="Times New Roman"/>
                <w:color w:val="auto"/>
                <w:kern w:val="2"/>
                <w:u w:val="none"/>
              </w:rPr>
            </w:pPr>
          </w:p>
        </w:tc>
        <w:tc>
          <w:tcPr>
            <w:tcW w:w="988" w:type="dxa"/>
            <w:vAlign w:val="center"/>
          </w:tcPr>
          <w:p w14:paraId="51B413E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总镍</w:t>
            </w:r>
          </w:p>
        </w:tc>
        <w:tc>
          <w:tcPr>
            <w:tcW w:w="1383" w:type="dxa"/>
            <w:gridSpan w:val="4"/>
            <w:vAlign w:val="center"/>
          </w:tcPr>
          <w:p w14:paraId="05E2735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15</w:t>
            </w:r>
          </w:p>
        </w:tc>
        <w:tc>
          <w:tcPr>
            <w:tcW w:w="2023" w:type="dxa"/>
            <w:gridSpan w:val="3"/>
            <w:vAlign w:val="center"/>
          </w:tcPr>
          <w:p w14:paraId="38E1FF1D">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0.053685</w:t>
            </w:r>
          </w:p>
        </w:tc>
        <w:tc>
          <w:tcPr>
            <w:tcW w:w="2185" w:type="dxa"/>
            <w:gridSpan w:val="3"/>
            <w:vMerge w:val="continue"/>
            <w:vAlign w:val="center"/>
          </w:tcPr>
          <w:p w14:paraId="1BBF235B">
            <w:pPr>
              <w:pStyle w:val="39"/>
              <w:rPr>
                <w:rFonts w:hint="default" w:ascii="Times New Roman" w:hAnsi="Times New Roman" w:cs="Times New Roman"/>
                <w:color w:val="auto"/>
                <w:u w:val="none"/>
              </w:rPr>
            </w:pPr>
          </w:p>
        </w:tc>
        <w:tc>
          <w:tcPr>
            <w:tcW w:w="4417" w:type="dxa"/>
            <w:gridSpan w:val="10"/>
            <w:vMerge w:val="continue"/>
            <w:vAlign w:val="center"/>
          </w:tcPr>
          <w:p w14:paraId="3D72F691">
            <w:pPr>
              <w:pStyle w:val="39"/>
              <w:rPr>
                <w:rFonts w:hint="default" w:ascii="Times New Roman" w:hAnsi="Times New Roman" w:cs="Times New Roman"/>
                <w:color w:val="auto"/>
                <w:u w:val="none"/>
              </w:rPr>
            </w:pPr>
          </w:p>
        </w:tc>
      </w:tr>
      <w:tr w14:paraId="78299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20168BC">
            <w:pPr>
              <w:pStyle w:val="41"/>
              <w:rPr>
                <w:rFonts w:hint="default" w:ascii="Times New Roman" w:hAnsi="Times New Roman" w:cs="Times New Roman"/>
                <w:color w:val="auto"/>
                <w:u w:val="none"/>
              </w:rPr>
            </w:pPr>
          </w:p>
        </w:tc>
        <w:tc>
          <w:tcPr>
            <w:tcW w:w="885" w:type="dxa"/>
            <w:gridSpan w:val="2"/>
            <w:vMerge w:val="continue"/>
            <w:vAlign w:val="center"/>
          </w:tcPr>
          <w:p w14:paraId="75B5694B">
            <w:pPr>
              <w:pStyle w:val="41"/>
              <w:rPr>
                <w:rFonts w:hint="default" w:ascii="Times New Roman" w:hAnsi="Times New Roman" w:cs="Times New Roman"/>
                <w:color w:val="auto"/>
                <w:kern w:val="2"/>
                <w:u w:val="none"/>
              </w:rPr>
            </w:pPr>
          </w:p>
        </w:tc>
        <w:tc>
          <w:tcPr>
            <w:tcW w:w="1527" w:type="dxa"/>
            <w:gridSpan w:val="2"/>
            <w:vMerge w:val="continue"/>
            <w:vAlign w:val="center"/>
          </w:tcPr>
          <w:p w14:paraId="6EB51172">
            <w:pPr>
              <w:pStyle w:val="41"/>
              <w:rPr>
                <w:rFonts w:hint="default" w:ascii="Times New Roman" w:hAnsi="Times New Roman" w:cs="Times New Roman"/>
                <w:color w:val="auto"/>
                <w:kern w:val="2"/>
                <w:u w:val="none"/>
              </w:rPr>
            </w:pPr>
          </w:p>
        </w:tc>
        <w:tc>
          <w:tcPr>
            <w:tcW w:w="988" w:type="dxa"/>
            <w:vAlign w:val="center"/>
          </w:tcPr>
          <w:p w14:paraId="34D3A53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氨氮</w:t>
            </w:r>
          </w:p>
        </w:tc>
        <w:tc>
          <w:tcPr>
            <w:tcW w:w="1383" w:type="dxa"/>
            <w:gridSpan w:val="4"/>
            <w:vAlign w:val="center"/>
          </w:tcPr>
          <w:p w14:paraId="0A697C7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1.3</w:t>
            </w:r>
          </w:p>
        </w:tc>
        <w:tc>
          <w:tcPr>
            <w:tcW w:w="2023" w:type="dxa"/>
            <w:gridSpan w:val="3"/>
            <w:vAlign w:val="center"/>
          </w:tcPr>
          <w:p w14:paraId="0F828DA9">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0.0046527</w:t>
            </w:r>
          </w:p>
        </w:tc>
        <w:tc>
          <w:tcPr>
            <w:tcW w:w="2185" w:type="dxa"/>
            <w:gridSpan w:val="3"/>
            <w:vMerge w:val="continue"/>
            <w:vAlign w:val="center"/>
          </w:tcPr>
          <w:p w14:paraId="116D6D03">
            <w:pPr>
              <w:pStyle w:val="39"/>
              <w:rPr>
                <w:rFonts w:hint="default" w:ascii="Times New Roman" w:hAnsi="Times New Roman" w:cs="Times New Roman"/>
                <w:color w:val="auto"/>
                <w:u w:val="none"/>
              </w:rPr>
            </w:pPr>
          </w:p>
        </w:tc>
        <w:tc>
          <w:tcPr>
            <w:tcW w:w="4417" w:type="dxa"/>
            <w:gridSpan w:val="10"/>
            <w:vMerge w:val="continue"/>
            <w:vAlign w:val="center"/>
          </w:tcPr>
          <w:p w14:paraId="6DB15128">
            <w:pPr>
              <w:pStyle w:val="39"/>
              <w:rPr>
                <w:rFonts w:hint="default" w:ascii="Times New Roman" w:hAnsi="Times New Roman" w:cs="Times New Roman"/>
                <w:color w:val="auto"/>
                <w:u w:val="none"/>
              </w:rPr>
            </w:pPr>
          </w:p>
        </w:tc>
      </w:tr>
      <w:tr w14:paraId="0640A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3B7F5307">
            <w:pPr>
              <w:pStyle w:val="41"/>
              <w:rPr>
                <w:rFonts w:hint="default" w:ascii="Times New Roman" w:hAnsi="Times New Roman" w:cs="Times New Roman"/>
                <w:color w:val="auto"/>
                <w:u w:val="none"/>
              </w:rPr>
            </w:pPr>
          </w:p>
        </w:tc>
        <w:tc>
          <w:tcPr>
            <w:tcW w:w="885" w:type="dxa"/>
            <w:gridSpan w:val="2"/>
            <w:vMerge w:val="continue"/>
            <w:vAlign w:val="center"/>
          </w:tcPr>
          <w:p w14:paraId="14C959E0">
            <w:pPr>
              <w:pStyle w:val="41"/>
              <w:rPr>
                <w:rFonts w:hint="default" w:ascii="Times New Roman" w:hAnsi="Times New Roman" w:cs="Times New Roman"/>
                <w:color w:val="auto"/>
                <w:kern w:val="2"/>
                <w:u w:val="none"/>
              </w:rPr>
            </w:pPr>
          </w:p>
        </w:tc>
        <w:tc>
          <w:tcPr>
            <w:tcW w:w="1527" w:type="dxa"/>
            <w:gridSpan w:val="2"/>
            <w:vMerge w:val="restart"/>
            <w:vAlign w:val="center"/>
          </w:tcPr>
          <w:p w14:paraId="6F763FC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含镍废液（</w:t>
            </w:r>
            <w:r>
              <w:rPr>
                <w:rFonts w:hint="eastAsia" w:cs="Times New Roman"/>
                <w:color w:val="auto"/>
                <w:u w:val="none"/>
                <w:lang w:val="en-US" w:eastAsia="zh-CN"/>
              </w:rPr>
              <w:t>357.8</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3964C2FF">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pH</w:t>
            </w:r>
          </w:p>
        </w:tc>
        <w:tc>
          <w:tcPr>
            <w:tcW w:w="1383" w:type="dxa"/>
            <w:gridSpan w:val="4"/>
            <w:vAlign w:val="center"/>
          </w:tcPr>
          <w:p w14:paraId="3E3B92D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1~2</w:t>
            </w:r>
          </w:p>
        </w:tc>
        <w:tc>
          <w:tcPr>
            <w:tcW w:w="2023" w:type="dxa"/>
            <w:gridSpan w:val="3"/>
            <w:vAlign w:val="center"/>
          </w:tcPr>
          <w:p w14:paraId="76888ACC">
            <w:pPr>
              <w:pStyle w:val="41"/>
              <w:rPr>
                <w:rFonts w:hint="eastAsia" w:ascii="Times New Roman" w:hAnsi="Times New Roman" w:eastAsia="宋体" w:cs="Times New Roman"/>
                <w:color w:val="auto"/>
                <w:kern w:val="2"/>
                <w:u w:val="none"/>
                <w:lang w:val="en-US" w:eastAsia="zh-CN"/>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76B5B214">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进入含镍废液处理系统后，回用于生产不外排</w:t>
            </w:r>
          </w:p>
        </w:tc>
        <w:tc>
          <w:tcPr>
            <w:tcW w:w="4417" w:type="dxa"/>
            <w:gridSpan w:val="10"/>
            <w:vMerge w:val="restart"/>
            <w:vAlign w:val="center"/>
          </w:tcPr>
          <w:p w14:paraId="2268E96C">
            <w:pPr>
              <w:pStyle w:val="39"/>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r>
      <w:tr w14:paraId="462F5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48B96AB1">
            <w:pPr>
              <w:pStyle w:val="41"/>
              <w:rPr>
                <w:rFonts w:hint="default" w:ascii="Times New Roman" w:hAnsi="Times New Roman" w:cs="Times New Roman"/>
                <w:color w:val="auto"/>
                <w:u w:val="none"/>
              </w:rPr>
            </w:pPr>
          </w:p>
        </w:tc>
        <w:tc>
          <w:tcPr>
            <w:tcW w:w="885" w:type="dxa"/>
            <w:gridSpan w:val="2"/>
            <w:vMerge w:val="continue"/>
            <w:vAlign w:val="center"/>
          </w:tcPr>
          <w:p w14:paraId="2B87AF38">
            <w:pPr>
              <w:pStyle w:val="41"/>
              <w:rPr>
                <w:rFonts w:hint="default" w:ascii="Times New Roman" w:hAnsi="Times New Roman" w:cs="Times New Roman"/>
                <w:color w:val="auto"/>
                <w:kern w:val="2"/>
                <w:u w:val="none"/>
              </w:rPr>
            </w:pPr>
          </w:p>
        </w:tc>
        <w:tc>
          <w:tcPr>
            <w:tcW w:w="1527" w:type="dxa"/>
            <w:gridSpan w:val="2"/>
            <w:vMerge w:val="continue"/>
            <w:vAlign w:val="center"/>
          </w:tcPr>
          <w:p w14:paraId="47284351">
            <w:pPr>
              <w:pStyle w:val="41"/>
              <w:rPr>
                <w:rFonts w:hint="default" w:ascii="Times New Roman" w:hAnsi="Times New Roman" w:cs="Times New Roman"/>
                <w:color w:val="auto"/>
                <w:kern w:val="2"/>
                <w:u w:val="none"/>
              </w:rPr>
            </w:pPr>
          </w:p>
        </w:tc>
        <w:tc>
          <w:tcPr>
            <w:tcW w:w="988" w:type="dxa"/>
            <w:vAlign w:val="center"/>
          </w:tcPr>
          <w:p w14:paraId="5A13D4D5">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59BAA44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500</w:t>
            </w:r>
          </w:p>
        </w:tc>
        <w:tc>
          <w:tcPr>
            <w:tcW w:w="2023" w:type="dxa"/>
            <w:gridSpan w:val="3"/>
            <w:vAlign w:val="center"/>
          </w:tcPr>
          <w:p w14:paraId="3FC7AB45">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0.1789</w:t>
            </w:r>
          </w:p>
        </w:tc>
        <w:tc>
          <w:tcPr>
            <w:tcW w:w="2185" w:type="dxa"/>
            <w:gridSpan w:val="3"/>
            <w:vMerge w:val="continue"/>
            <w:vAlign w:val="center"/>
          </w:tcPr>
          <w:p w14:paraId="2C52C797">
            <w:pPr>
              <w:pStyle w:val="39"/>
              <w:rPr>
                <w:rFonts w:hint="default" w:ascii="Times New Roman" w:hAnsi="Times New Roman" w:cs="Times New Roman"/>
                <w:color w:val="auto"/>
                <w:u w:val="none"/>
              </w:rPr>
            </w:pPr>
          </w:p>
        </w:tc>
        <w:tc>
          <w:tcPr>
            <w:tcW w:w="4417" w:type="dxa"/>
            <w:gridSpan w:val="10"/>
            <w:vMerge w:val="continue"/>
            <w:vAlign w:val="center"/>
          </w:tcPr>
          <w:p w14:paraId="2D425B40">
            <w:pPr>
              <w:pStyle w:val="39"/>
              <w:rPr>
                <w:rFonts w:hint="default" w:ascii="Times New Roman" w:hAnsi="Times New Roman" w:cs="Times New Roman"/>
                <w:color w:val="auto"/>
                <w:u w:val="none"/>
              </w:rPr>
            </w:pPr>
          </w:p>
        </w:tc>
      </w:tr>
      <w:tr w14:paraId="2F565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72D05E51">
            <w:pPr>
              <w:pStyle w:val="41"/>
              <w:rPr>
                <w:rFonts w:hint="default" w:ascii="Times New Roman" w:hAnsi="Times New Roman" w:cs="Times New Roman"/>
                <w:color w:val="auto"/>
                <w:u w:val="none"/>
              </w:rPr>
            </w:pPr>
          </w:p>
        </w:tc>
        <w:tc>
          <w:tcPr>
            <w:tcW w:w="885" w:type="dxa"/>
            <w:gridSpan w:val="2"/>
            <w:vMerge w:val="continue"/>
            <w:vAlign w:val="center"/>
          </w:tcPr>
          <w:p w14:paraId="33572ABD">
            <w:pPr>
              <w:pStyle w:val="41"/>
              <w:rPr>
                <w:rFonts w:hint="default" w:ascii="Times New Roman" w:hAnsi="Times New Roman" w:cs="Times New Roman"/>
                <w:color w:val="auto"/>
                <w:kern w:val="2"/>
                <w:u w:val="none"/>
              </w:rPr>
            </w:pPr>
          </w:p>
        </w:tc>
        <w:tc>
          <w:tcPr>
            <w:tcW w:w="1527" w:type="dxa"/>
            <w:gridSpan w:val="2"/>
            <w:vMerge w:val="continue"/>
            <w:vAlign w:val="center"/>
          </w:tcPr>
          <w:p w14:paraId="46535BDA">
            <w:pPr>
              <w:pStyle w:val="41"/>
              <w:rPr>
                <w:rFonts w:hint="default" w:ascii="Times New Roman" w:hAnsi="Times New Roman" w:cs="Times New Roman"/>
                <w:color w:val="auto"/>
                <w:kern w:val="2"/>
                <w:u w:val="none"/>
              </w:rPr>
            </w:pPr>
          </w:p>
        </w:tc>
        <w:tc>
          <w:tcPr>
            <w:tcW w:w="988" w:type="dxa"/>
            <w:vAlign w:val="center"/>
          </w:tcPr>
          <w:p w14:paraId="080654A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总镍</w:t>
            </w:r>
          </w:p>
        </w:tc>
        <w:tc>
          <w:tcPr>
            <w:tcW w:w="1383" w:type="dxa"/>
            <w:gridSpan w:val="4"/>
            <w:vAlign w:val="center"/>
          </w:tcPr>
          <w:p w14:paraId="599CD63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220</w:t>
            </w:r>
          </w:p>
        </w:tc>
        <w:tc>
          <w:tcPr>
            <w:tcW w:w="2023" w:type="dxa"/>
            <w:gridSpan w:val="3"/>
            <w:vAlign w:val="center"/>
          </w:tcPr>
          <w:p w14:paraId="22A51480">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0.078716</w:t>
            </w:r>
          </w:p>
        </w:tc>
        <w:tc>
          <w:tcPr>
            <w:tcW w:w="2185" w:type="dxa"/>
            <w:gridSpan w:val="3"/>
            <w:vMerge w:val="continue"/>
            <w:vAlign w:val="center"/>
          </w:tcPr>
          <w:p w14:paraId="68E61861">
            <w:pPr>
              <w:pStyle w:val="39"/>
              <w:rPr>
                <w:rFonts w:hint="default" w:ascii="Times New Roman" w:hAnsi="Times New Roman" w:cs="Times New Roman"/>
                <w:color w:val="auto"/>
                <w:u w:val="none"/>
              </w:rPr>
            </w:pPr>
          </w:p>
        </w:tc>
        <w:tc>
          <w:tcPr>
            <w:tcW w:w="4417" w:type="dxa"/>
            <w:gridSpan w:val="10"/>
            <w:vMerge w:val="continue"/>
            <w:vAlign w:val="center"/>
          </w:tcPr>
          <w:p w14:paraId="2CB3C7FD">
            <w:pPr>
              <w:pStyle w:val="39"/>
              <w:rPr>
                <w:rFonts w:hint="default" w:ascii="Times New Roman" w:hAnsi="Times New Roman" w:cs="Times New Roman"/>
                <w:color w:val="auto"/>
                <w:u w:val="none"/>
              </w:rPr>
            </w:pPr>
          </w:p>
        </w:tc>
      </w:tr>
      <w:tr w14:paraId="067D7C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25C1523">
            <w:pPr>
              <w:pStyle w:val="41"/>
              <w:rPr>
                <w:rFonts w:hint="default" w:ascii="Times New Roman" w:hAnsi="Times New Roman" w:cs="Times New Roman"/>
                <w:color w:val="auto"/>
                <w:u w:val="none"/>
              </w:rPr>
            </w:pPr>
          </w:p>
        </w:tc>
        <w:tc>
          <w:tcPr>
            <w:tcW w:w="885" w:type="dxa"/>
            <w:gridSpan w:val="2"/>
            <w:vMerge w:val="continue"/>
            <w:vAlign w:val="center"/>
          </w:tcPr>
          <w:p w14:paraId="3C8FA4C9">
            <w:pPr>
              <w:pStyle w:val="41"/>
              <w:rPr>
                <w:rFonts w:hint="default" w:ascii="Times New Roman" w:hAnsi="Times New Roman" w:cs="Times New Roman"/>
                <w:color w:val="auto"/>
                <w:kern w:val="2"/>
                <w:u w:val="none"/>
              </w:rPr>
            </w:pPr>
          </w:p>
        </w:tc>
        <w:tc>
          <w:tcPr>
            <w:tcW w:w="1527" w:type="dxa"/>
            <w:gridSpan w:val="2"/>
            <w:vMerge w:val="continue"/>
            <w:vAlign w:val="center"/>
          </w:tcPr>
          <w:p w14:paraId="4D2C73B7">
            <w:pPr>
              <w:pStyle w:val="41"/>
              <w:rPr>
                <w:rFonts w:hint="default" w:ascii="Times New Roman" w:hAnsi="Times New Roman" w:cs="Times New Roman"/>
                <w:color w:val="auto"/>
                <w:kern w:val="2"/>
                <w:u w:val="none"/>
              </w:rPr>
            </w:pPr>
          </w:p>
        </w:tc>
        <w:tc>
          <w:tcPr>
            <w:tcW w:w="988" w:type="dxa"/>
            <w:vAlign w:val="center"/>
          </w:tcPr>
          <w:p w14:paraId="0DD0006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氨氮</w:t>
            </w:r>
          </w:p>
        </w:tc>
        <w:tc>
          <w:tcPr>
            <w:tcW w:w="1383" w:type="dxa"/>
            <w:gridSpan w:val="4"/>
            <w:vAlign w:val="center"/>
          </w:tcPr>
          <w:p w14:paraId="72B90C0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43.6</w:t>
            </w:r>
          </w:p>
        </w:tc>
        <w:tc>
          <w:tcPr>
            <w:tcW w:w="2023" w:type="dxa"/>
            <w:gridSpan w:val="3"/>
            <w:vAlign w:val="center"/>
          </w:tcPr>
          <w:p w14:paraId="06932DB1">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0.01560008</w:t>
            </w:r>
          </w:p>
        </w:tc>
        <w:tc>
          <w:tcPr>
            <w:tcW w:w="2185" w:type="dxa"/>
            <w:gridSpan w:val="3"/>
            <w:vMerge w:val="continue"/>
            <w:vAlign w:val="center"/>
          </w:tcPr>
          <w:p w14:paraId="694DCD7E">
            <w:pPr>
              <w:pStyle w:val="39"/>
              <w:rPr>
                <w:rFonts w:hint="default" w:ascii="Times New Roman" w:hAnsi="Times New Roman" w:cs="Times New Roman"/>
                <w:color w:val="auto"/>
                <w:u w:val="none"/>
              </w:rPr>
            </w:pPr>
          </w:p>
        </w:tc>
        <w:tc>
          <w:tcPr>
            <w:tcW w:w="4417" w:type="dxa"/>
            <w:gridSpan w:val="10"/>
            <w:vMerge w:val="continue"/>
            <w:vAlign w:val="center"/>
          </w:tcPr>
          <w:p w14:paraId="3F721741">
            <w:pPr>
              <w:pStyle w:val="39"/>
              <w:rPr>
                <w:rFonts w:hint="default" w:ascii="Times New Roman" w:hAnsi="Times New Roman" w:cs="Times New Roman"/>
                <w:color w:val="auto"/>
                <w:u w:val="none"/>
              </w:rPr>
            </w:pPr>
          </w:p>
        </w:tc>
      </w:tr>
      <w:tr w14:paraId="00E15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C2497A4">
            <w:pPr>
              <w:pStyle w:val="41"/>
              <w:rPr>
                <w:rFonts w:hint="default" w:ascii="Times New Roman" w:hAnsi="Times New Roman" w:cs="Times New Roman"/>
                <w:color w:val="auto"/>
                <w:u w:val="none"/>
              </w:rPr>
            </w:pPr>
          </w:p>
        </w:tc>
        <w:tc>
          <w:tcPr>
            <w:tcW w:w="885" w:type="dxa"/>
            <w:gridSpan w:val="2"/>
            <w:vMerge w:val="continue"/>
            <w:vAlign w:val="center"/>
          </w:tcPr>
          <w:p w14:paraId="2279F0BB">
            <w:pPr>
              <w:pStyle w:val="41"/>
              <w:rPr>
                <w:rFonts w:hint="default" w:ascii="Times New Roman" w:hAnsi="Times New Roman" w:cs="Times New Roman"/>
                <w:color w:val="auto"/>
                <w:kern w:val="2"/>
                <w:u w:val="none"/>
              </w:rPr>
            </w:pPr>
          </w:p>
        </w:tc>
        <w:tc>
          <w:tcPr>
            <w:tcW w:w="1527" w:type="dxa"/>
            <w:gridSpan w:val="2"/>
            <w:vMerge w:val="restart"/>
            <w:vAlign w:val="center"/>
          </w:tcPr>
          <w:p w14:paraId="40B011D0">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含磷废液（</w:t>
            </w:r>
            <w:r>
              <w:rPr>
                <w:rFonts w:hint="eastAsia" w:cs="Times New Roman"/>
                <w:color w:val="auto"/>
                <w:u w:val="none"/>
                <w:lang w:val="en-US" w:eastAsia="zh-CN"/>
              </w:rPr>
              <w:t>578.4</w:t>
            </w:r>
            <w:r>
              <w:rPr>
                <w:rFonts w:hint="default" w:ascii="Times New Roman" w:hAnsi="Times New Roman" w:cs="Times New Roman"/>
                <w:color w:val="auto"/>
                <w:u w:val="none"/>
              </w:rPr>
              <w:t>m³/a）</w:t>
            </w:r>
          </w:p>
        </w:tc>
        <w:tc>
          <w:tcPr>
            <w:tcW w:w="988" w:type="dxa"/>
            <w:vAlign w:val="center"/>
          </w:tcPr>
          <w:p w14:paraId="7D216EB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pH</w:t>
            </w:r>
          </w:p>
        </w:tc>
        <w:tc>
          <w:tcPr>
            <w:tcW w:w="1383" w:type="dxa"/>
            <w:gridSpan w:val="4"/>
            <w:vAlign w:val="center"/>
          </w:tcPr>
          <w:p w14:paraId="355BB5D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1~2</w:t>
            </w:r>
          </w:p>
        </w:tc>
        <w:tc>
          <w:tcPr>
            <w:tcW w:w="2023" w:type="dxa"/>
            <w:gridSpan w:val="3"/>
            <w:vAlign w:val="center"/>
          </w:tcPr>
          <w:p w14:paraId="1853D38C">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73A2095D">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进入含磷废水（液）处理系统处理后，回用于生产不外排</w:t>
            </w:r>
          </w:p>
        </w:tc>
        <w:tc>
          <w:tcPr>
            <w:tcW w:w="4417" w:type="dxa"/>
            <w:gridSpan w:val="10"/>
            <w:vMerge w:val="restart"/>
            <w:vAlign w:val="center"/>
          </w:tcPr>
          <w:p w14:paraId="12CCB842">
            <w:pPr>
              <w:pStyle w:val="39"/>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r>
      <w:tr w14:paraId="2F08A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08B9AF3">
            <w:pPr>
              <w:pStyle w:val="41"/>
              <w:rPr>
                <w:rFonts w:hint="default" w:ascii="Times New Roman" w:hAnsi="Times New Roman" w:cs="Times New Roman"/>
                <w:color w:val="auto"/>
                <w:u w:val="none"/>
              </w:rPr>
            </w:pPr>
          </w:p>
        </w:tc>
        <w:tc>
          <w:tcPr>
            <w:tcW w:w="885" w:type="dxa"/>
            <w:gridSpan w:val="2"/>
            <w:vMerge w:val="continue"/>
            <w:vAlign w:val="center"/>
          </w:tcPr>
          <w:p w14:paraId="48A40850">
            <w:pPr>
              <w:pStyle w:val="41"/>
              <w:rPr>
                <w:rFonts w:hint="default" w:ascii="Times New Roman" w:hAnsi="Times New Roman" w:cs="Times New Roman"/>
                <w:color w:val="auto"/>
                <w:kern w:val="2"/>
                <w:u w:val="none"/>
              </w:rPr>
            </w:pPr>
          </w:p>
        </w:tc>
        <w:tc>
          <w:tcPr>
            <w:tcW w:w="1527" w:type="dxa"/>
            <w:gridSpan w:val="2"/>
            <w:vMerge w:val="continue"/>
            <w:vAlign w:val="center"/>
          </w:tcPr>
          <w:p w14:paraId="655399B9">
            <w:pPr>
              <w:pStyle w:val="41"/>
              <w:rPr>
                <w:rFonts w:hint="default" w:ascii="Times New Roman" w:hAnsi="Times New Roman" w:cs="Times New Roman"/>
                <w:color w:val="auto"/>
                <w:kern w:val="2"/>
                <w:u w:val="none"/>
              </w:rPr>
            </w:pPr>
          </w:p>
        </w:tc>
        <w:tc>
          <w:tcPr>
            <w:tcW w:w="988" w:type="dxa"/>
            <w:vAlign w:val="center"/>
          </w:tcPr>
          <w:p w14:paraId="4A6E55AD">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405AEB8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2023" w:type="dxa"/>
            <w:gridSpan w:val="3"/>
            <w:vAlign w:val="center"/>
          </w:tcPr>
          <w:p w14:paraId="0EC1C117">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0.03456</w:t>
            </w:r>
          </w:p>
        </w:tc>
        <w:tc>
          <w:tcPr>
            <w:tcW w:w="2185" w:type="dxa"/>
            <w:gridSpan w:val="3"/>
            <w:vMerge w:val="continue"/>
            <w:vAlign w:val="center"/>
          </w:tcPr>
          <w:p w14:paraId="50E844F0">
            <w:pPr>
              <w:pStyle w:val="39"/>
              <w:rPr>
                <w:rFonts w:hint="default" w:ascii="Times New Roman" w:hAnsi="Times New Roman" w:cs="Times New Roman"/>
                <w:color w:val="auto"/>
                <w:u w:val="none"/>
              </w:rPr>
            </w:pPr>
          </w:p>
        </w:tc>
        <w:tc>
          <w:tcPr>
            <w:tcW w:w="4417" w:type="dxa"/>
            <w:gridSpan w:val="10"/>
            <w:vMerge w:val="continue"/>
            <w:vAlign w:val="center"/>
          </w:tcPr>
          <w:p w14:paraId="392AE5E9">
            <w:pPr>
              <w:pStyle w:val="39"/>
              <w:rPr>
                <w:rFonts w:hint="default" w:ascii="Times New Roman" w:hAnsi="Times New Roman" w:cs="Times New Roman"/>
                <w:color w:val="auto"/>
                <w:u w:val="none"/>
              </w:rPr>
            </w:pPr>
          </w:p>
        </w:tc>
      </w:tr>
      <w:tr w14:paraId="57C12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EF7DD01">
            <w:pPr>
              <w:pStyle w:val="41"/>
              <w:rPr>
                <w:rFonts w:hint="default" w:ascii="Times New Roman" w:hAnsi="Times New Roman" w:cs="Times New Roman"/>
                <w:color w:val="auto"/>
                <w:u w:val="none"/>
              </w:rPr>
            </w:pPr>
          </w:p>
        </w:tc>
        <w:tc>
          <w:tcPr>
            <w:tcW w:w="885" w:type="dxa"/>
            <w:gridSpan w:val="2"/>
            <w:vMerge w:val="continue"/>
            <w:vAlign w:val="center"/>
          </w:tcPr>
          <w:p w14:paraId="7CAF3028">
            <w:pPr>
              <w:pStyle w:val="41"/>
              <w:rPr>
                <w:rFonts w:hint="default" w:ascii="Times New Roman" w:hAnsi="Times New Roman" w:cs="Times New Roman"/>
                <w:color w:val="auto"/>
                <w:kern w:val="2"/>
                <w:u w:val="none"/>
              </w:rPr>
            </w:pPr>
          </w:p>
        </w:tc>
        <w:tc>
          <w:tcPr>
            <w:tcW w:w="1527" w:type="dxa"/>
            <w:gridSpan w:val="2"/>
            <w:vMerge w:val="continue"/>
            <w:vAlign w:val="center"/>
          </w:tcPr>
          <w:p w14:paraId="1AE284DB">
            <w:pPr>
              <w:pStyle w:val="41"/>
              <w:rPr>
                <w:rFonts w:hint="default" w:ascii="Times New Roman" w:hAnsi="Times New Roman" w:cs="Times New Roman"/>
                <w:color w:val="auto"/>
                <w:kern w:val="2"/>
                <w:u w:val="none"/>
              </w:rPr>
            </w:pPr>
          </w:p>
        </w:tc>
        <w:tc>
          <w:tcPr>
            <w:tcW w:w="988" w:type="dxa"/>
            <w:vAlign w:val="center"/>
          </w:tcPr>
          <w:p w14:paraId="5F51E45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总磷</w:t>
            </w:r>
          </w:p>
        </w:tc>
        <w:tc>
          <w:tcPr>
            <w:tcW w:w="1383" w:type="dxa"/>
            <w:gridSpan w:val="4"/>
            <w:vAlign w:val="center"/>
          </w:tcPr>
          <w:p w14:paraId="1EA7E8C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268.9g/L</w:t>
            </w:r>
          </w:p>
        </w:tc>
        <w:tc>
          <w:tcPr>
            <w:tcW w:w="2023" w:type="dxa"/>
            <w:gridSpan w:val="3"/>
            <w:vAlign w:val="center"/>
          </w:tcPr>
          <w:p w14:paraId="4B1B441F">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#VALUE!</w:t>
            </w:r>
          </w:p>
        </w:tc>
        <w:tc>
          <w:tcPr>
            <w:tcW w:w="2185" w:type="dxa"/>
            <w:gridSpan w:val="3"/>
            <w:vMerge w:val="continue"/>
            <w:vAlign w:val="center"/>
          </w:tcPr>
          <w:p w14:paraId="77DF95F9">
            <w:pPr>
              <w:pStyle w:val="39"/>
              <w:rPr>
                <w:rFonts w:hint="default" w:ascii="Times New Roman" w:hAnsi="Times New Roman" w:cs="Times New Roman"/>
                <w:color w:val="auto"/>
                <w:u w:val="none"/>
              </w:rPr>
            </w:pPr>
          </w:p>
        </w:tc>
        <w:tc>
          <w:tcPr>
            <w:tcW w:w="4417" w:type="dxa"/>
            <w:gridSpan w:val="10"/>
            <w:vMerge w:val="continue"/>
            <w:vAlign w:val="center"/>
          </w:tcPr>
          <w:p w14:paraId="2E36FAF0">
            <w:pPr>
              <w:pStyle w:val="39"/>
              <w:rPr>
                <w:rFonts w:hint="default" w:ascii="Times New Roman" w:hAnsi="Times New Roman" w:cs="Times New Roman"/>
                <w:color w:val="auto"/>
                <w:u w:val="none"/>
              </w:rPr>
            </w:pPr>
          </w:p>
        </w:tc>
      </w:tr>
      <w:tr w14:paraId="2E98F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7611767F">
            <w:pPr>
              <w:pStyle w:val="41"/>
              <w:rPr>
                <w:rFonts w:hint="default" w:ascii="Times New Roman" w:hAnsi="Times New Roman" w:cs="Times New Roman"/>
                <w:color w:val="auto"/>
                <w:u w:val="none"/>
              </w:rPr>
            </w:pPr>
          </w:p>
        </w:tc>
        <w:tc>
          <w:tcPr>
            <w:tcW w:w="885" w:type="dxa"/>
            <w:gridSpan w:val="2"/>
            <w:vMerge w:val="continue"/>
            <w:vAlign w:val="center"/>
          </w:tcPr>
          <w:p w14:paraId="08F9EDD8">
            <w:pPr>
              <w:pStyle w:val="41"/>
              <w:rPr>
                <w:rFonts w:hint="default" w:ascii="Times New Roman" w:hAnsi="Times New Roman" w:cs="Times New Roman"/>
                <w:color w:val="auto"/>
                <w:kern w:val="2"/>
                <w:u w:val="none"/>
              </w:rPr>
            </w:pPr>
          </w:p>
        </w:tc>
        <w:tc>
          <w:tcPr>
            <w:tcW w:w="1527" w:type="dxa"/>
            <w:gridSpan w:val="2"/>
            <w:vMerge w:val="continue"/>
            <w:vAlign w:val="center"/>
          </w:tcPr>
          <w:p w14:paraId="71F29217">
            <w:pPr>
              <w:pStyle w:val="41"/>
              <w:rPr>
                <w:rFonts w:hint="default" w:ascii="Times New Roman" w:hAnsi="Times New Roman" w:cs="Times New Roman"/>
                <w:color w:val="auto"/>
                <w:kern w:val="2"/>
                <w:u w:val="none"/>
              </w:rPr>
            </w:pPr>
          </w:p>
        </w:tc>
        <w:tc>
          <w:tcPr>
            <w:tcW w:w="988" w:type="dxa"/>
            <w:vAlign w:val="center"/>
          </w:tcPr>
          <w:p w14:paraId="5F35CA9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石油类</w:t>
            </w:r>
          </w:p>
        </w:tc>
        <w:tc>
          <w:tcPr>
            <w:tcW w:w="1383" w:type="dxa"/>
            <w:gridSpan w:val="4"/>
            <w:vAlign w:val="center"/>
          </w:tcPr>
          <w:p w14:paraId="3FE9CC8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w:t>
            </w:r>
          </w:p>
        </w:tc>
        <w:tc>
          <w:tcPr>
            <w:tcW w:w="2023" w:type="dxa"/>
            <w:gridSpan w:val="3"/>
            <w:vAlign w:val="center"/>
          </w:tcPr>
          <w:p w14:paraId="5A917AE5">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0.003456</w:t>
            </w:r>
          </w:p>
        </w:tc>
        <w:tc>
          <w:tcPr>
            <w:tcW w:w="2185" w:type="dxa"/>
            <w:gridSpan w:val="3"/>
            <w:vMerge w:val="continue"/>
            <w:vAlign w:val="center"/>
          </w:tcPr>
          <w:p w14:paraId="2F036256">
            <w:pPr>
              <w:pStyle w:val="39"/>
              <w:rPr>
                <w:rFonts w:hint="default" w:ascii="Times New Roman" w:hAnsi="Times New Roman" w:cs="Times New Roman"/>
                <w:color w:val="auto"/>
                <w:u w:val="none"/>
              </w:rPr>
            </w:pPr>
          </w:p>
        </w:tc>
        <w:tc>
          <w:tcPr>
            <w:tcW w:w="4417" w:type="dxa"/>
            <w:gridSpan w:val="10"/>
            <w:vMerge w:val="continue"/>
            <w:vAlign w:val="center"/>
          </w:tcPr>
          <w:p w14:paraId="6E6BB75A">
            <w:pPr>
              <w:pStyle w:val="39"/>
              <w:rPr>
                <w:rFonts w:hint="default" w:ascii="Times New Roman" w:hAnsi="Times New Roman" w:cs="Times New Roman"/>
                <w:color w:val="auto"/>
                <w:u w:val="none"/>
              </w:rPr>
            </w:pPr>
          </w:p>
        </w:tc>
      </w:tr>
      <w:tr w14:paraId="0FABE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47461E04">
            <w:pPr>
              <w:pStyle w:val="41"/>
              <w:rPr>
                <w:rFonts w:hint="default" w:ascii="Times New Roman" w:hAnsi="Times New Roman" w:cs="Times New Roman"/>
                <w:color w:val="auto"/>
                <w:u w:val="none"/>
              </w:rPr>
            </w:pPr>
          </w:p>
        </w:tc>
        <w:tc>
          <w:tcPr>
            <w:tcW w:w="885" w:type="dxa"/>
            <w:gridSpan w:val="2"/>
            <w:vMerge w:val="continue"/>
            <w:vAlign w:val="center"/>
          </w:tcPr>
          <w:p w14:paraId="1D3B6271">
            <w:pPr>
              <w:pStyle w:val="41"/>
              <w:rPr>
                <w:rFonts w:hint="default" w:ascii="Times New Roman" w:hAnsi="Times New Roman" w:cs="Times New Roman"/>
                <w:color w:val="auto"/>
                <w:kern w:val="2"/>
                <w:u w:val="none"/>
              </w:rPr>
            </w:pPr>
          </w:p>
        </w:tc>
        <w:tc>
          <w:tcPr>
            <w:tcW w:w="1527" w:type="dxa"/>
            <w:gridSpan w:val="2"/>
            <w:vMerge w:val="restart"/>
            <w:vAlign w:val="center"/>
          </w:tcPr>
          <w:p w14:paraId="60A802D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一般废水（</w:t>
            </w:r>
            <w:r>
              <w:rPr>
                <w:rFonts w:hint="eastAsia" w:cs="Times New Roman"/>
                <w:color w:val="auto"/>
                <w:u w:val="none"/>
                <w:lang w:val="en-US" w:eastAsia="zh-CN"/>
              </w:rPr>
              <w:t>11162.514</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596E914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pH</w:t>
            </w:r>
          </w:p>
        </w:tc>
        <w:tc>
          <w:tcPr>
            <w:tcW w:w="1383" w:type="dxa"/>
            <w:gridSpan w:val="4"/>
            <w:vAlign w:val="center"/>
          </w:tcPr>
          <w:p w14:paraId="714CDAA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5~6</w:t>
            </w:r>
          </w:p>
        </w:tc>
        <w:tc>
          <w:tcPr>
            <w:tcW w:w="2023" w:type="dxa"/>
            <w:gridSpan w:val="3"/>
            <w:vAlign w:val="center"/>
          </w:tcPr>
          <w:p w14:paraId="219B6974">
            <w:pPr>
              <w:pStyle w:val="41"/>
              <w:rPr>
                <w:rFonts w:hint="eastAsia" w:ascii="Times New Roman" w:hAnsi="Times New Roman" w:eastAsia="宋体" w:cs="Times New Roman"/>
                <w:color w:val="auto"/>
                <w:kern w:val="2"/>
                <w:u w:val="none"/>
                <w:lang w:val="en-US" w:eastAsia="zh-CN"/>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129925AD">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进入综合污水处理系统处理后，达到相应标准后，进入市政污水管网</w:t>
            </w:r>
          </w:p>
        </w:tc>
        <w:tc>
          <w:tcPr>
            <w:tcW w:w="1981" w:type="dxa"/>
            <w:gridSpan w:val="4"/>
            <w:vAlign w:val="center"/>
          </w:tcPr>
          <w:p w14:paraId="310592E6">
            <w:pPr>
              <w:pStyle w:val="39"/>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2436" w:type="dxa"/>
            <w:gridSpan w:val="6"/>
            <w:vAlign w:val="center"/>
          </w:tcPr>
          <w:p w14:paraId="4EB087E4">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6B77B9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3FB93A56">
            <w:pPr>
              <w:pStyle w:val="41"/>
              <w:rPr>
                <w:rFonts w:hint="default" w:ascii="Times New Roman" w:hAnsi="Times New Roman" w:cs="Times New Roman"/>
                <w:color w:val="auto"/>
                <w:u w:val="none"/>
              </w:rPr>
            </w:pPr>
          </w:p>
        </w:tc>
        <w:tc>
          <w:tcPr>
            <w:tcW w:w="885" w:type="dxa"/>
            <w:gridSpan w:val="2"/>
            <w:vMerge w:val="continue"/>
            <w:vAlign w:val="center"/>
          </w:tcPr>
          <w:p w14:paraId="3099BD64">
            <w:pPr>
              <w:pStyle w:val="41"/>
              <w:rPr>
                <w:rFonts w:hint="default" w:ascii="Times New Roman" w:hAnsi="Times New Roman" w:cs="Times New Roman"/>
                <w:color w:val="auto"/>
                <w:kern w:val="2"/>
                <w:u w:val="none"/>
              </w:rPr>
            </w:pPr>
          </w:p>
        </w:tc>
        <w:tc>
          <w:tcPr>
            <w:tcW w:w="1527" w:type="dxa"/>
            <w:gridSpan w:val="2"/>
            <w:vMerge w:val="continue"/>
            <w:vAlign w:val="center"/>
          </w:tcPr>
          <w:p w14:paraId="185CE5C2">
            <w:pPr>
              <w:pStyle w:val="41"/>
              <w:rPr>
                <w:rFonts w:hint="default" w:ascii="Times New Roman" w:hAnsi="Times New Roman" w:cs="Times New Roman"/>
                <w:color w:val="auto"/>
                <w:kern w:val="2"/>
                <w:u w:val="none"/>
              </w:rPr>
            </w:pPr>
          </w:p>
        </w:tc>
        <w:tc>
          <w:tcPr>
            <w:tcW w:w="988" w:type="dxa"/>
            <w:vAlign w:val="center"/>
          </w:tcPr>
          <w:p w14:paraId="45694397">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0140D9E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500</w:t>
            </w:r>
          </w:p>
        </w:tc>
        <w:tc>
          <w:tcPr>
            <w:tcW w:w="2023" w:type="dxa"/>
            <w:gridSpan w:val="3"/>
            <w:vAlign w:val="center"/>
          </w:tcPr>
          <w:p w14:paraId="3FC6676A">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5.087705</w:t>
            </w:r>
          </w:p>
        </w:tc>
        <w:tc>
          <w:tcPr>
            <w:tcW w:w="2185" w:type="dxa"/>
            <w:gridSpan w:val="3"/>
            <w:vMerge w:val="continue"/>
            <w:vAlign w:val="center"/>
          </w:tcPr>
          <w:p w14:paraId="6E78140D">
            <w:pPr>
              <w:pStyle w:val="39"/>
              <w:rPr>
                <w:rFonts w:hint="default" w:ascii="Times New Roman" w:hAnsi="Times New Roman" w:cs="Times New Roman"/>
                <w:color w:val="auto"/>
                <w:u w:val="none"/>
              </w:rPr>
            </w:pPr>
          </w:p>
        </w:tc>
        <w:tc>
          <w:tcPr>
            <w:tcW w:w="1981" w:type="dxa"/>
            <w:gridSpan w:val="4"/>
            <w:vAlign w:val="center"/>
          </w:tcPr>
          <w:p w14:paraId="240894D0">
            <w:pPr>
              <w:pStyle w:val="39"/>
              <w:rPr>
                <w:rFonts w:hint="default" w:ascii="Times New Roman" w:hAnsi="Times New Roman" w:cs="Times New Roman"/>
                <w:color w:val="auto"/>
                <w:u w:val="none"/>
              </w:rPr>
            </w:pPr>
            <w:r>
              <w:rPr>
                <w:rFonts w:hint="default" w:ascii="Times New Roman" w:hAnsi="Times New Roman" w:cs="Times New Roman"/>
                <w:color w:val="auto"/>
                <w:u w:val="none"/>
              </w:rPr>
              <w:t>262.44</w:t>
            </w:r>
          </w:p>
        </w:tc>
        <w:tc>
          <w:tcPr>
            <w:tcW w:w="2436" w:type="dxa"/>
            <w:gridSpan w:val="6"/>
            <w:vAlign w:val="center"/>
          </w:tcPr>
          <w:p w14:paraId="199B3655">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2.6704346</w:t>
            </w:r>
          </w:p>
        </w:tc>
      </w:tr>
      <w:tr w14:paraId="6093C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1262C166">
            <w:pPr>
              <w:pStyle w:val="41"/>
              <w:rPr>
                <w:rFonts w:hint="default" w:ascii="Times New Roman" w:hAnsi="Times New Roman" w:cs="Times New Roman"/>
                <w:color w:val="auto"/>
                <w:u w:val="none"/>
              </w:rPr>
            </w:pPr>
          </w:p>
        </w:tc>
        <w:tc>
          <w:tcPr>
            <w:tcW w:w="885" w:type="dxa"/>
            <w:gridSpan w:val="2"/>
            <w:vMerge w:val="continue"/>
            <w:vAlign w:val="center"/>
          </w:tcPr>
          <w:p w14:paraId="53773010">
            <w:pPr>
              <w:pStyle w:val="41"/>
              <w:rPr>
                <w:rFonts w:hint="default" w:ascii="Times New Roman" w:hAnsi="Times New Roman" w:cs="Times New Roman"/>
                <w:color w:val="auto"/>
                <w:kern w:val="2"/>
                <w:u w:val="none"/>
              </w:rPr>
            </w:pPr>
          </w:p>
        </w:tc>
        <w:tc>
          <w:tcPr>
            <w:tcW w:w="1527" w:type="dxa"/>
            <w:gridSpan w:val="2"/>
            <w:vMerge w:val="continue"/>
            <w:vAlign w:val="center"/>
          </w:tcPr>
          <w:p w14:paraId="669845E1">
            <w:pPr>
              <w:pStyle w:val="41"/>
              <w:rPr>
                <w:rFonts w:hint="default" w:ascii="Times New Roman" w:hAnsi="Times New Roman" w:cs="Times New Roman"/>
                <w:color w:val="auto"/>
                <w:kern w:val="2"/>
                <w:u w:val="none"/>
              </w:rPr>
            </w:pPr>
          </w:p>
        </w:tc>
        <w:tc>
          <w:tcPr>
            <w:tcW w:w="988" w:type="dxa"/>
            <w:vAlign w:val="center"/>
          </w:tcPr>
          <w:p w14:paraId="6B92F5E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SS</w:t>
            </w:r>
          </w:p>
        </w:tc>
        <w:tc>
          <w:tcPr>
            <w:tcW w:w="1383" w:type="dxa"/>
            <w:gridSpan w:val="4"/>
            <w:vAlign w:val="center"/>
          </w:tcPr>
          <w:p w14:paraId="4052B29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200</w:t>
            </w:r>
          </w:p>
        </w:tc>
        <w:tc>
          <w:tcPr>
            <w:tcW w:w="2023" w:type="dxa"/>
            <w:gridSpan w:val="3"/>
            <w:vAlign w:val="center"/>
          </w:tcPr>
          <w:p w14:paraId="62BAA326">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2.035082</w:t>
            </w:r>
          </w:p>
        </w:tc>
        <w:tc>
          <w:tcPr>
            <w:tcW w:w="2185" w:type="dxa"/>
            <w:gridSpan w:val="3"/>
            <w:vMerge w:val="continue"/>
            <w:vAlign w:val="center"/>
          </w:tcPr>
          <w:p w14:paraId="5D58F888">
            <w:pPr>
              <w:pStyle w:val="39"/>
              <w:rPr>
                <w:rFonts w:hint="default" w:ascii="Times New Roman" w:hAnsi="Times New Roman" w:cs="Times New Roman"/>
                <w:color w:val="auto"/>
                <w:u w:val="none"/>
              </w:rPr>
            </w:pPr>
          </w:p>
        </w:tc>
        <w:tc>
          <w:tcPr>
            <w:tcW w:w="1981" w:type="dxa"/>
            <w:gridSpan w:val="4"/>
            <w:vAlign w:val="center"/>
          </w:tcPr>
          <w:p w14:paraId="3126729C">
            <w:pPr>
              <w:pStyle w:val="39"/>
              <w:rPr>
                <w:rFonts w:hint="default" w:ascii="Times New Roman" w:hAnsi="Times New Roman" w:cs="Times New Roman"/>
                <w:color w:val="auto"/>
                <w:u w:val="none"/>
              </w:rPr>
            </w:pPr>
            <w:r>
              <w:rPr>
                <w:rFonts w:hint="default" w:ascii="Times New Roman" w:hAnsi="Times New Roman" w:cs="Times New Roman"/>
                <w:color w:val="auto"/>
                <w:u w:val="none"/>
              </w:rPr>
              <w:t>59.4</w:t>
            </w:r>
          </w:p>
        </w:tc>
        <w:tc>
          <w:tcPr>
            <w:tcW w:w="2436" w:type="dxa"/>
            <w:gridSpan w:val="6"/>
            <w:vAlign w:val="center"/>
          </w:tcPr>
          <w:p w14:paraId="2F3BA7A9">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0.604419354</w:t>
            </w:r>
          </w:p>
        </w:tc>
      </w:tr>
      <w:tr w14:paraId="36011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42E115B0">
            <w:pPr>
              <w:pStyle w:val="41"/>
              <w:rPr>
                <w:rFonts w:hint="default" w:ascii="Times New Roman" w:hAnsi="Times New Roman" w:cs="Times New Roman"/>
                <w:color w:val="auto"/>
                <w:u w:val="none"/>
              </w:rPr>
            </w:pPr>
          </w:p>
        </w:tc>
        <w:tc>
          <w:tcPr>
            <w:tcW w:w="885" w:type="dxa"/>
            <w:gridSpan w:val="2"/>
            <w:vMerge w:val="continue"/>
            <w:vAlign w:val="center"/>
          </w:tcPr>
          <w:p w14:paraId="756A970F">
            <w:pPr>
              <w:pStyle w:val="41"/>
              <w:rPr>
                <w:rFonts w:hint="default" w:ascii="Times New Roman" w:hAnsi="Times New Roman" w:cs="Times New Roman"/>
                <w:color w:val="auto"/>
                <w:kern w:val="2"/>
                <w:u w:val="none"/>
              </w:rPr>
            </w:pPr>
          </w:p>
        </w:tc>
        <w:tc>
          <w:tcPr>
            <w:tcW w:w="1527" w:type="dxa"/>
            <w:gridSpan w:val="2"/>
            <w:vMerge w:val="continue"/>
            <w:vAlign w:val="center"/>
          </w:tcPr>
          <w:p w14:paraId="58E829EB">
            <w:pPr>
              <w:pStyle w:val="41"/>
              <w:rPr>
                <w:rFonts w:hint="default" w:ascii="Times New Roman" w:hAnsi="Times New Roman" w:cs="Times New Roman"/>
                <w:color w:val="auto"/>
                <w:kern w:val="2"/>
                <w:u w:val="none"/>
              </w:rPr>
            </w:pPr>
          </w:p>
        </w:tc>
        <w:tc>
          <w:tcPr>
            <w:tcW w:w="988" w:type="dxa"/>
            <w:vAlign w:val="center"/>
          </w:tcPr>
          <w:p w14:paraId="5C3E645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石油类</w:t>
            </w:r>
          </w:p>
        </w:tc>
        <w:tc>
          <w:tcPr>
            <w:tcW w:w="1383" w:type="dxa"/>
            <w:gridSpan w:val="4"/>
            <w:vAlign w:val="center"/>
          </w:tcPr>
          <w:p w14:paraId="5839593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15</w:t>
            </w:r>
          </w:p>
        </w:tc>
        <w:tc>
          <w:tcPr>
            <w:tcW w:w="2023" w:type="dxa"/>
            <w:gridSpan w:val="3"/>
            <w:vAlign w:val="center"/>
          </w:tcPr>
          <w:p w14:paraId="7743F455">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0.15263115</w:t>
            </w:r>
          </w:p>
        </w:tc>
        <w:tc>
          <w:tcPr>
            <w:tcW w:w="2185" w:type="dxa"/>
            <w:gridSpan w:val="3"/>
            <w:vMerge w:val="continue"/>
            <w:vAlign w:val="center"/>
          </w:tcPr>
          <w:p w14:paraId="3E72966F">
            <w:pPr>
              <w:pStyle w:val="39"/>
              <w:rPr>
                <w:rFonts w:hint="default" w:ascii="Times New Roman" w:hAnsi="Times New Roman" w:cs="Times New Roman"/>
                <w:color w:val="auto"/>
                <w:u w:val="none"/>
              </w:rPr>
            </w:pPr>
          </w:p>
        </w:tc>
        <w:tc>
          <w:tcPr>
            <w:tcW w:w="1981" w:type="dxa"/>
            <w:gridSpan w:val="4"/>
            <w:vAlign w:val="center"/>
          </w:tcPr>
          <w:p w14:paraId="416DFD09">
            <w:pPr>
              <w:pStyle w:val="39"/>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2436" w:type="dxa"/>
            <w:gridSpan w:val="6"/>
            <w:vAlign w:val="center"/>
          </w:tcPr>
          <w:p w14:paraId="1735373D">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0.06105246</w:t>
            </w:r>
          </w:p>
        </w:tc>
      </w:tr>
      <w:tr w14:paraId="44139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4DE94CA">
            <w:pPr>
              <w:pStyle w:val="41"/>
              <w:rPr>
                <w:rFonts w:hint="default" w:ascii="Times New Roman" w:hAnsi="Times New Roman" w:cs="Times New Roman"/>
                <w:color w:val="auto"/>
                <w:u w:val="none"/>
              </w:rPr>
            </w:pPr>
          </w:p>
        </w:tc>
        <w:tc>
          <w:tcPr>
            <w:tcW w:w="885" w:type="dxa"/>
            <w:gridSpan w:val="2"/>
            <w:vMerge w:val="continue"/>
            <w:vAlign w:val="center"/>
          </w:tcPr>
          <w:p w14:paraId="139F089D">
            <w:pPr>
              <w:pStyle w:val="41"/>
              <w:rPr>
                <w:rFonts w:hint="default" w:ascii="Times New Roman" w:hAnsi="Times New Roman" w:cs="Times New Roman"/>
                <w:color w:val="auto"/>
                <w:kern w:val="2"/>
                <w:u w:val="none"/>
              </w:rPr>
            </w:pPr>
          </w:p>
        </w:tc>
        <w:tc>
          <w:tcPr>
            <w:tcW w:w="1527" w:type="dxa"/>
            <w:gridSpan w:val="2"/>
            <w:vMerge w:val="continue"/>
            <w:vAlign w:val="center"/>
          </w:tcPr>
          <w:p w14:paraId="050773E0">
            <w:pPr>
              <w:pStyle w:val="41"/>
              <w:rPr>
                <w:rFonts w:hint="default" w:ascii="Times New Roman" w:hAnsi="Times New Roman" w:cs="Times New Roman"/>
                <w:color w:val="auto"/>
                <w:kern w:val="2"/>
                <w:u w:val="none"/>
              </w:rPr>
            </w:pPr>
          </w:p>
        </w:tc>
        <w:tc>
          <w:tcPr>
            <w:tcW w:w="988" w:type="dxa"/>
            <w:vAlign w:val="center"/>
          </w:tcPr>
          <w:p w14:paraId="5A327C6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总氮</w:t>
            </w:r>
          </w:p>
        </w:tc>
        <w:tc>
          <w:tcPr>
            <w:tcW w:w="1383" w:type="dxa"/>
            <w:gridSpan w:val="4"/>
            <w:vAlign w:val="center"/>
          </w:tcPr>
          <w:p w14:paraId="68C00F2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2023" w:type="dxa"/>
            <w:gridSpan w:val="3"/>
            <w:vAlign w:val="center"/>
          </w:tcPr>
          <w:p w14:paraId="10AAD1EC">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3.052623</w:t>
            </w:r>
          </w:p>
        </w:tc>
        <w:tc>
          <w:tcPr>
            <w:tcW w:w="2185" w:type="dxa"/>
            <w:gridSpan w:val="3"/>
            <w:vMerge w:val="continue"/>
            <w:vAlign w:val="center"/>
          </w:tcPr>
          <w:p w14:paraId="454E77B0">
            <w:pPr>
              <w:pStyle w:val="39"/>
              <w:rPr>
                <w:rFonts w:hint="default" w:ascii="Times New Roman" w:hAnsi="Times New Roman" w:cs="Times New Roman"/>
                <w:color w:val="auto"/>
                <w:u w:val="none"/>
              </w:rPr>
            </w:pPr>
          </w:p>
        </w:tc>
        <w:tc>
          <w:tcPr>
            <w:tcW w:w="1981" w:type="dxa"/>
            <w:gridSpan w:val="4"/>
            <w:vAlign w:val="center"/>
          </w:tcPr>
          <w:p w14:paraId="14C7BD0A">
            <w:pPr>
              <w:pStyle w:val="39"/>
              <w:rPr>
                <w:rFonts w:hint="default" w:ascii="Times New Roman" w:hAnsi="Times New Roman" w:cs="Times New Roman"/>
                <w:color w:val="auto"/>
                <w:u w:val="none"/>
              </w:rPr>
            </w:pPr>
            <w:r>
              <w:rPr>
                <w:rFonts w:hint="default" w:ascii="Times New Roman" w:hAnsi="Times New Roman" w:cs="Times New Roman"/>
                <w:color w:val="auto"/>
                <w:u w:val="none"/>
              </w:rPr>
              <w:t>33.75（氨氮）</w:t>
            </w:r>
          </w:p>
        </w:tc>
        <w:tc>
          <w:tcPr>
            <w:tcW w:w="2436" w:type="dxa"/>
            <w:gridSpan w:val="6"/>
            <w:vAlign w:val="center"/>
          </w:tcPr>
          <w:p w14:paraId="7A67750F">
            <w:pPr>
              <w:pStyle w:val="41"/>
              <w:rPr>
                <w:rFonts w:hint="default"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0.343420088</w:t>
            </w:r>
          </w:p>
        </w:tc>
      </w:tr>
      <w:tr w14:paraId="12520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366F56A">
            <w:pPr>
              <w:pStyle w:val="41"/>
              <w:rPr>
                <w:rFonts w:hint="default" w:ascii="Times New Roman" w:hAnsi="Times New Roman" w:cs="Times New Roman"/>
                <w:color w:val="auto"/>
                <w:u w:val="none"/>
              </w:rPr>
            </w:pPr>
          </w:p>
        </w:tc>
        <w:tc>
          <w:tcPr>
            <w:tcW w:w="885" w:type="dxa"/>
            <w:gridSpan w:val="2"/>
            <w:vMerge w:val="continue"/>
            <w:vAlign w:val="center"/>
          </w:tcPr>
          <w:p w14:paraId="1BDFB4EB">
            <w:pPr>
              <w:pStyle w:val="41"/>
              <w:rPr>
                <w:rFonts w:hint="default" w:ascii="Times New Roman" w:hAnsi="Times New Roman" w:cs="Times New Roman"/>
                <w:color w:val="auto"/>
                <w:kern w:val="2"/>
                <w:u w:val="none"/>
              </w:rPr>
            </w:pPr>
          </w:p>
        </w:tc>
        <w:tc>
          <w:tcPr>
            <w:tcW w:w="1527" w:type="dxa"/>
            <w:gridSpan w:val="2"/>
            <w:vMerge w:val="restart"/>
            <w:vAlign w:val="center"/>
          </w:tcPr>
          <w:p w14:paraId="4D5B1A9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含铬废水（</w:t>
            </w:r>
            <w:r>
              <w:rPr>
                <w:rFonts w:hint="eastAsia" w:cs="Times New Roman"/>
                <w:color w:val="auto"/>
                <w:u w:val="none"/>
                <w:lang w:val="en-US" w:eastAsia="zh-CN"/>
              </w:rPr>
              <w:t>3436</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687B5D5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pH</w:t>
            </w:r>
          </w:p>
        </w:tc>
        <w:tc>
          <w:tcPr>
            <w:tcW w:w="1383" w:type="dxa"/>
            <w:gridSpan w:val="4"/>
            <w:vAlign w:val="center"/>
          </w:tcPr>
          <w:p w14:paraId="7AE70E0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5~6</w:t>
            </w:r>
          </w:p>
        </w:tc>
        <w:tc>
          <w:tcPr>
            <w:tcW w:w="2023" w:type="dxa"/>
            <w:gridSpan w:val="3"/>
            <w:vAlign w:val="center"/>
          </w:tcPr>
          <w:p w14:paraId="54098088">
            <w:pPr>
              <w:pStyle w:val="41"/>
              <w:rPr>
                <w:rFonts w:hint="eastAsia" w:ascii="Times New Roman" w:hAnsi="Times New Roman" w:eastAsia="宋体" w:cs="Times New Roman"/>
                <w:color w:val="auto"/>
                <w:kern w:val="2"/>
                <w:u w:val="none"/>
                <w:lang w:val="en-US" w:eastAsia="zh-CN"/>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38705D0F">
            <w:pPr>
              <w:pStyle w:val="41"/>
              <w:rPr>
                <w:rFonts w:hint="default" w:ascii="Times New Roman" w:hAnsi="Times New Roman" w:cs="Times New Roman"/>
                <w:color w:val="auto"/>
                <w:u w:val="none"/>
              </w:rPr>
            </w:pPr>
            <w:r>
              <w:rPr>
                <w:rFonts w:hint="default" w:ascii="Times New Roman" w:hAnsi="Times New Roman" w:cs="Times New Roman"/>
                <w:color w:val="auto"/>
                <w:u w:val="none"/>
              </w:rPr>
              <w:t>进入含铬废水（液）处理系统处理后，回用于生产不外排</w:t>
            </w:r>
          </w:p>
        </w:tc>
        <w:tc>
          <w:tcPr>
            <w:tcW w:w="4417" w:type="dxa"/>
            <w:gridSpan w:val="10"/>
            <w:vMerge w:val="restart"/>
            <w:vAlign w:val="center"/>
          </w:tcPr>
          <w:p w14:paraId="65FA8356">
            <w:pPr>
              <w:pStyle w:val="39"/>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r>
      <w:tr w14:paraId="124FF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21BDEA46">
            <w:pPr>
              <w:pStyle w:val="41"/>
              <w:rPr>
                <w:rFonts w:hint="default" w:ascii="Times New Roman" w:hAnsi="Times New Roman" w:cs="Times New Roman"/>
                <w:color w:val="auto"/>
                <w:u w:val="none"/>
              </w:rPr>
            </w:pPr>
          </w:p>
        </w:tc>
        <w:tc>
          <w:tcPr>
            <w:tcW w:w="885" w:type="dxa"/>
            <w:gridSpan w:val="2"/>
            <w:vMerge w:val="continue"/>
            <w:vAlign w:val="center"/>
          </w:tcPr>
          <w:p w14:paraId="0BFC08C9">
            <w:pPr>
              <w:pStyle w:val="41"/>
              <w:rPr>
                <w:rFonts w:hint="default" w:ascii="Times New Roman" w:hAnsi="Times New Roman" w:cs="Times New Roman"/>
                <w:color w:val="auto"/>
                <w:kern w:val="2"/>
                <w:u w:val="none"/>
              </w:rPr>
            </w:pPr>
          </w:p>
        </w:tc>
        <w:tc>
          <w:tcPr>
            <w:tcW w:w="1527" w:type="dxa"/>
            <w:gridSpan w:val="2"/>
            <w:vMerge w:val="continue"/>
            <w:vAlign w:val="center"/>
          </w:tcPr>
          <w:p w14:paraId="482C4A60">
            <w:pPr>
              <w:pStyle w:val="41"/>
              <w:rPr>
                <w:rFonts w:hint="default" w:ascii="Times New Roman" w:hAnsi="Times New Roman" w:cs="Times New Roman"/>
                <w:color w:val="auto"/>
                <w:kern w:val="2"/>
                <w:u w:val="none"/>
              </w:rPr>
            </w:pPr>
          </w:p>
        </w:tc>
        <w:tc>
          <w:tcPr>
            <w:tcW w:w="988" w:type="dxa"/>
            <w:vAlign w:val="center"/>
          </w:tcPr>
          <w:p w14:paraId="644D6DF9">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1D28DF4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w:t>
            </w:r>
          </w:p>
        </w:tc>
        <w:tc>
          <w:tcPr>
            <w:tcW w:w="2023" w:type="dxa"/>
            <w:gridSpan w:val="3"/>
            <w:vAlign w:val="center"/>
          </w:tcPr>
          <w:p w14:paraId="1C39D59D">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0.15857</w:t>
            </w:r>
          </w:p>
        </w:tc>
        <w:tc>
          <w:tcPr>
            <w:tcW w:w="2185" w:type="dxa"/>
            <w:gridSpan w:val="3"/>
            <w:vMerge w:val="continue"/>
            <w:vAlign w:val="center"/>
          </w:tcPr>
          <w:p w14:paraId="208BC9F8">
            <w:pPr>
              <w:pStyle w:val="39"/>
              <w:rPr>
                <w:rFonts w:hint="default" w:ascii="Times New Roman" w:hAnsi="Times New Roman" w:cs="Times New Roman"/>
                <w:color w:val="auto"/>
                <w:u w:val="none"/>
              </w:rPr>
            </w:pPr>
          </w:p>
        </w:tc>
        <w:tc>
          <w:tcPr>
            <w:tcW w:w="4417" w:type="dxa"/>
            <w:gridSpan w:val="10"/>
            <w:vMerge w:val="continue"/>
            <w:vAlign w:val="center"/>
          </w:tcPr>
          <w:p w14:paraId="480D4849">
            <w:pPr>
              <w:pStyle w:val="39"/>
              <w:rPr>
                <w:rFonts w:hint="default" w:ascii="Times New Roman" w:hAnsi="Times New Roman" w:cs="Times New Roman"/>
                <w:color w:val="auto"/>
                <w:u w:val="none"/>
              </w:rPr>
            </w:pPr>
          </w:p>
        </w:tc>
      </w:tr>
      <w:tr w14:paraId="6D450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717CD93">
            <w:pPr>
              <w:pStyle w:val="41"/>
              <w:rPr>
                <w:rFonts w:hint="default" w:ascii="Times New Roman" w:hAnsi="Times New Roman" w:cs="Times New Roman"/>
                <w:color w:val="auto"/>
                <w:u w:val="none"/>
              </w:rPr>
            </w:pPr>
          </w:p>
        </w:tc>
        <w:tc>
          <w:tcPr>
            <w:tcW w:w="885" w:type="dxa"/>
            <w:gridSpan w:val="2"/>
            <w:vMerge w:val="continue"/>
            <w:vAlign w:val="center"/>
          </w:tcPr>
          <w:p w14:paraId="4EEDCDF2">
            <w:pPr>
              <w:pStyle w:val="41"/>
              <w:rPr>
                <w:rFonts w:hint="default" w:ascii="Times New Roman" w:hAnsi="Times New Roman" w:cs="Times New Roman"/>
                <w:color w:val="auto"/>
                <w:kern w:val="2"/>
                <w:u w:val="none"/>
              </w:rPr>
            </w:pPr>
          </w:p>
        </w:tc>
        <w:tc>
          <w:tcPr>
            <w:tcW w:w="1527" w:type="dxa"/>
            <w:gridSpan w:val="2"/>
            <w:vMerge w:val="continue"/>
            <w:vAlign w:val="center"/>
          </w:tcPr>
          <w:p w14:paraId="79C4209E">
            <w:pPr>
              <w:pStyle w:val="41"/>
              <w:rPr>
                <w:rFonts w:hint="default" w:ascii="Times New Roman" w:hAnsi="Times New Roman" w:cs="Times New Roman"/>
                <w:color w:val="auto"/>
                <w:kern w:val="2"/>
                <w:u w:val="none"/>
              </w:rPr>
            </w:pPr>
          </w:p>
        </w:tc>
        <w:tc>
          <w:tcPr>
            <w:tcW w:w="988" w:type="dxa"/>
            <w:vAlign w:val="center"/>
          </w:tcPr>
          <w:p w14:paraId="1B7F436A">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总铬</w:t>
            </w:r>
          </w:p>
        </w:tc>
        <w:tc>
          <w:tcPr>
            <w:tcW w:w="1383" w:type="dxa"/>
            <w:gridSpan w:val="4"/>
            <w:vAlign w:val="center"/>
          </w:tcPr>
          <w:p w14:paraId="0D582B6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0.05</w:t>
            </w:r>
          </w:p>
        </w:tc>
        <w:tc>
          <w:tcPr>
            <w:tcW w:w="2023" w:type="dxa"/>
            <w:gridSpan w:val="3"/>
            <w:vAlign w:val="center"/>
          </w:tcPr>
          <w:p w14:paraId="58275A66">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0.00015857</w:t>
            </w:r>
          </w:p>
        </w:tc>
        <w:tc>
          <w:tcPr>
            <w:tcW w:w="2185" w:type="dxa"/>
            <w:gridSpan w:val="3"/>
            <w:vMerge w:val="continue"/>
            <w:vAlign w:val="center"/>
          </w:tcPr>
          <w:p w14:paraId="32BFBE8D">
            <w:pPr>
              <w:pStyle w:val="39"/>
              <w:rPr>
                <w:rFonts w:hint="default" w:ascii="Times New Roman" w:hAnsi="Times New Roman" w:cs="Times New Roman"/>
                <w:color w:val="auto"/>
                <w:u w:val="none"/>
              </w:rPr>
            </w:pPr>
          </w:p>
        </w:tc>
        <w:tc>
          <w:tcPr>
            <w:tcW w:w="4417" w:type="dxa"/>
            <w:gridSpan w:val="10"/>
            <w:vMerge w:val="continue"/>
            <w:vAlign w:val="center"/>
          </w:tcPr>
          <w:p w14:paraId="4152FFCD">
            <w:pPr>
              <w:pStyle w:val="39"/>
              <w:rPr>
                <w:rFonts w:hint="default" w:ascii="Times New Roman" w:hAnsi="Times New Roman" w:cs="Times New Roman"/>
                <w:color w:val="auto"/>
                <w:u w:val="none"/>
              </w:rPr>
            </w:pPr>
          </w:p>
        </w:tc>
      </w:tr>
      <w:tr w14:paraId="731EE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182D589">
            <w:pPr>
              <w:pStyle w:val="41"/>
              <w:rPr>
                <w:rFonts w:hint="default" w:ascii="Times New Roman" w:hAnsi="Times New Roman" w:cs="Times New Roman"/>
                <w:color w:val="auto"/>
                <w:u w:val="none"/>
              </w:rPr>
            </w:pPr>
          </w:p>
        </w:tc>
        <w:tc>
          <w:tcPr>
            <w:tcW w:w="885" w:type="dxa"/>
            <w:gridSpan w:val="2"/>
            <w:vMerge w:val="continue"/>
            <w:vAlign w:val="center"/>
          </w:tcPr>
          <w:p w14:paraId="1C30D3C4">
            <w:pPr>
              <w:pStyle w:val="41"/>
              <w:rPr>
                <w:rFonts w:hint="default" w:ascii="Times New Roman" w:hAnsi="Times New Roman" w:cs="Times New Roman"/>
                <w:color w:val="auto"/>
                <w:kern w:val="2"/>
                <w:u w:val="none"/>
              </w:rPr>
            </w:pPr>
          </w:p>
        </w:tc>
        <w:tc>
          <w:tcPr>
            <w:tcW w:w="1527" w:type="dxa"/>
            <w:gridSpan w:val="2"/>
            <w:vMerge w:val="continue"/>
            <w:vAlign w:val="center"/>
          </w:tcPr>
          <w:p w14:paraId="1E5AB3F8">
            <w:pPr>
              <w:pStyle w:val="41"/>
              <w:rPr>
                <w:rFonts w:hint="default" w:ascii="Times New Roman" w:hAnsi="Times New Roman" w:cs="Times New Roman"/>
                <w:color w:val="auto"/>
                <w:kern w:val="2"/>
                <w:u w:val="none"/>
              </w:rPr>
            </w:pPr>
          </w:p>
        </w:tc>
        <w:tc>
          <w:tcPr>
            <w:tcW w:w="988" w:type="dxa"/>
            <w:vAlign w:val="center"/>
          </w:tcPr>
          <w:p w14:paraId="4F4BCA62">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SS</w:t>
            </w:r>
          </w:p>
        </w:tc>
        <w:tc>
          <w:tcPr>
            <w:tcW w:w="1383" w:type="dxa"/>
            <w:gridSpan w:val="4"/>
            <w:vAlign w:val="center"/>
          </w:tcPr>
          <w:p w14:paraId="44FACD2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200</w:t>
            </w:r>
          </w:p>
        </w:tc>
        <w:tc>
          <w:tcPr>
            <w:tcW w:w="2023" w:type="dxa"/>
            <w:gridSpan w:val="3"/>
            <w:vAlign w:val="center"/>
          </w:tcPr>
          <w:p w14:paraId="1E7E9284">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0.63428</w:t>
            </w:r>
          </w:p>
        </w:tc>
        <w:tc>
          <w:tcPr>
            <w:tcW w:w="2185" w:type="dxa"/>
            <w:gridSpan w:val="3"/>
            <w:vMerge w:val="continue"/>
            <w:vAlign w:val="center"/>
          </w:tcPr>
          <w:p w14:paraId="77E42533">
            <w:pPr>
              <w:pStyle w:val="39"/>
              <w:rPr>
                <w:rFonts w:hint="default" w:ascii="Times New Roman" w:hAnsi="Times New Roman" w:cs="Times New Roman"/>
                <w:color w:val="auto"/>
                <w:u w:val="none"/>
              </w:rPr>
            </w:pPr>
          </w:p>
        </w:tc>
        <w:tc>
          <w:tcPr>
            <w:tcW w:w="4417" w:type="dxa"/>
            <w:gridSpan w:val="10"/>
            <w:vMerge w:val="continue"/>
            <w:vAlign w:val="center"/>
          </w:tcPr>
          <w:p w14:paraId="429D2C77">
            <w:pPr>
              <w:pStyle w:val="39"/>
              <w:rPr>
                <w:rFonts w:hint="default" w:ascii="Times New Roman" w:hAnsi="Times New Roman" w:cs="Times New Roman"/>
                <w:color w:val="auto"/>
                <w:u w:val="none"/>
              </w:rPr>
            </w:pPr>
          </w:p>
        </w:tc>
      </w:tr>
      <w:tr w14:paraId="38473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4257483">
            <w:pPr>
              <w:pStyle w:val="41"/>
              <w:rPr>
                <w:rFonts w:hint="default" w:ascii="Times New Roman" w:hAnsi="Times New Roman" w:cs="Times New Roman"/>
                <w:color w:val="auto"/>
                <w:u w:val="none"/>
              </w:rPr>
            </w:pPr>
          </w:p>
        </w:tc>
        <w:tc>
          <w:tcPr>
            <w:tcW w:w="885" w:type="dxa"/>
            <w:gridSpan w:val="2"/>
            <w:vMerge w:val="continue"/>
            <w:vAlign w:val="center"/>
          </w:tcPr>
          <w:p w14:paraId="06C1D31C">
            <w:pPr>
              <w:pStyle w:val="41"/>
              <w:rPr>
                <w:rFonts w:hint="default" w:ascii="Times New Roman" w:hAnsi="Times New Roman" w:cs="Times New Roman"/>
                <w:color w:val="auto"/>
                <w:kern w:val="2"/>
                <w:u w:val="none"/>
              </w:rPr>
            </w:pPr>
          </w:p>
        </w:tc>
        <w:tc>
          <w:tcPr>
            <w:tcW w:w="1527" w:type="dxa"/>
            <w:gridSpan w:val="2"/>
            <w:vMerge w:val="continue"/>
            <w:vAlign w:val="center"/>
          </w:tcPr>
          <w:p w14:paraId="4DC8F53C">
            <w:pPr>
              <w:pStyle w:val="41"/>
              <w:rPr>
                <w:rFonts w:hint="default" w:ascii="Times New Roman" w:hAnsi="Times New Roman" w:cs="Times New Roman"/>
                <w:color w:val="auto"/>
                <w:kern w:val="2"/>
                <w:u w:val="none"/>
              </w:rPr>
            </w:pPr>
          </w:p>
        </w:tc>
        <w:tc>
          <w:tcPr>
            <w:tcW w:w="988" w:type="dxa"/>
            <w:vAlign w:val="center"/>
          </w:tcPr>
          <w:p w14:paraId="3D3E40B1">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总铜</w:t>
            </w:r>
          </w:p>
        </w:tc>
        <w:tc>
          <w:tcPr>
            <w:tcW w:w="1383" w:type="dxa"/>
            <w:gridSpan w:val="4"/>
            <w:vAlign w:val="center"/>
          </w:tcPr>
          <w:p w14:paraId="0B0A090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0.04</w:t>
            </w:r>
          </w:p>
        </w:tc>
        <w:tc>
          <w:tcPr>
            <w:tcW w:w="2023" w:type="dxa"/>
            <w:gridSpan w:val="3"/>
            <w:vAlign w:val="center"/>
          </w:tcPr>
          <w:p w14:paraId="633C6072">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0.000126856</w:t>
            </w:r>
          </w:p>
        </w:tc>
        <w:tc>
          <w:tcPr>
            <w:tcW w:w="2185" w:type="dxa"/>
            <w:gridSpan w:val="3"/>
            <w:vMerge w:val="continue"/>
            <w:vAlign w:val="center"/>
          </w:tcPr>
          <w:p w14:paraId="71ED6151">
            <w:pPr>
              <w:pStyle w:val="39"/>
              <w:rPr>
                <w:rFonts w:hint="default" w:ascii="Times New Roman" w:hAnsi="Times New Roman" w:cs="Times New Roman"/>
                <w:color w:val="auto"/>
                <w:u w:val="none"/>
              </w:rPr>
            </w:pPr>
          </w:p>
        </w:tc>
        <w:tc>
          <w:tcPr>
            <w:tcW w:w="4417" w:type="dxa"/>
            <w:gridSpan w:val="10"/>
            <w:vMerge w:val="continue"/>
            <w:vAlign w:val="center"/>
          </w:tcPr>
          <w:p w14:paraId="36F0ED84">
            <w:pPr>
              <w:pStyle w:val="39"/>
              <w:rPr>
                <w:rFonts w:hint="default" w:ascii="Times New Roman" w:hAnsi="Times New Roman" w:cs="Times New Roman"/>
                <w:color w:val="auto"/>
                <w:u w:val="none"/>
              </w:rPr>
            </w:pPr>
          </w:p>
        </w:tc>
      </w:tr>
      <w:tr w14:paraId="3602F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624A8AC">
            <w:pPr>
              <w:pStyle w:val="41"/>
              <w:rPr>
                <w:rFonts w:hint="default" w:ascii="Times New Roman" w:hAnsi="Times New Roman" w:cs="Times New Roman"/>
                <w:color w:val="auto"/>
                <w:u w:val="none"/>
              </w:rPr>
            </w:pPr>
          </w:p>
        </w:tc>
        <w:tc>
          <w:tcPr>
            <w:tcW w:w="885" w:type="dxa"/>
            <w:gridSpan w:val="2"/>
            <w:vMerge w:val="continue"/>
            <w:vAlign w:val="center"/>
          </w:tcPr>
          <w:p w14:paraId="56B12BC7">
            <w:pPr>
              <w:pStyle w:val="41"/>
              <w:rPr>
                <w:rFonts w:hint="default" w:ascii="Times New Roman" w:hAnsi="Times New Roman" w:cs="Times New Roman"/>
                <w:color w:val="auto"/>
                <w:kern w:val="2"/>
                <w:u w:val="none"/>
              </w:rPr>
            </w:pPr>
          </w:p>
        </w:tc>
        <w:tc>
          <w:tcPr>
            <w:tcW w:w="1527" w:type="dxa"/>
            <w:gridSpan w:val="2"/>
            <w:vMerge w:val="continue"/>
            <w:vAlign w:val="center"/>
          </w:tcPr>
          <w:p w14:paraId="4325E41E">
            <w:pPr>
              <w:pStyle w:val="41"/>
              <w:rPr>
                <w:rFonts w:hint="default" w:ascii="Times New Roman" w:hAnsi="Times New Roman" w:cs="Times New Roman"/>
                <w:color w:val="auto"/>
                <w:kern w:val="2"/>
                <w:u w:val="none"/>
              </w:rPr>
            </w:pPr>
          </w:p>
        </w:tc>
        <w:tc>
          <w:tcPr>
            <w:tcW w:w="988" w:type="dxa"/>
            <w:vAlign w:val="center"/>
          </w:tcPr>
          <w:p w14:paraId="48953E71">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总氮</w:t>
            </w:r>
          </w:p>
        </w:tc>
        <w:tc>
          <w:tcPr>
            <w:tcW w:w="1383" w:type="dxa"/>
            <w:gridSpan w:val="4"/>
            <w:vAlign w:val="center"/>
          </w:tcPr>
          <w:p w14:paraId="404171A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1.6</w:t>
            </w:r>
          </w:p>
        </w:tc>
        <w:tc>
          <w:tcPr>
            <w:tcW w:w="2023" w:type="dxa"/>
            <w:gridSpan w:val="3"/>
            <w:vAlign w:val="center"/>
          </w:tcPr>
          <w:p w14:paraId="46E6E9BB">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0.00507424</w:t>
            </w:r>
          </w:p>
        </w:tc>
        <w:tc>
          <w:tcPr>
            <w:tcW w:w="2185" w:type="dxa"/>
            <w:gridSpan w:val="3"/>
            <w:vMerge w:val="continue"/>
            <w:vAlign w:val="center"/>
          </w:tcPr>
          <w:p w14:paraId="185DBD0C">
            <w:pPr>
              <w:pStyle w:val="39"/>
              <w:rPr>
                <w:rFonts w:hint="default" w:ascii="Times New Roman" w:hAnsi="Times New Roman" w:cs="Times New Roman"/>
                <w:color w:val="auto"/>
                <w:u w:val="none"/>
              </w:rPr>
            </w:pPr>
          </w:p>
        </w:tc>
        <w:tc>
          <w:tcPr>
            <w:tcW w:w="4417" w:type="dxa"/>
            <w:gridSpan w:val="10"/>
            <w:vMerge w:val="continue"/>
            <w:vAlign w:val="center"/>
          </w:tcPr>
          <w:p w14:paraId="3ACE7A1C">
            <w:pPr>
              <w:pStyle w:val="39"/>
              <w:rPr>
                <w:rFonts w:hint="default" w:ascii="Times New Roman" w:hAnsi="Times New Roman" w:cs="Times New Roman"/>
                <w:color w:val="auto"/>
                <w:u w:val="none"/>
              </w:rPr>
            </w:pPr>
          </w:p>
        </w:tc>
      </w:tr>
      <w:tr w14:paraId="635EC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3DD56CED">
            <w:pPr>
              <w:pStyle w:val="41"/>
              <w:rPr>
                <w:rFonts w:hint="default" w:ascii="Times New Roman" w:hAnsi="Times New Roman" w:cs="Times New Roman"/>
                <w:color w:val="auto"/>
                <w:u w:val="none"/>
              </w:rPr>
            </w:pPr>
          </w:p>
        </w:tc>
        <w:tc>
          <w:tcPr>
            <w:tcW w:w="885" w:type="dxa"/>
            <w:gridSpan w:val="2"/>
            <w:vMerge w:val="continue"/>
            <w:vAlign w:val="center"/>
          </w:tcPr>
          <w:p w14:paraId="7C7A7E5F">
            <w:pPr>
              <w:pStyle w:val="41"/>
              <w:rPr>
                <w:rFonts w:hint="default" w:ascii="Times New Roman" w:hAnsi="Times New Roman" w:cs="Times New Roman"/>
                <w:color w:val="auto"/>
                <w:kern w:val="2"/>
                <w:u w:val="none"/>
              </w:rPr>
            </w:pPr>
          </w:p>
        </w:tc>
        <w:tc>
          <w:tcPr>
            <w:tcW w:w="1527" w:type="dxa"/>
            <w:gridSpan w:val="2"/>
            <w:vMerge w:val="restart"/>
            <w:vAlign w:val="center"/>
          </w:tcPr>
          <w:p w14:paraId="44425DA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含油废液（</w:t>
            </w:r>
            <w:r>
              <w:rPr>
                <w:rFonts w:hint="eastAsia" w:cs="Times New Roman"/>
                <w:color w:val="auto"/>
                <w:kern w:val="2"/>
                <w:u w:val="none"/>
                <w:lang w:val="en-US" w:eastAsia="zh-CN"/>
              </w:rPr>
              <w:t>334</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4B29F1B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pH</w:t>
            </w:r>
          </w:p>
        </w:tc>
        <w:tc>
          <w:tcPr>
            <w:tcW w:w="1383" w:type="dxa"/>
            <w:gridSpan w:val="4"/>
            <w:vAlign w:val="center"/>
          </w:tcPr>
          <w:p w14:paraId="6DFF7C4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5~6</w:t>
            </w:r>
          </w:p>
        </w:tc>
        <w:tc>
          <w:tcPr>
            <w:tcW w:w="2023" w:type="dxa"/>
            <w:gridSpan w:val="3"/>
            <w:vAlign w:val="center"/>
          </w:tcPr>
          <w:p w14:paraId="1C225BFF">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711D099F">
            <w:pPr>
              <w:pStyle w:val="41"/>
              <w:rPr>
                <w:rFonts w:hint="default" w:ascii="Times New Roman" w:hAnsi="Times New Roman" w:cs="Times New Roman"/>
                <w:color w:val="auto"/>
                <w:u w:val="none"/>
              </w:rPr>
            </w:pPr>
            <w:r>
              <w:rPr>
                <w:rFonts w:hint="default" w:ascii="Times New Roman" w:hAnsi="Times New Roman" w:cs="Times New Roman"/>
                <w:color w:val="auto"/>
                <w:u w:val="none"/>
              </w:rPr>
              <w:t>含油废水预处理后，进入综合污水处理系统处理后，达到相应标准后，进入市政污水管网</w:t>
            </w:r>
          </w:p>
        </w:tc>
        <w:tc>
          <w:tcPr>
            <w:tcW w:w="1981" w:type="dxa"/>
            <w:gridSpan w:val="4"/>
            <w:vAlign w:val="center"/>
          </w:tcPr>
          <w:p w14:paraId="02D9F390">
            <w:pPr>
              <w:pStyle w:val="39"/>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2436" w:type="dxa"/>
            <w:gridSpan w:val="6"/>
            <w:vAlign w:val="center"/>
          </w:tcPr>
          <w:p w14:paraId="30DEEF53">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w:t>
            </w:r>
          </w:p>
        </w:tc>
      </w:tr>
      <w:tr w14:paraId="590FB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225BEB0A">
            <w:pPr>
              <w:pStyle w:val="41"/>
              <w:rPr>
                <w:rFonts w:hint="default" w:ascii="Times New Roman" w:hAnsi="Times New Roman" w:cs="Times New Roman"/>
                <w:color w:val="auto"/>
                <w:u w:val="none"/>
              </w:rPr>
            </w:pPr>
          </w:p>
        </w:tc>
        <w:tc>
          <w:tcPr>
            <w:tcW w:w="885" w:type="dxa"/>
            <w:gridSpan w:val="2"/>
            <w:vMerge w:val="continue"/>
            <w:vAlign w:val="center"/>
          </w:tcPr>
          <w:p w14:paraId="3172FF85">
            <w:pPr>
              <w:pStyle w:val="41"/>
              <w:rPr>
                <w:rFonts w:hint="default" w:ascii="Times New Roman" w:hAnsi="Times New Roman" w:cs="Times New Roman"/>
                <w:color w:val="auto"/>
                <w:kern w:val="2"/>
                <w:u w:val="none"/>
              </w:rPr>
            </w:pPr>
          </w:p>
        </w:tc>
        <w:tc>
          <w:tcPr>
            <w:tcW w:w="1527" w:type="dxa"/>
            <w:gridSpan w:val="2"/>
            <w:vMerge w:val="continue"/>
            <w:vAlign w:val="center"/>
          </w:tcPr>
          <w:p w14:paraId="1DA1BDA9">
            <w:pPr>
              <w:pStyle w:val="41"/>
              <w:rPr>
                <w:rFonts w:hint="default" w:ascii="Times New Roman" w:hAnsi="Times New Roman" w:cs="Times New Roman"/>
                <w:color w:val="auto"/>
                <w:kern w:val="2"/>
                <w:u w:val="none"/>
              </w:rPr>
            </w:pPr>
          </w:p>
        </w:tc>
        <w:tc>
          <w:tcPr>
            <w:tcW w:w="988" w:type="dxa"/>
            <w:vAlign w:val="center"/>
          </w:tcPr>
          <w:p w14:paraId="6B0AECDF">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52E7776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15000</w:t>
            </w:r>
          </w:p>
        </w:tc>
        <w:tc>
          <w:tcPr>
            <w:tcW w:w="2023" w:type="dxa"/>
            <w:gridSpan w:val="3"/>
            <w:vAlign w:val="center"/>
          </w:tcPr>
          <w:p w14:paraId="5D92F04A">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5.01</w:t>
            </w:r>
          </w:p>
        </w:tc>
        <w:tc>
          <w:tcPr>
            <w:tcW w:w="2185" w:type="dxa"/>
            <w:gridSpan w:val="3"/>
            <w:vMerge w:val="continue"/>
            <w:vAlign w:val="center"/>
          </w:tcPr>
          <w:p w14:paraId="4CA38485">
            <w:pPr>
              <w:pStyle w:val="39"/>
              <w:rPr>
                <w:rFonts w:hint="default" w:ascii="Times New Roman" w:hAnsi="Times New Roman" w:cs="Times New Roman"/>
                <w:color w:val="auto"/>
                <w:u w:val="none"/>
              </w:rPr>
            </w:pPr>
          </w:p>
        </w:tc>
        <w:tc>
          <w:tcPr>
            <w:tcW w:w="1981" w:type="dxa"/>
            <w:gridSpan w:val="4"/>
            <w:vAlign w:val="center"/>
          </w:tcPr>
          <w:p w14:paraId="7C8C21CE">
            <w:pPr>
              <w:pStyle w:val="39"/>
              <w:rPr>
                <w:rFonts w:hint="default" w:ascii="Times New Roman" w:hAnsi="Times New Roman" w:cs="Times New Roman"/>
                <w:color w:val="auto"/>
                <w:u w:val="none"/>
              </w:rPr>
            </w:pPr>
            <w:r>
              <w:rPr>
                <w:rFonts w:hint="default" w:ascii="Times New Roman" w:hAnsi="Times New Roman" w:cs="Times New Roman"/>
                <w:color w:val="auto"/>
                <w:u w:val="none"/>
              </w:rPr>
              <w:t>262.44</w:t>
            </w:r>
          </w:p>
        </w:tc>
        <w:tc>
          <w:tcPr>
            <w:tcW w:w="2436" w:type="dxa"/>
            <w:gridSpan w:val="6"/>
            <w:vAlign w:val="center"/>
          </w:tcPr>
          <w:p w14:paraId="4FFB6374">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0.08765496</w:t>
            </w:r>
          </w:p>
        </w:tc>
      </w:tr>
      <w:tr w14:paraId="718F0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60B538AA">
            <w:pPr>
              <w:pStyle w:val="41"/>
              <w:rPr>
                <w:rFonts w:hint="default" w:ascii="Times New Roman" w:hAnsi="Times New Roman" w:cs="Times New Roman"/>
                <w:color w:val="auto"/>
                <w:u w:val="none"/>
              </w:rPr>
            </w:pPr>
          </w:p>
        </w:tc>
        <w:tc>
          <w:tcPr>
            <w:tcW w:w="885" w:type="dxa"/>
            <w:gridSpan w:val="2"/>
            <w:vMerge w:val="continue"/>
            <w:vAlign w:val="center"/>
          </w:tcPr>
          <w:p w14:paraId="4ABE7378">
            <w:pPr>
              <w:pStyle w:val="41"/>
              <w:rPr>
                <w:rFonts w:hint="default" w:ascii="Times New Roman" w:hAnsi="Times New Roman" w:cs="Times New Roman"/>
                <w:color w:val="auto"/>
                <w:kern w:val="2"/>
                <w:u w:val="none"/>
              </w:rPr>
            </w:pPr>
          </w:p>
        </w:tc>
        <w:tc>
          <w:tcPr>
            <w:tcW w:w="1527" w:type="dxa"/>
            <w:gridSpan w:val="2"/>
            <w:vMerge w:val="continue"/>
            <w:vAlign w:val="center"/>
          </w:tcPr>
          <w:p w14:paraId="630B2D60">
            <w:pPr>
              <w:pStyle w:val="41"/>
              <w:rPr>
                <w:rFonts w:hint="default" w:ascii="Times New Roman" w:hAnsi="Times New Roman" w:cs="Times New Roman"/>
                <w:color w:val="auto"/>
                <w:kern w:val="2"/>
                <w:u w:val="none"/>
              </w:rPr>
            </w:pPr>
          </w:p>
        </w:tc>
        <w:tc>
          <w:tcPr>
            <w:tcW w:w="988" w:type="dxa"/>
            <w:vAlign w:val="center"/>
          </w:tcPr>
          <w:p w14:paraId="6A466B22">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总氮</w:t>
            </w:r>
          </w:p>
        </w:tc>
        <w:tc>
          <w:tcPr>
            <w:tcW w:w="1383" w:type="dxa"/>
            <w:gridSpan w:val="4"/>
            <w:vAlign w:val="center"/>
          </w:tcPr>
          <w:p w14:paraId="34906D7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w:t>
            </w:r>
          </w:p>
        </w:tc>
        <w:tc>
          <w:tcPr>
            <w:tcW w:w="2023" w:type="dxa"/>
            <w:gridSpan w:val="3"/>
            <w:vAlign w:val="center"/>
          </w:tcPr>
          <w:p w14:paraId="0E0EB204">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0.0167</w:t>
            </w:r>
          </w:p>
        </w:tc>
        <w:tc>
          <w:tcPr>
            <w:tcW w:w="2185" w:type="dxa"/>
            <w:gridSpan w:val="3"/>
            <w:vMerge w:val="continue"/>
            <w:vAlign w:val="center"/>
          </w:tcPr>
          <w:p w14:paraId="2F78D676">
            <w:pPr>
              <w:pStyle w:val="39"/>
              <w:rPr>
                <w:rFonts w:hint="default" w:ascii="Times New Roman" w:hAnsi="Times New Roman" w:cs="Times New Roman"/>
                <w:color w:val="auto"/>
                <w:u w:val="none"/>
              </w:rPr>
            </w:pPr>
          </w:p>
        </w:tc>
        <w:tc>
          <w:tcPr>
            <w:tcW w:w="1981" w:type="dxa"/>
            <w:gridSpan w:val="4"/>
            <w:vAlign w:val="center"/>
          </w:tcPr>
          <w:p w14:paraId="5B1A2D1A">
            <w:pPr>
              <w:pStyle w:val="39"/>
              <w:rPr>
                <w:rFonts w:hint="default" w:ascii="Times New Roman" w:hAnsi="Times New Roman" w:cs="Times New Roman"/>
                <w:color w:val="auto"/>
                <w:u w:val="none"/>
              </w:rPr>
            </w:pPr>
            <w:r>
              <w:rPr>
                <w:rFonts w:hint="default" w:ascii="Times New Roman" w:hAnsi="Times New Roman" w:cs="Times New Roman"/>
                <w:color w:val="auto"/>
                <w:u w:val="none"/>
              </w:rPr>
              <w:t>33.75（氨氮）</w:t>
            </w:r>
          </w:p>
        </w:tc>
        <w:tc>
          <w:tcPr>
            <w:tcW w:w="2436" w:type="dxa"/>
            <w:gridSpan w:val="6"/>
            <w:vAlign w:val="center"/>
          </w:tcPr>
          <w:p w14:paraId="162DC2B7">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0.0112725</w:t>
            </w:r>
          </w:p>
        </w:tc>
      </w:tr>
      <w:tr w14:paraId="537D3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10A05303">
            <w:pPr>
              <w:pStyle w:val="41"/>
              <w:rPr>
                <w:rFonts w:hint="default" w:ascii="Times New Roman" w:hAnsi="Times New Roman" w:cs="Times New Roman"/>
                <w:color w:val="auto"/>
                <w:u w:val="none"/>
              </w:rPr>
            </w:pPr>
          </w:p>
        </w:tc>
        <w:tc>
          <w:tcPr>
            <w:tcW w:w="885" w:type="dxa"/>
            <w:gridSpan w:val="2"/>
            <w:vMerge w:val="continue"/>
            <w:vAlign w:val="center"/>
          </w:tcPr>
          <w:p w14:paraId="7E3A03D0">
            <w:pPr>
              <w:pStyle w:val="41"/>
              <w:rPr>
                <w:rFonts w:hint="default" w:ascii="Times New Roman" w:hAnsi="Times New Roman" w:cs="Times New Roman"/>
                <w:color w:val="auto"/>
                <w:kern w:val="2"/>
                <w:u w:val="none"/>
              </w:rPr>
            </w:pPr>
          </w:p>
        </w:tc>
        <w:tc>
          <w:tcPr>
            <w:tcW w:w="1527" w:type="dxa"/>
            <w:gridSpan w:val="2"/>
            <w:vMerge w:val="continue"/>
            <w:vAlign w:val="center"/>
          </w:tcPr>
          <w:p w14:paraId="6C8694C0">
            <w:pPr>
              <w:pStyle w:val="41"/>
              <w:rPr>
                <w:rFonts w:hint="default" w:ascii="Times New Roman" w:hAnsi="Times New Roman" w:cs="Times New Roman"/>
                <w:color w:val="auto"/>
                <w:kern w:val="2"/>
                <w:u w:val="none"/>
              </w:rPr>
            </w:pPr>
          </w:p>
        </w:tc>
        <w:tc>
          <w:tcPr>
            <w:tcW w:w="988" w:type="dxa"/>
            <w:vAlign w:val="center"/>
          </w:tcPr>
          <w:p w14:paraId="4DC4818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总磷</w:t>
            </w:r>
          </w:p>
        </w:tc>
        <w:tc>
          <w:tcPr>
            <w:tcW w:w="1383" w:type="dxa"/>
            <w:gridSpan w:val="4"/>
            <w:vAlign w:val="center"/>
          </w:tcPr>
          <w:p w14:paraId="24A5BE4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100</w:t>
            </w:r>
          </w:p>
        </w:tc>
        <w:tc>
          <w:tcPr>
            <w:tcW w:w="2023" w:type="dxa"/>
            <w:gridSpan w:val="3"/>
            <w:vAlign w:val="center"/>
          </w:tcPr>
          <w:p w14:paraId="7B31A758">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0.0334</w:t>
            </w:r>
          </w:p>
        </w:tc>
        <w:tc>
          <w:tcPr>
            <w:tcW w:w="2185" w:type="dxa"/>
            <w:gridSpan w:val="3"/>
            <w:vMerge w:val="continue"/>
            <w:vAlign w:val="center"/>
          </w:tcPr>
          <w:p w14:paraId="3F9B0540">
            <w:pPr>
              <w:pStyle w:val="39"/>
              <w:rPr>
                <w:rFonts w:hint="default" w:ascii="Times New Roman" w:hAnsi="Times New Roman" w:cs="Times New Roman"/>
                <w:color w:val="auto"/>
                <w:u w:val="none"/>
              </w:rPr>
            </w:pPr>
          </w:p>
        </w:tc>
        <w:tc>
          <w:tcPr>
            <w:tcW w:w="1981" w:type="dxa"/>
            <w:gridSpan w:val="4"/>
            <w:vAlign w:val="center"/>
          </w:tcPr>
          <w:p w14:paraId="0F1EBBA6">
            <w:pPr>
              <w:pStyle w:val="39"/>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2436" w:type="dxa"/>
            <w:gridSpan w:val="6"/>
            <w:vAlign w:val="center"/>
          </w:tcPr>
          <w:p w14:paraId="0EAA96B0">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0.002004</w:t>
            </w:r>
          </w:p>
        </w:tc>
      </w:tr>
      <w:tr w14:paraId="55B3B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28A13074">
            <w:pPr>
              <w:pStyle w:val="41"/>
              <w:rPr>
                <w:rFonts w:hint="default" w:ascii="Times New Roman" w:hAnsi="Times New Roman" w:cs="Times New Roman"/>
                <w:color w:val="auto"/>
                <w:u w:val="none"/>
              </w:rPr>
            </w:pPr>
          </w:p>
        </w:tc>
        <w:tc>
          <w:tcPr>
            <w:tcW w:w="885" w:type="dxa"/>
            <w:gridSpan w:val="2"/>
            <w:vMerge w:val="continue"/>
            <w:vAlign w:val="center"/>
          </w:tcPr>
          <w:p w14:paraId="12D65B09">
            <w:pPr>
              <w:pStyle w:val="41"/>
              <w:rPr>
                <w:rFonts w:hint="default" w:ascii="Times New Roman" w:hAnsi="Times New Roman" w:cs="Times New Roman"/>
                <w:color w:val="auto"/>
                <w:kern w:val="2"/>
                <w:u w:val="none"/>
              </w:rPr>
            </w:pPr>
          </w:p>
        </w:tc>
        <w:tc>
          <w:tcPr>
            <w:tcW w:w="1527" w:type="dxa"/>
            <w:gridSpan w:val="2"/>
            <w:vMerge w:val="continue"/>
            <w:vAlign w:val="center"/>
          </w:tcPr>
          <w:p w14:paraId="38EA922D">
            <w:pPr>
              <w:pStyle w:val="41"/>
              <w:rPr>
                <w:rFonts w:hint="default" w:ascii="Times New Roman" w:hAnsi="Times New Roman" w:cs="Times New Roman"/>
                <w:color w:val="auto"/>
                <w:kern w:val="2"/>
                <w:u w:val="none"/>
              </w:rPr>
            </w:pPr>
          </w:p>
        </w:tc>
        <w:tc>
          <w:tcPr>
            <w:tcW w:w="988" w:type="dxa"/>
            <w:vAlign w:val="center"/>
          </w:tcPr>
          <w:p w14:paraId="57DE702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石油类</w:t>
            </w:r>
          </w:p>
        </w:tc>
        <w:tc>
          <w:tcPr>
            <w:tcW w:w="1383" w:type="dxa"/>
            <w:gridSpan w:val="4"/>
            <w:vAlign w:val="center"/>
          </w:tcPr>
          <w:p w14:paraId="6859140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100</w:t>
            </w:r>
          </w:p>
        </w:tc>
        <w:tc>
          <w:tcPr>
            <w:tcW w:w="2023" w:type="dxa"/>
            <w:gridSpan w:val="3"/>
            <w:vAlign w:val="center"/>
          </w:tcPr>
          <w:p w14:paraId="56ABC611">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0.0334</w:t>
            </w:r>
          </w:p>
        </w:tc>
        <w:tc>
          <w:tcPr>
            <w:tcW w:w="2185" w:type="dxa"/>
            <w:gridSpan w:val="3"/>
            <w:vMerge w:val="continue"/>
            <w:vAlign w:val="center"/>
          </w:tcPr>
          <w:p w14:paraId="56532003">
            <w:pPr>
              <w:pStyle w:val="39"/>
              <w:rPr>
                <w:rFonts w:hint="default" w:ascii="Times New Roman" w:hAnsi="Times New Roman" w:cs="Times New Roman"/>
                <w:color w:val="auto"/>
                <w:u w:val="none"/>
              </w:rPr>
            </w:pPr>
          </w:p>
        </w:tc>
        <w:tc>
          <w:tcPr>
            <w:tcW w:w="1981" w:type="dxa"/>
            <w:gridSpan w:val="4"/>
            <w:vAlign w:val="center"/>
          </w:tcPr>
          <w:p w14:paraId="7FACABA0">
            <w:pPr>
              <w:pStyle w:val="39"/>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2436" w:type="dxa"/>
            <w:gridSpan w:val="6"/>
            <w:vAlign w:val="center"/>
          </w:tcPr>
          <w:p w14:paraId="3B5F0120">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0.002004</w:t>
            </w:r>
          </w:p>
        </w:tc>
      </w:tr>
      <w:tr w14:paraId="0E744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5B64D0D5">
            <w:pPr>
              <w:pStyle w:val="41"/>
              <w:rPr>
                <w:rFonts w:hint="default" w:ascii="Times New Roman" w:hAnsi="Times New Roman" w:cs="Times New Roman"/>
                <w:color w:val="auto"/>
                <w:u w:val="none"/>
              </w:rPr>
            </w:pPr>
          </w:p>
        </w:tc>
        <w:tc>
          <w:tcPr>
            <w:tcW w:w="885" w:type="dxa"/>
            <w:gridSpan w:val="2"/>
            <w:vMerge w:val="continue"/>
            <w:vAlign w:val="center"/>
          </w:tcPr>
          <w:p w14:paraId="687E6488">
            <w:pPr>
              <w:pStyle w:val="41"/>
              <w:rPr>
                <w:rFonts w:hint="default" w:ascii="Times New Roman" w:hAnsi="Times New Roman" w:cs="Times New Roman"/>
                <w:color w:val="auto"/>
                <w:kern w:val="2"/>
                <w:u w:val="none"/>
              </w:rPr>
            </w:pPr>
          </w:p>
        </w:tc>
        <w:tc>
          <w:tcPr>
            <w:tcW w:w="1527" w:type="dxa"/>
            <w:gridSpan w:val="2"/>
            <w:vMerge w:val="restart"/>
            <w:vAlign w:val="center"/>
          </w:tcPr>
          <w:p w14:paraId="6637371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碱废液（</w:t>
            </w:r>
            <w:r>
              <w:rPr>
                <w:rFonts w:hint="eastAsia" w:cs="Times New Roman"/>
                <w:color w:val="auto"/>
                <w:kern w:val="2"/>
                <w:u w:val="none"/>
                <w:lang w:val="en-US" w:eastAsia="zh-CN"/>
              </w:rPr>
              <w:t>2019.4</w:t>
            </w:r>
            <w:r>
              <w:rPr>
                <w:rFonts w:hint="default" w:ascii="Times New Roman" w:hAnsi="Times New Roman" w:cs="Times New Roman"/>
                <w:color w:val="auto"/>
                <w:u w:val="none"/>
              </w:rPr>
              <w:t>m³/a</w:t>
            </w:r>
            <w:r>
              <w:rPr>
                <w:rFonts w:hint="default" w:ascii="Times New Roman" w:hAnsi="Times New Roman" w:cs="Times New Roman"/>
                <w:color w:val="auto"/>
                <w:kern w:val="2"/>
                <w:u w:val="none"/>
              </w:rPr>
              <w:t>）</w:t>
            </w:r>
          </w:p>
        </w:tc>
        <w:tc>
          <w:tcPr>
            <w:tcW w:w="988" w:type="dxa"/>
            <w:vAlign w:val="center"/>
          </w:tcPr>
          <w:p w14:paraId="26BF5DC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pH</w:t>
            </w:r>
          </w:p>
        </w:tc>
        <w:tc>
          <w:tcPr>
            <w:tcW w:w="1383" w:type="dxa"/>
            <w:gridSpan w:val="4"/>
            <w:vAlign w:val="center"/>
          </w:tcPr>
          <w:p w14:paraId="6B09DBB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12~13</w:t>
            </w:r>
          </w:p>
        </w:tc>
        <w:tc>
          <w:tcPr>
            <w:tcW w:w="2023" w:type="dxa"/>
            <w:gridSpan w:val="3"/>
            <w:vAlign w:val="center"/>
          </w:tcPr>
          <w:p w14:paraId="35B1C70F">
            <w:pPr>
              <w:pStyle w:val="41"/>
              <w:rPr>
                <w:rFonts w:hint="eastAsia" w:ascii="Times New Roman" w:hAnsi="Times New Roman" w:eastAsia="宋体" w:cs="Times New Roman"/>
                <w:color w:val="auto"/>
                <w:kern w:val="2"/>
                <w:u w:val="none"/>
                <w:lang w:val="en-US" w:eastAsia="zh-CN"/>
              </w:rPr>
            </w:pPr>
            <w:r>
              <w:rPr>
                <w:rFonts w:hint="eastAsia" w:ascii="Times New Roman" w:hAnsi="Times New Roman" w:eastAsia="宋体" w:cs="Times New Roman"/>
                <w:color w:val="auto"/>
                <w:kern w:val="2"/>
                <w:u w:val="none"/>
                <w:lang w:val="en-US" w:eastAsia="zh-CN"/>
              </w:rPr>
              <w:t>/</w:t>
            </w:r>
          </w:p>
        </w:tc>
        <w:tc>
          <w:tcPr>
            <w:tcW w:w="2185" w:type="dxa"/>
            <w:gridSpan w:val="3"/>
            <w:vMerge w:val="restart"/>
            <w:vAlign w:val="center"/>
          </w:tcPr>
          <w:p w14:paraId="4AF8432C">
            <w:pPr>
              <w:pStyle w:val="41"/>
              <w:rPr>
                <w:rFonts w:hint="default" w:ascii="Times New Roman" w:hAnsi="Times New Roman" w:cs="Times New Roman"/>
                <w:color w:val="auto"/>
                <w:u w:val="none"/>
              </w:rPr>
            </w:pPr>
            <w:r>
              <w:rPr>
                <w:rFonts w:hint="default" w:ascii="Times New Roman" w:hAnsi="Times New Roman" w:cs="Times New Roman"/>
                <w:color w:val="auto"/>
                <w:u w:val="none"/>
              </w:rPr>
              <w:t>中和调节池后，进入综合污水处理系统处理后，达到相应标准后，进入市政污水管网</w:t>
            </w:r>
          </w:p>
        </w:tc>
        <w:tc>
          <w:tcPr>
            <w:tcW w:w="1981" w:type="dxa"/>
            <w:gridSpan w:val="4"/>
            <w:vAlign w:val="center"/>
          </w:tcPr>
          <w:p w14:paraId="6F4EAE8A">
            <w:pPr>
              <w:pStyle w:val="39"/>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2436" w:type="dxa"/>
            <w:gridSpan w:val="6"/>
            <w:vAlign w:val="center"/>
          </w:tcPr>
          <w:p w14:paraId="0D4B78A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6CF62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1C92365F">
            <w:pPr>
              <w:pStyle w:val="41"/>
              <w:rPr>
                <w:rFonts w:hint="default" w:ascii="Times New Roman" w:hAnsi="Times New Roman" w:cs="Times New Roman"/>
                <w:color w:val="auto"/>
                <w:u w:val="none"/>
              </w:rPr>
            </w:pPr>
          </w:p>
        </w:tc>
        <w:tc>
          <w:tcPr>
            <w:tcW w:w="885" w:type="dxa"/>
            <w:gridSpan w:val="2"/>
            <w:vMerge w:val="continue"/>
            <w:vAlign w:val="center"/>
          </w:tcPr>
          <w:p w14:paraId="2B1B8D32">
            <w:pPr>
              <w:pStyle w:val="41"/>
              <w:rPr>
                <w:rFonts w:hint="default" w:ascii="Times New Roman" w:hAnsi="Times New Roman" w:cs="Times New Roman"/>
                <w:color w:val="auto"/>
                <w:kern w:val="2"/>
                <w:u w:val="none"/>
              </w:rPr>
            </w:pPr>
          </w:p>
        </w:tc>
        <w:tc>
          <w:tcPr>
            <w:tcW w:w="1527" w:type="dxa"/>
            <w:gridSpan w:val="2"/>
            <w:vMerge w:val="continue"/>
            <w:vAlign w:val="center"/>
          </w:tcPr>
          <w:p w14:paraId="477D5981">
            <w:pPr>
              <w:pStyle w:val="41"/>
              <w:rPr>
                <w:rFonts w:hint="default" w:ascii="Times New Roman" w:hAnsi="Times New Roman" w:cs="Times New Roman"/>
                <w:color w:val="auto"/>
                <w:kern w:val="2"/>
                <w:u w:val="none"/>
              </w:rPr>
            </w:pPr>
          </w:p>
        </w:tc>
        <w:tc>
          <w:tcPr>
            <w:tcW w:w="988" w:type="dxa"/>
            <w:vAlign w:val="center"/>
          </w:tcPr>
          <w:p w14:paraId="12752A54">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p>
        </w:tc>
        <w:tc>
          <w:tcPr>
            <w:tcW w:w="1383" w:type="dxa"/>
            <w:gridSpan w:val="4"/>
            <w:vAlign w:val="center"/>
          </w:tcPr>
          <w:p w14:paraId="08EDA46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600</w:t>
            </w:r>
          </w:p>
        </w:tc>
        <w:tc>
          <w:tcPr>
            <w:tcW w:w="2023" w:type="dxa"/>
            <w:gridSpan w:val="3"/>
            <w:vAlign w:val="center"/>
          </w:tcPr>
          <w:p w14:paraId="371A16F1">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1.51836</w:t>
            </w:r>
          </w:p>
        </w:tc>
        <w:tc>
          <w:tcPr>
            <w:tcW w:w="2185" w:type="dxa"/>
            <w:gridSpan w:val="3"/>
            <w:vMerge w:val="continue"/>
            <w:vAlign w:val="center"/>
          </w:tcPr>
          <w:p w14:paraId="6BB422C4">
            <w:pPr>
              <w:pStyle w:val="39"/>
              <w:rPr>
                <w:rFonts w:hint="default" w:ascii="Times New Roman" w:hAnsi="Times New Roman" w:cs="Times New Roman"/>
                <w:color w:val="auto"/>
                <w:u w:val="none"/>
              </w:rPr>
            </w:pPr>
          </w:p>
        </w:tc>
        <w:tc>
          <w:tcPr>
            <w:tcW w:w="1981" w:type="dxa"/>
            <w:gridSpan w:val="4"/>
            <w:vAlign w:val="center"/>
          </w:tcPr>
          <w:p w14:paraId="55E43932">
            <w:pPr>
              <w:pStyle w:val="39"/>
              <w:rPr>
                <w:rFonts w:hint="default" w:ascii="Times New Roman" w:hAnsi="Times New Roman" w:cs="Times New Roman"/>
                <w:color w:val="auto"/>
                <w:u w:val="none"/>
              </w:rPr>
            </w:pPr>
            <w:r>
              <w:rPr>
                <w:rFonts w:hint="default" w:ascii="Times New Roman" w:hAnsi="Times New Roman" w:cs="Times New Roman"/>
                <w:color w:val="auto"/>
                <w:u w:val="none"/>
              </w:rPr>
              <w:t>262.44</w:t>
            </w:r>
          </w:p>
        </w:tc>
        <w:tc>
          <w:tcPr>
            <w:tcW w:w="2436" w:type="dxa"/>
            <w:gridSpan w:val="6"/>
            <w:vAlign w:val="center"/>
          </w:tcPr>
          <w:p w14:paraId="4EDA439F">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0.664130664</w:t>
            </w:r>
          </w:p>
        </w:tc>
      </w:tr>
      <w:tr w14:paraId="42F0F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239A3BA5">
            <w:pPr>
              <w:pStyle w:val="41"/>
              <w:rPr>
                <w:rFonts w:hint="default" w:ascii="Times New Roman" w:hAnsi="Times New Roman" w:cs="Times New Roman"/>
                <w:color w:val="auto"/>
                <w:u w:val="none"/>
              </w:rPr>
            </w:pPr>
          </w:p>
        </w:tc>
        <w:tc>
          <w:tcPr>
            <w:tcW w:w="885" w:type="dxa"/>
            <w:gridSpan w:val="2"/>
            <w:vMerge w:val="continue"/>
            <w:vAlign w:val="center"/>
          </w:tcPr>
          <w:p w14:paraId="5649ABE1">
            <w:pPr>
              <w:pStyle w:val="41"/>
              <w:rPr>
                <w:rFonts w:hint="default" w:ascii="Times New Roman" w:hAnsi="Times New Roman" w:cs="Times New Roman"/>
                <w:color w:val="auto"/>
                <w:kern w:val="2"/>
                <w:u w:val="none"/>
              </w:rPr>
            </w:pPr>
          </w:p>
        </w:tc>
        <w:tc>
          <w:tcPr>
            <w:tcW w:w="1527" w:type="dxa"/>
            <w:gridSpan w:val="2"/>
            <w:vMerge w:val="continue"/>
            <w:vAlign w:val="center"/>
          </w:tcPr>
          <w:p w14:paraId="013A0A10">
            <w:pPr>
              <w:pStyle w:val="41"/>
              <w:rPr>
                <w:rFonts w:hint="default" w:ascii="Times New Roman" w:hAnsi="Times New Roman" w:cs="Times New Roman"/>
                <w:color w:val="auto"/>
                <w:kern w:val="2"/>
                <w:u w:val="none"/>
              </w:rPr>
            </w:pPr>
          </w:p>
        </w:tc>
        <w:tc>
          <w:tcPr>
            <w:tcW w:w="988" w:type="dxa"/>
            <w:vAlign w:val="center"/>
          </w:tcPr>
          <w:p w14:paraId="1003CDBF">
            <w:pPr>
              <w:pStyle w:val="41"/>
              <w:rPr>
                <w:rFonts w:hint="default" w:ascii="Times New Roman" w:hAnsi="Times New Roman" w:cs="Times New Roman"/>
                <w:color w:val="auto"/>
                <w:u w:val="none"/>
              </w:rPr>
            </w:pPr>
            <w:r>
              <w:rPr>
                <w:rFonts w:hint="default" w:ascii="Times New Roman" w:hAnsi="Times New Roman" w:cs="Times New Roman"/>
                <w:color w:val="auto"/>
                <w:u w:val="none"/>
              </w:rPr>
              <w:t>SS</w:t>
            </w:r>
          </w:p>
        </w:tc>
        <w:tc>
          <w:tcPr>
            <w:tcW w:w="1383" w:type="dxa"/>
            <w:gridSpan w:val="4"/>
            <w:vAlign w:val="center"/>
          </w:tcPr>
          <w:p w14:paraId="50C3C4D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200</w:t>
            </w:r>
          </w:p>
        </w:tc>
        <w:tc>
          <w:tcPr>
            <w:tcW w:w="2023" w:type="dxa"/>
            <w:gridSpan w:val="3"/>
            <w:vAlign w:val="center"/>
          </w:tcPr>
          <w:p w14:paraId="2362C488">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0.50612</w:t>
            </w:r>
          </w:p>
        </w:tc>
        <w:tc>
          <w:tcPr>
            <w:tcW w:w="2185" w:type="dxa"/>
            <w:gridSpan w:val="3"/>
            <w:vMerge w:val="continue"/>
            <w:vAlign w:val="center"/>
          </w:tcPr>
          <w:p w14:paraId="2FF8BD25">
            <w:pPr>
              <w:pStyle w:val="39"/>
              <w:rPr>
                <w:rFonts w:hint="default" w:ascii="Times New Roman" w:hAnsi="Times New Roman" w:cs="Times New Roman"/>
                <w:color w:val="auto"/>
                <w:u w:val="none"/>
              </w:rPr>
            </w:pPr>
          </w:p>
        </w:tc>
        <w:tc>
          <w:tcPr>
            <w:tcW w:w="1981" w:type="dxa"/>
            <w:gridSpan w:val="4"/>
            <w:vAlign w:val="center"/>
          </w:tcPr>
          <w:p w14:paraId="4F6D9EB6">
            <w:pPr>
              <w:pStyle w:val="39"/>
              <w:rPr>
                <w:rFonts w:hint="default" w:ascii="Times New Roman" w:hAnsi="Times New Roman" w:cs="Times New Roman"/>
                <w:color w:val="auto"/>
                <w:u w:val="none"/>
              </w:rPr>
            </w:pPr>
            <w:r>
              <w:rPr>
                <w:rFonts w:hint="default" w:ascii="Times New Roman" w:hAnsi="Times New Roman" w:cs="Times New Roman"/>
                <w:color w:val="auto"/>
                <w:u w:val="none"/>
              </w:rPr>
              <w:t>59.4</w:t>
            </w:r>
          </w:p>
        </w:tc>
        <w:tc>
          <w:tcPr>
            <w:tcW w:w="2436" w:type="dxa"/>
            <w:gridSpan w:val="6"/>
            <w:vAlign w:val="center"/>
          </w:tcPr>
          <w:p w14:paraId="71AFC7F8">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0.15031764</w:t>
            </w:r>
          </w:p>
        </w:tc>
      </w:tr>
      <w:tr w14:paraId="226DA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580" w:type="dxa"/>
            <w:vMerge w:val="continue"/>
            <w:vAlign w:val="center"/>
          </w:tcPr>
          <w:p w14:paraId="3169ECA2">
            <w:pPr>
              <w:pStyle w:val="41"/>
              <w:rPr>
                <w:rFonts w:hint="default" w:ascii="Times New Roman" w:hAnsi="Times New Roman" w:cs="Times New Roman"/>
                <w:color w:val="auto"/>
                <w:u w:val="none"/>
              </w:rPr>
            </w:pPr>
          </w:p>
        </w:tc>
        <w:tc>
          <w:tcPr>
            <w:tcW w:w="885" w:type="dxa"/>
            <w:gridSpan w:val="2"/>
            <w:vMerge w:val="continue"/>
            <w:vAlign w:val="center"/>
          </w:tcPr>
          <w:p w14:paraId="422BCDA2">
            <w:pPr>
              <w:pStyle w:val="41"/>
              <w:rPr>
                <w:rFonts w:hint="default" w:ascii="Times New Roman" w:hAnsi="Times New Roman" w:cs="Times New Roman"/>
                <w:color w:val="auto"/>
                <w:kern w:val="2"/>
                <w:u w:val="none"/>
              </w:rPr>
            </w:pPr>
          </w:p>
        </w:tc>
        <w:tc>
          <w:tcPr>
            <w:tcW w:w="1527" w:type="dxa"/>
            <w:gridSpan w:val="2"/>
            <w:vMerge w:val="continue"/>
            <w:vAlign w:val="center"/>
          </w:tcPr>
          <w:p w14:paraId="1C75FDEC">
            <w:pPr>
              <w:pStyle w:val="41"/>
              <w:rPr>
                <w:rFonts w:hint="default" w:ascii="Times New Roman" w:hAnsi="Times New Roman" w:cs="Times New Roman"/>
                <w:color w:val="auto"/>
                <w:kern w:val="2"/>
                <w:u w:val="none"/>
              </w:rPr>
            </w:pPr>
          </w:p>
        </w:tc>
        <w:tc>
          <w:tcPr>
            <w:tcW w:w="988" w:type="dxa"/>
            <w:vAlign w:val="center"/>
          </w:tcPr>
          <w:p w14:paraId="4E48316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石油类</w:t>
            </w:r>
          </w:p>
        </w:tc>
        <w:tc>
          <w:tcPr>
            <w:tcW w:w="1383" w:type="dxa"/>
            <w:gridSpan w:val="4"/>
            <w:vAlign w:val="center"/>
          </w:tcPr>
          <w:p w14:paraId="1CA869A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15</w:t>
            </w:r>
          </w:p>
        </w:tc>
        <w:tc>
          <w:tcPr>
            <w:tcW w:w="2023" w:type="dxa"/>
            <w:gridSpan w:val="3"/>
            <w:vAlign w:val="center"/>
          </w:tcPr>
          <w:p w14:paraId="6EB83F73">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0.037959</w:t>
            </w:r>
          </w:p>
        </w:tc>
        <w:tc>
          <w:tcPr>
            <w:tcW w:w="2185" w:type="dxa"/>
            <w:gridSpan w:val="3"/>
            <w:vMerge w:val="continue"/>
            <w:vAlign w:val="center"/>
          </w:tcPr>
          <w:p w14:paraId="0A73360D">
            <w:pPr>
              <w:pStyle w:val="39"/>
              <w:rPr>
                <w:rFonts w:hint="default" w:ascii="Times New Roman" w:hAnsi="Times New Roman" w:cs="Times New Roman"/>
                <w:color w:val="auto"/>
                <w:u w:val="none"/>
              </w:rPr>
            </w:pPr>
          </w:p>
        </w:tc>
        <w:tc>
          <w:tcPr>
            <w:tcW w:w="1981" w:type="dxa"/>
            <w:gridSpan w:val="4"/>
            <w:vAlign w:val="center"/>
          </w:tcPr>
          <w:p w14:paraId="03798ECB">
            <w:pPr>
              <w:pStyle w:val="39"/>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2436" w:type="dxa"/>
            <w:gridSpan w:val="6"/>
            <w:vAlign w:val="center"/>
          </w:tcPr>
          <w:p w14:paraId="54733D2F">
            <w:pPr>
              <w:pStyle w:val="41"/>
              <w:rPr>
                <w:rFonts w:hint="default" w:ascii="Times New Roman" w:hAnsi="Times New Roman" w:eastAsia="宋体" w:cs="Times New Roman"/>
                <w:color w:val="auto"/>
                <w:u w:val="none"/>
              </w:rPr>
            </w:pPr>
            <w:r>
              <w:rPr>
                <w:rFonts w:hint="eastAsia" w:ascii="Times New Roman" w:hAnsi="Times New Roman" w:eastAsia="宋体" w:cs="Times New Roman"/>
                <w:color w:val="auto"/>
                <w:u w:val="none"/>
                <w:lang w:val="en-US" w:eastAsia="zh-CN"/>
              </w:rPr>
              <w:t>0.0151836</w:t>
            </w:r>
          </w:p>
        </w:tc>
      </w:tr>
      <w:tr w14:paraId="75781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restart"/>
            <w:vAlign w:val="center"/>
          </w:tcPr>
          <w:p w14:paraId="0F40DB5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固废</w:t>
            </w:r>
          </w:p>
        </w:tc>
        <w:tc>
          <w:tcPr>
            <w:tcW w:w="885" w:type="dxa"/>
            <w:gridSpan w:val="2"/>
            <w:vAlign w:val="center"/>
          </w:tcPr>
          <w:p w14:paraId="4FA90351">
            <w:pPr>
              <w:pStyle w:val="41"/>
              <w:rPr>
                <w:rFonts w:hint="default" w:ascii="Times New Roman" w:hAnsi="Times New Roman" w:cs="Times New Roman"/>
                <w:color w:val="auto"/>
                <w:u w:val="none"/>
              </w:rPr>
            </w:pPr>
            <w:r>
              <w:rPr>
                <w:rFonts w:hint="default" w:ascii="Times New Roman" w:hAnsi="Times New Roman" w:cs="Times New Roman"/>
                <w:color w:val="auto"/>
                <w:u w:val="none"/>
              </w:rPr>
              <w:t>纯水制备</w:t>
            </w:r>
          </w:p>
        </w:tc>
        <w:tc>
          <w:tcPr>
            <w:tcW w:w="1527" w:type="dxa"/>
            <w:gridSpan w:val="2"/>
            <w:vAlign w:val="center"/>
          </w:tcPr>
          <w:p w14:paraId="12BC0476">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纯水系统：</w:t>
            </w:r>
            <w:r>
              <w:rPr>
                <w:rFonts w:hint="default" w:ascii="Times New Roman" w:hAnsi="Times New Roman" w:cs="Times New Roman"/>
                <w:color w:val="auto"/>
                <w:u w:val="none"/>
              </w:rPr>
              <w:t>废活性炭及废RO反渗透膜</w:t>
            </w:r>
          </w:p>
        </w:tc>
        <w:tc>
          <w:tcPr>
            <w:tcW w:w="4394" w:type="dxa"/>
            <w:gridSpan w:val="8"/>
            <w:vAlign w:val="center"/>
          </w:tcPr>
          <w:p w14:paraId="07119264">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1</w:t>
            </w:r>
            <w:r>
              <w:rPr>
                <w:rFonts w:hint="eastAsia" w:ascii="Times New Roman" w:hAnsi="Times New Roman" w:cs="Times New Roman"/>
                <w:color w:val="auto"/>
                <w:u w:val="none"/>
                <w:lang w:val="en-US" w:eastAsia="zh-CN"/>
              </w:rPr>
              <w:t>t/a</w:t>
            </w:r>
          </w:p>
        </w:tc>
        <w:tc>
          <w:tcPr>
            <w:tcW w:w="6602" w:type="dxa"/>
            <w:gridSpan w:val="13"/>
            <w:vAlign w:val="center"/>
          </w:tcPr>
          <w:p w14:paraId="77F7DC65">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原厂家回收</w:t>
            </w:r>
          </w:p>
        </w:tc>
      </w:tr>
      <w:tr w14:paraId="24C646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6093B2E5">
            <w:pPr>
              <w:pStyle w:val="41"/>
              <w:rPr>
                <w:rFonts w:hint="default" w:ascii="Times New Roman" w:hAnsi="Times New Roman" w:cs="Times New Roman"/>
                <w:color w:val="auto"/>
                <w:kern w:val="2"/>
                <w:u w:val="none"/>
              </w:rPr>
            </w:pPr>
          </w:p>
        </w:tc>
        <w:tc>
          <w:tcPr>
            <w:tcW w:w="885" w:type="dxa"/>
            <w:gridSpan w:val="2"/>
            <w:vAlign w:val="center"/>
          </w:tcPr>
          <w:p w14:paraId="17E4006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危险化学品仓库</w:t>
            </w:r>
          </w:p>
        </w:tc>
        <w:tc>
          <w:tcPr>
            <w:tcW w:w="1527" w:type="dxa"/>
            <w:gridSpan w:val="2"/>
            <w:vAlign w:val="center"/>
          </w:tcPr>
          <w:p w14:paraId="7A6A1D16">
            <w:pPr>
              <w:pStyle w:val="41"/>
              <w:rPr>
                <w:rFonts w:hint="default" w:ascii="Times New Roman" w:hAnsi="Times New Roman" w:cs="Times New Roman"/>
                <w:color w:val="auto"/>
                <w:u w:val="none"/>
              </w:rPr>
            </w:pPr>
            <w:r>
              <w:rPr>
                <w:rFonts w:hint="default" w:ascii="Times New Roman" w:hAnsi="Times New Roman" w:cs="Times New Roman"/>
                <w:color w:val="auto"/>
                <w:u w:val="none"/>
              </w:rPr>
              <w:t>危险化学品废包装</w:t>
            </w:r>
          </w:p>
        </w:tc>
        <w:tc>
          <w:tcPr>
            <w:tcW w:w="4394" w:type="dxa"/>
            <w:gridSpan w:val="8"/>
            <w:vAlign w:val="center"/>
          </w:tcPr>
          <w:p w14:paraId="194B9D1D">
            <w:pPr>
              <w:pStyle w:val="41"/>
              <w:rPr>
                <w:rFonts w:hint="default" w:ascii="Times New Roman" w:hAnsi="Times New Roman" w:cs="Times New Roman"/>
                <w:color w:val="auto"/>
                <w:u w:val="none"/>
              </w:rPr>
            </w:pPr>
            <w:r>
              <w:rPr>
                <w:rFonts w:hint="eastAsia" w:cs="Times New Roman"/>
                <w:color w:val="auto"/>
                <w:u w:val="none"/>
                <w:lang w:val="en-US" w:eastAsia="zh-CN"/>
              </w:rPr>
              <w:t>3</w:t>
            </w:r>
            <w:r>
              <w:rPr>
                <w:rFonts w:hint="eastAsia" w:ascii="Times New Roman" w:hAnsi="Times New Roman" w:cs="Times New Roman"/>
                <w:color w:val="auto"/>
                <w:u w:val="none"/>
                <w:lang w:val="en-US" w:eastAsia="zh-CN"/>
              </w:rPr>
              <w:t>t/a</w:t>
            </w:r>
          </w:p>
        </w:tc>
        <w:tc>
          <w:tcPr>
            <w:tcW w:w="6602" w:type="dxa"/>
            <w:gridSpan w:val="13"/>
            <w:vMerge w:val="restart"/>
            <w:vAlign w:val="center"/>
          </w:tcPr>
          <w:p w14:paraId="553EA67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危废暂存间，收集后委托有资质的单位处理</w:t>
            </w:r>
          </w:p>
        </w:tc>
      </w:tr>
      <w:tr w14:paraId="1BB0E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664D4CE7">
            <w:pPr>
              <w:pStyle w:val="41"/>
              <w:rPr>
                <w:rFonts w:hint="default" w:ascii="Times New Roman" w:hAnsi="Times New Roman" w:cs="Times New Roman"/>
                <w:color w:val="auto"/>
                <w:kern w:val="2"/>
                <w:u w:val="none"/>
              </w:rPr>
            </w:pPr>
          </w:p>
        </w:tc>
        <w:tc>
          <w:tcPr>
            <w:tcW w:w="885" w:type="dxa"/>
            <w:gridSpan w:val="2"/>
            <w:vAlign w:val="center"/>
          </w:tcPr>
          <w:p w14:paraId="68BBF37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阳极氧化</w:t>
            </w:r>
          </w:p>
        </w:tc>
        <w:tc>
          <w:tcPr>
            <w:tcW w:w="1527" w:type="dxa"/>
            <w:gridSpan w:val="2"/>
            <w:vAlign w:val="center"/>
          </w:tcPr>
          <w:p w14:paraId="27543A28">
            <w:pPr>
              <w:pStyle w:val="41"/>
              <w:rPr>
                <w:rFonts w:hint="default" w:ascii="Times New Roman" w:hAnsi="Times New Roman" w:cs="Times New Roman"/>
                <w:color w:val="auto"/>
                <w:u w:val="none"/>
              </w:rPr>
            </w:pPr>
            <w:r>
              <w:rPr>
                <w:rFonts w:hint="default" w:ascii="Times New Roman" w:hAnsi="Times New Roman" w:cs="Times New Roman"/>
                <w:color w:val="auto"/>
                <w:u w:val="none"/>
              </w:rPr>
              <w:t>废槽渣</w:t>
            </w:r>
          </w:p>
        </w:tc>
        <w:tc>
          <w:tcPr>
            <w:tcW w:w="4394" w:type="dxa"/>
            <w:gridSpan w:val="8"/>
            <w:vAlign w:val="center"/>
          </w:tcPr>
          <w:p w14:paraId="72238C36">
            <w:pPr>
              <w:pStyle w:val="41"/>
              <w:rPr>
                <w:rFonts w:hint="default" w:ascii="Times New Roman" w:hAnsi="Times New Roman" w:cs="Times New Roman"/>
                <w:color w:val="auto"/>
                <w:u w:val="none"/>
              </w:rPr>
            </w:pPr>
            <w:r>
              <w:rPr>
                <w:rFonts w:hint="eastAsia" w:cs="Times New Roman"/>
                <w:color w:val="auto"/>
                <w:u w:val="none"/>
                <w:lang w:val="en-US" w:eastAsia="zh-CN"/>
              </w:rPr>
              <w:t>0.8</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32218CAF">
            <w:pPr>
              <w:pStyle w:val="41"/>
              <w:rPr>
                <w:rFonts w:hint="default" w:ascii="Times New Roman" w:hAnsi="Times New Roman" w:cs="Times New Roman"/>
                <w:color w:val="auto"/>
                <w:kern w:val="2"/>
                <w:u w:val="none"/>
              </w:rPr>
            </w:pPr>
          </w:p>
        </w:tc>
      </w:tr>
      <w:tr w14:paraId="24C221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61F0EE26">
            <w:pPr>
              <w:pStyle w:val="41"/>
              <w:rPr>
                <w:rFonts w:hint="default" w:ascii="Times New Roman" w:hAnsi="Times New Roman" w:cs="Times New Roman"/>
                <w:color w:val="auto"/>
                <w:kern w:val="2"/>
                <w:u w:val="none"/>
              </w:rPr>
            </w:pPr>
          </w:p>
        </w:tc>
        <w:tc>
          <w:tcPr>
            <w:tcW w:w="885" w:type="dxa"/>
            <w:gridSpan w:val="2"/>
            <w:vMerge w:val="restart"/>
            <w:vAlign w:val="center"/>
          </w:tcPr>
          <w:p w14:paraId="245CBF3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w:t>
            </w:r>
          </w:p>
          <w:p w14:paraId="2DFC9BFF">
            <w:pPr>
              <w:pStyle w:val="41"/>
              <w:jc w:val="both"/>
              <w:rPr>
                <w:rFonts w:hint="default" w:ascii="Times New Roman" w:hAnsi="Times New Roman" w:eastAsia="Calibri" w:cs="Times New Roman"/>
                <w:color w:val="auto"/>
                <w:kern w:val="2"/>
                <w:u w:val="none"/>
              </w:rPr>
            </w:pPr>
          </w:p>
        </w:tc>
        <w:tc>
          <w:tcPr>
            <w:tcW w:w="1527" w:type="dxa"/>
            <w:gridSpan w:val="2"/>
            <w:vAlign w:val="center"/>
          </w:tcPr>
          <w:p w14:paraId="3D7FAC77">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含磷废水处理系统浓缩液</w:t>
            </w:r>
          </w:p>
        </w:tc>
        <w:tc>
          <w:tcPr>
            <w:tcW w:w="4394" w:type="dxa"/>
            <w:gridSpan w:val="8"/>
            <w:vAlign w:val="center"/>
          </w:tcPr>
          <w:p w14:paraId="7E7DC849">
            <w:pPr>
              <w:pStyle w:val="41"/>
              <w:rPr>
                <w:rFonts w:hint="default" w:ascii="Times New Roman" w:hAnsi="Times New Roman" w:cs="Times New Roman"/>
                <w:color w:val="auto"/>
                <w:u w:val="none"/>
              </w:rPr>
            </w:pPr>
            <w:r>
              <w:rPr>
                <w:rFonts w:hint="eastAsia" w:cs="Times New Roman"/>
                <w:color w:val="auto"/>
                <w:u w:val="none"/>
                <w:lang w:val="en-US" w:eastAsia="zh-CN"/>
              </w:rPr>
              <w:t>2.3</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0D1751C8">
            <w:pPr>
              <w:pStyle w:val="41"/>
              <w:rPr>
                <w:rFonts w:hint="default" w:ascii="Times New Roman" w:hAnsi="Times New Roman" w:cs="Times New Roman"/>
                <w:color w:val="auto"/>
                <w:kern w:val="2"/>
                <w:u w:val="none"/>
              </w:rPr>
            </w:pPr>
          </w:p>
        </w:tc>
      </w:tr>
      <w:tr w14:paraId="7BDF90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7CB57EF9">
            <w:pPr>
              <w:pStyle w:val="41"/>
              <w:rPr>
                <w:rFonts w:hint="default" w:ascii="Times New Roman" w:hAnsi="Times New Roman" w:cs="Times New Roman"/>
                <w:color w:val="auto"/>
                <w:kern w:val="2"/>
                <w:u w:val="none"/>
              </w:rPr>
            </w:pPr>
          </w:p>
        </w:tc>
        <w:tc>
          <w:tcPr>
            <w:tcW w:w="885" w:type="dxa"/>
            <w:gridSpan w:val="2"/>
            <w:vMerge w:val="continue"/>
            <w:vAlign w:val="center"/>
          </w:tcPr>
          <w:p w14:paraId="490CC1B2">
            <w:pPr>
              <w:pStyle w:val="41"/>
              <w:rPr>
                <w:rFonts w:hint="default" w:ascii="Times New Roman" w:hAnsi="Times New Roman" w:cs="Times New Roman"/>
                <w:color w:val="auto"/>
                <w:kern w:val="2"/>
                <w:u w:val="none"/>
              </w:rPr>
            </w:pPr>
          </w:p>
        </w:tc>
        <w:tc>
          <w:tcPr>
            <w:tcW w:w="1527" w:type="dxa"/>
            <w:gridSpan w:val="2"/>
            <w:vAlign w:val="center"/>
          </w:tcPr>
          <w:p w14:paraId="2C93633F">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含镍（铬）污泥</w:t>
            </w:r>
          </w:p>
        </w:tc>
        <w:tc>
          <w:tcPr>
            <w:tcW w:w="4394" w:type="dxa"/>
            <w:gridSpan w:val="8"/>
            <w:vAlign w:val="center"/>
          </w:tcPr>
          <w:p w14:paraId="2CE6B03C">
            <w:pPr>
              <w:pStyle w:val="41"/>
              <w:rPr>
                <w:rFonts w:hint="default" w:ascii="Times New Roman" w:hAnsi="Times New Roman" w:cs="Times New Roman"/>
                <w:color w:val="auto"/>
                <w:u w:val="none"/>
              </w:rPr>
            </w:pPr>
            <w:r>
              <w:rPr>
                <w:rFonts w:hint="eastAsia" w:cs="Times New Roman"/>
                <w:color w:val="auto"/>
                <w:u w:val="none"/>
                <w:lang w:val="en-US" w:eastAsia="zh-CN"/>
              </w:rPr>
              <w:t>43.5</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53C6805C">
            <w:pPr>
              <w:pStyle w:val="41"/>
              <w:rPr>
                <w:rFonts w:hint="default" w:ascii="Times New Roman" w:hAnsi="Times New Roman" w:cs="Times New Roman"/>
                <w:color w:val="auto"/>
                <w:kern w:val="2"/>
                <w:u w:val="none"/>
              </w:rPr>
            </w:pPr>
          </w:p>
        </w:tc>
      </w:tr>
      <w:tr w14:paraId="76B9B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51C73B81">
            <w:pPr>
              <w:pStyle w:val="41"/>
              <w:rPr>
                <w:rFonts w:hint="default" w:ascii="Times New Roman" w:hAnsi="Times New Roman" w:cs="Times New Roman"/>
                <w:color w:val="auto"/>
                <w:kern w:val="2"/>
                <w:u w:val="none"/>
              </w:rPr>
            </w:pPr>
          </w:p>
        </w:tc>
        <w:tc>
          <w:tcPr>
            <w:tcW w:w="885" w:type="dxa"/>
            <w:gridSpan w:val="2"/>
            <w:vMerge w:val="continue"/>
            <w:vAlign w:val="center"/>
          </w:tcPr>
          <w:p w14:paraId="44CE60A4">
            <w:pPr>
              <w:pStyle w:val="41"/>
              <w:rPr>
                <w:rFonts w:hint="default" w:ascii="Times New Roman" w:hAnsi="Times New Roman" w:cs="Times New Roman"/>
                <w:color w:val="auto"/>
                <w:kern w:val="2"/>
                <w:u w:val="none"/>
              </w:rPr>
            </w:pPr>
          </w:p>
        </w:tc>
        <w:tc>
          <w:tcPr>
            <w:tcW w:w="1527" w:type="dxa"/>
            <w:gridSpan w:val="2"/>
            <w:vAlign w:val="center"/>
          </w:tcPr>
          <w:p w14:paraId="3B5CD4E2">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含铬（镍）结晶盐</w:t>
            </w:r>
          </w:p>
        </w:tc>
        <w:tc>
          <w:tcPr>
            <w:tcW w:w="4394" w:type="dxa"/>
            <w:gridSpan w:val="8"/>
            <w:vAlign w:val="center"/>
          </w:tcPr>
          <w:p w14:paraId="1C4A69A1">
            <w:pPr>
              <w:pStyle w:val="41"/>
              <w:rPr>
                <w:rFonts w:hint="default" w:ascii="Times New Roman" w:hAnsi="Times New Roman" w:cs="Times New Roman"/>
                <w:color w:val="auto"/>
                <w:u w:val="none"/>
              </w:rPr>
            </w:pPr>
            <w:r>
              <w:rPr>
                <w:rFonts w:hint="eastAsia" w:cs="Times New Roman"/>
                <w:color w:val="auto"/>
                <w:u w:val="none"/>
                <w:lang w:val="en-US" w:eastAsia="zh-CN"/>
              </w:rPr>
              <w:t>4.2</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734F64D3">
            <w:pPr>
              <w:pStyle w:val="41"/>
              <w:rPr>
                <w:rFonts w:hint="default" w:ascii="Times New Roman" w:hAnsi="Times New Roman" w:cs="Times New Roman"/>
                <w:color w:val="auto"/>
                <w:kern w:val="2"/>
                <w:u w:val="none"/>
              </w:rPr>
            </w:pPr>
          </w:p>
        </w:tc>
      </w:tr>
      <w:tr w14:paraId="04113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3D86B89C">
            <w:pPr>
              <w:pStyle w:val="41"/>
              <w:rPr>
                <w:rFonts w:hint="default" w:ascii="Times New Roman" w:hAnsi="Times New Roman" w:cs="Times New Roman"/>
                <w:color w:val="auto"/>
                <w:kern w:val="2"/>
                <w:u w:val="none"/>
              </w:rPr>
            </w:pPr>
          </w:p>
        </w:tc>
        <w:tc>
          <w:tcPr>
            <w:tcW w:w="885" w:type="dxa"/>
            <w:gridSpan w:val="2"/>
            <w:vMerge w:val="continue"/>
            <w:vAlign w:val="center"/>
          </w:tcPr>
          <w:p w14:paraId="4879E520">
            <w:pPr>
              <w:pStyle w:val="41"/>
              <w:rPr>
                <w:rFonts w:hint="default" w:ascii="Times New Roman" w:hAnsi="Times New Roman" w:cs="Times New Roman"/>
                <w:color w:val="auto"/>
                <w:kern w:val="2"/>
                <w:u w:val="none"/>
              </w:rPr>
            </w:pPr>
          </w:p>
        </w:tc>
        <w:tc>
          <w:tcPr>
            <w:tcW w:w="1527" w:type="dxa"/>
            <w:gridSpan w:val="2"/>
            <w:vAlign w:val="center"/>
          </w:tcPr>
          <w:p w14:paraId="50BD7656">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废水处理、中水回用</w:t>
            </w:r>
            <w:r>
              <w:rPr>
                <w:rFonts w:hint="default" w:ascii="Times New Roman" w:hAnsi="Times New Roman" w:cs="Times New Roman"/>
                <w:color w:val="auto"/>
                <w:u w:val="none"/>
                <w:lang w:val="en-US" w:eastAsia="zh-CN"/>
              </w:rPr>
              <w:t>系统：</w:t>
            </w:r>
            <w:r>
              <w:rPr>
                <w:rFonts w:hint="default" w:ascii="Times New Roman" w:hAnsi="Times New Roman" w:cs="Times New Roman"/>
                <w:color w:val="auto"/>
                <w:u w:val="none"/>
              </w:rPr>
              <w:t>废RO反渗透膜</w:t>
            </w:r>
          </w:p>
        </w:tc>
        <w:tc>
          <w:tcPr>
            <w:tcW w:w="4394" w:type="dxa"/>
            <w:gridSpan w:val="8"/>
            <w:vAlign w:val="center"/>
          </w:tcPr>
          <w:p w14:paraId="6A6E6A48">
            <w:pPr>
              <w:pStyle w:val="41"/>
              <w:rPr>
                <w:rFonts w:hint="default" w:ascii="Times New Roman" w:hAnsi="Times New Roman" w:cs="Times New Roman"/>
                <w:color w:val="auto"/>
                <w:u w:val="none"/>
              </w:rPr>
            </w:pPr>
            <w:r>
              <w:rPr>
                <w:rFonts w:hint="eastAsia" w:cs="Times New Roman"/>
                <w:color w:val="auto"/>
                <w:u w:val="none"/>
                <w:lang w:val="en-US" w:eastAsia="zh-CN"/>
              </w:rPr>
              <w:t>0.3</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74F58BE8">
            <w:pPr>
              <w:pStyle w:val="41"/>
              <w:rPr>
                <w:rFonts w:hint="default" w:ascii="Times New Roman" w:hAnsi="Times New Roman" w:cs="Times New Roman"/>
                <w:color w:val="auto"/>
                <w:kern w:val="2"/>
                <w:u w:val="none"/>
              </w:rPr>
            </w:pPr>
          </w:p>
        </w:tc>
      </w:tr>
      <w:tr w14:paraId="64DCE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04190DAF">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废钢砂</w:t>
            </w:r>
          </w:p>
        </w:tc>
        <w:tc>
          <w:tcPr>
            <w:tcW w:w="885" w:type="dxa"/>
            <w:gridSpan w:val="2"/>
            <w:vMerge w:val="continue"/>
            <w:vAlign w:val="center"/>
          </w:tcPr>
          <w:p w14:paraId="62F71505">
            <w:pPr>
              <w:pStyle w:val="41"/>
              <w:rPr>
                <w:rFonts w:hint="default" w:ascii="Times New Roman" w:hAnsi="Times New Roman" w:eastAsia="Calibri" w:cs="Times New Roman"/>
                <w:color w:val="auto"/>
                <w:kern w:val="2"/>
                <w:u w:val="none"/>
              </w:rPr>
            </w:pPr>
          </w:p>
        </w:tc>
        <w:tc>
          <w:tcPr>
            <w:tcW w:w="1527" w:type="dxa"/>
            <w:gridSpan w:val="2"/>
            <w:vAlign w:val="center"/>
          </w:tcPr>
          <w:p w14:paraId="7B09ED7B">
            <w:pPr>
              <w:pStyle w:val="41"/>
              <w:rPr>
                <w:rFonts w:hint="default" w:ascii="Times New Roman" w:hAnsi="Times New Roman" w:cs="Times New Roman"/>
                <w:color w:val="auto"/>
                <w:u w:val="none"/>
              </w:rPr>
            </w:pPr>
            <w:r>
              <w:rPr>
                <w:rFonts w:hint="default" w:ascii="Times New Roman" w:hAnsi="Times New Roman" w:cs="Times New Roman"/>
                <w:color w:val="auto"/>
                <w:u w:val="none"/>
              </w:rPr>
              <w:t>废滤芯</w:t>
            </w:r>
          </w:p>
        </w:tc>
        <w:tc>
          <w:tcPr>
            <w:tcW w:w="4394" w:type="dxa"/>
            <w:gridSpan w:val="8"/>
            <w:vAlign w:val="center"/>
          </w:tcPr>
          <w:p w14:paraId="27E64459">
            <w:pPr>
              <w:pStyle w:val="41"/>
              <w:rPr>
                <w:rFonts w:hint="default" w:ascii="Times New Roman" w:hAnsi="Times New Roman" w:cs="Times New Roman"/>
                <w:color w:val="auto"/>
                <w:u w:val="none"/>
              </w:rPr>
            </w:pPr>
            <w:r>
              <w:rPr>
                <w:rFonts w:hint="default" w:ascii="Times New Roman" w:hAnsi="Times New Roman" w:cs="Times New Roman"/>
                <w:color w:val="auto"/>
                <w:u w:val="none"/>
              </w:rPr>
              <w:t>0.</w:t>
            </w:r>
            <w:r>
              <w:rPr>
                <w:rFonts w:hint="eastAsia" w:cs="Times New Roman"/>
                <w:color w:val="auto"/>
                <w:u w:val="none"/>
                <w:lang w:val="en-US" w:eastAsia="zh-CN"/>
              </w:rPr>
              <w:t>2</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5646B376">
            <w:pPr>
              <w:pStyle w:val="41"/>
              <w:rPr>
                <w:rFonts w:hint="default" w:ascii="Times New Roman" w:hAnsi="Times New Roman" w:cs="Times New Roman"/>
                <w:color w:val="auto"/>
                <w:kern w:val="2"/>
                <w:u w:val="none"/>
              </w:rPr>
            </w:pPr>
          </w:p>
        </w:tc>
      </w:tr>
      <w:tr w14:paraId="077EE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09058840">
            <w:pPr>
              <w:pStyle w:val="41"/>
              <w:rPr>
                <w:rFonts w:hint="default" w:ascii="Times New Roman" w:hAnsi="Times New Roman" w:cs="Times New Roman"/>
                <w:color w:val="auto"/>
                <w:kern w:val="2"/>
                <w:u w:val="none"/>
              </w:rPr>
            </w:pPr>
          </w:p>
        </w:tc>
        <w:tc>
          <w:tcPr>
            <w:tcW w:w="885" w:type="dxa"/>
            <w:gridSpan w:val="2"/>
            <w:vAlign w:val="center"/>
          </w:tcPr>
          <w:p w14:paraId="1AA837D7">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设备维修保养</w:t>
            </w:r>
          </w:p>
        </w:tc>
        <w:tc>
          <w:tcPr>
            <w:tcW w:w="1527" w:type="dxa"/>
            <w:gridSpan w:val="2"/>
            <w:vAlign w:val="center"/>
          </w:tcPr>
          <w:p w14:paraId="742981CC">
            <w:pPr>
              <w:pStyle w:val="41"/>
              <w:rPr>
                <w:rFonts w:hint="default" w:ascii="Times New Roman" w:hAnsi="Times New Roman" w:cs="Times New Roman"/>
                <w:color w:val="auto"/>
                <w:u w:val="none"/>
              </w:rPr>
            </w:pPr>
            <w:r>
              <w:rPr>
                <w:rFonts w:hint="default" w:ascii="Times New Roman" w:hAnsi="Times New Roman" w:cs="Times New Roman"/>
                <w:color w:val="auto"/>
                <w:u w:val="none"/>
              </w:rPr>
              <w:t>废机油</w:t>
            </w:r>
          </w:p>
        </w:tc>
        <w:tc>
          <w:tcPr>
            <w:tcW w:w="4394" w:type="dxa"/>
            <w:gridSpan w:val="8"/>
            <w:vAlign w:val="center"/>
          </w:tcPr>
          <w:p w14:paraId="62CA6B7B">
            <w:pPr>
              <w:pStyle w:val="41"/>
              <w:rPr>
                <w:rFonts w:hint="default" w:ascii="Times New Roman" w:hAnsi="Times New Roman" w:cs="Times New Roman"/>
                <w:color w:val="auto"/>
                <w:u w:val="none"/>
              </w:rPr>
            </w:pPr>
            <w:r>
              <w:rPr>
                <w:rFonts w:hint="eastAsia" w:cs="Times New Roman"/>
                <w:color w:val="auto"/>
                <w:u w:val="none"/>
                <w:lang w:val="en-US" w:eastAsia="zh-CN"/>
              </w:rPr>
              <w:t>0.5</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78625BE2">
            <w:pPr>
              <w:pStyle w:val="41"/>
              <w:rPr>
                <w:rFonts w:hint="default" w:ascii="Times New Roman" w:hAnsi="Times New Roman" w:cs="Times New Roman"/>
                <w:color w:val="auto"/>
                <w:kern w:val="2"/>
                <w:u w:val="none"/>
              </w:rPr>
            </w:pPr>
          </w:p>
        </w:tc>
      </w:tr>
      <w:tr w14:paraId="7D0C0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Merge w:val="continue"/>
            <w:vAlign w:val="center"/>
          </w:tcPr>
          <w:p w14:paraId="2DBAF70A">
            <w:pPr>
              <w:pStyle w:val="41"/>
              <w:rPr>
                <w:rFonts w:hint="default" w:ascii="Times New Roman" w:hAnsi="Times New Roman" w:cs="Times New Roman"/>
                <w:color w:val="auto"/>
                <w:kern w:val="2"/>
                <w:u w:val="none"/>
              </w:rPr>
            </w:pPr>
          </w:p>
        </w:tc>
        <w:tc>
          <w:tcPr>
            <w:tcW w:w="885" w:type="dxa"/>
            <w:gridSpan w:val="2"/>
            <w:vAlign w:val="center"/>
          </w:tcPr>
          <w:p w14:paraId="58F9404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职工生活</w:t>
            </w:r>
          </w:p>
        </w:tc>
        <w:tc>
          <w:tcPr>
            <w:tcW w:w="1527" w:type="dxa"/>
            <w:gridSpan w:val="2"/>
            <w:vAlign w:val="center"/>
          </w:tcPr>
          <w:p w14:paraId="0ABDA788">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生活垃圾</w:t>
            </w:r>
          </w:p>
        </w:tc>
        <w:tc>
          <w:tcPr>
            <w:tcW w:w="4394" w:type="dxa"/>
            <w:gridSpan w:val="8"/>
            <w:vAlign w:val="center"/>
          </w:tcPr>
          <w:p w14:paraId="5FA81922">
            <w:pPr>
              <w:pStyle w:val="41"/>
              <w:rPr>
                <w:rFonts w:hint="default" w:ascii="Times New Roman" w:hAnsi="Times New Roman" w:cs="Times New Roman"/>
                <w:color w:val="auto"/>
                <w:u w:val="none"/>
              </w:rPr>
            </w:pPr>
            <w:r>
              <w:rPr>
                <w:rFonts w:hint="eastAsia" w:cs="Times New Roman"/>
                <w:color w:val="auto"/>
                <w:u w:val="none"/>
                <w:lang w:val="en-US" w:eastAsia="zh-CN"/>
              </w:rPr>
              <w:t>3</w:t>
            </w:r>
            <w:r>
              <w:rPr>
                <w:rFonts w:hint="eastAsia" w:ascii="Times New Roman" w:hAnsi="Times New Roman" w:cs="Times New Roman"/>
                <w:color w:val="auto"/>
                <w:u w:val="none"/>
                <w:lang w:val="en-US" w:eastAsia="zh-CN"/>
              </w:rPr>
              <w:t>t/a</w:t>
            </w:r>
          </w:p>
        </w:tc>
        <w:tc>
          <w:tcPr>
            <w:tcW w:w="6602" w:type="dxa"/>
            <w:gridSpan w:val="13"/>
            <w:vMerge w:val="continue"/>
            <w:vAlign w:val="center"/>
          </w:tcPr>
          <w:p w14:paraId="0981BC2A">
            <w:pPr>
              <w:pStyle w:val="41"/>
              <w:rPr>
                <w:rFonts w:hint="default" w:ascii="Times New Roman" w:hAnsi="Times New Roman" w:cs="Times New Roman"/>
                <w:color w:val="auto"/>
                <w:kern w:val="2"/>
                <w:u w:val="none"/>
              </w:rPr>
            </w:pPr>
          </w:p>
        </w:tc>
      </w:tr>
      <w:tr w14:paraId="242471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0" w:type="dxa"/>
            <w:vAlign w:val="center"/>
          </w:tcPr>
          <w:p w14:paraId="6A3040E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噪声</w:t>
            </w:r>
          </w:p>
        </w:tc>
        <w:tc>
          <w:tcPr>
            <w:tcW w:w="2412" w:type="dxa"/>
            <w:gridSpan w:val="4"/>
            <w:vAlign w:val="center"/>
          </w:tcPr>
          <w:p w14:paraId="32FA1A5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生产车间各类机械设备</w:t>
            </w:r>
          </w:p>
        </w:tc>
        <w:tc>
          <w:tcPr>
            <w:tcW w:w="4394" w:type="dxa"/>
            <w:gridSpan w:val="8"/>
            <w:vAlign w:val="center"/>
          </w:tcPr>
          <w:p w14:paraId="111C136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50~85dB（A）</w:t>
            </w:r>
          </w:p>
        </w:tc>
        <w:tc>
          <w:tcPr>
            <w:tcW w:w="6602" w:type="dxa"/>
            <w:gridSpan w:val="13"/>
            <w:vAlign w:val="center"/>
          </w:tcPr>
          <w:p w14:paraId="268EEA4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采用低噪声设备，建筑隔声，关键部位加胶垫以减少振动，设吸收板或隔声罩或安装消声器以减少噪声。设备采取降噪措施经厂房隔声后，厂房外噪声值可降低10~15dB（A）。</w:t>
            </w:r>
          </w:p>
        </w:tc>
      </w:tr>
    </w:tbl>
    <w:p w14:paraId="2D65970E">
      <w:pPr>
        <w:pStyle w:val="41"/>
        <w:rPr>
          <w:rFonts w:hint="default" w:ascii="Times New Roman" w:hAnsi="Times New Roman" w:cs="Times New Roman"/>
          <w:color w:val="auto"/>
          <w:szCs w:val="24"/>
          <w:u w:val="none"/>
        </w:rPr>
      </w:pPr>
    </w:p>
    <w:p w14:paraId="60625AB5">
      <w:pPr>
        <w:ind w:firstLine="480"/>
        <w:rPr>
          <w:rFonts w:hint="default" w:ascii="Times New Roman" w:hAnsi="Times New Roman" w:cs="Times New Roman"/>
          <w:color w:val="auto"/>
          <w:u w:val="none"/>
        </w:rPr>
        <w:sectPr>
          <w:pgSz w:w="16838" w:h="11906" w:orient="landscape"/>
          <w:pgMar w:top="1134" w:right="1134" w:bottom="1134" w:left="1134" w:header="851" w:footer="850" w:gutter="0"/>
          <w:pgBorders>
            <w:top w:val="none" w:sz="0" w:space="0"/>
            <w:left w:val="none" w:sz="0" w:space="0"/>
            <w:bottom w:val="none" w:sz="0" w:space="0"/>
            <w:right w:val="none" w:sz="0" w:space="0"/>
          </w:pgBorders>
          <w:pgNumType w:fmt="decimal"/>
          <w:cols w:space="720" w:num="1"/>
          <w:docGrid w:linePitch="312" w:charSpace="0"/>
        </w:sectPr>
      </w:pPr>
    </w:p>
    <w:p w14:paraId="17D8CF92">
      <w:pPr>
        <w:pStyle w:val="2"/>
        <w:ind w:left="0" w:leftChars="0" w:firstLineChars="0"/>
        <w:rPr>
          <w:rFonts w:hint="default" w:ascii="Times New Roman" w:hAnsi="Times New Roman" w:cs="Times New Roman"/>
          <w:color w:val="auto"/>
          <w:u w:val="none"/>
        </w:rPr>
      </w:pPr>
      <w:bookmarkStart w:id="102" w:name="_Toc24857"/>
      <w:r>
        <w:rPr>
          <w:rFonts w:hint="default" w:ascii="Times New Roman" w:hAnsi="Times New Roman" w:cs="Times New Roman"/>
          <w:color w:val="auto"/>
          <w:u w:val="none"/>
        </w:rPr>
        <w:t>环境现状调查与评价</w:t>
      </w:r>
      <w:bookmarkEnd w:id="102"/>
    </w:p>
    <w:p w14:paraId="42E8CDD5">
      <w:pPr>
        <w:pStyle w:val="4"/>
        <w:ind w:left="0" w:leftChars="0" w:firstLineChars="0"/>
        <w:rPr>
          <w:rFonts w:hint="default" w:ascii="Times New Roman" w:hAnsi="Times New Roman" w:cs="Times New Roman"/>
          <w:color w:val="auto"/>
          <w:u w:val="none"/>
        </w:rPr>
      </w:pPr>
      <w:bookmarkStart w:id="103" w:name="_Toc14970"/>
      <w:bookmarkStart w:id="104" w:name="_Toc1620"/>
      <w:bookmarkStart w:id="105" w:name="_Toc1568"/>
      <w:bookmarkStart w:id="106" w:name="_Toc13048"/>
      <w:r>
        <w:rPr>
          <w:rFonts w:hint="default" w:ascii="Times New Roman" w:hAnsi="Times New Roman" w:cs="Times New Roman"/>
          <w:color w:val="auto"/>
          <w:u w:val="none"/>
        </w:rPr>
        <w:t>自然环境</w:t>
      </w:r>
      <w:bookmarkEnd w:id="103"/>
      <w:bookmarkEnd w:id="104"/>
      <w:bookmarkEnd w:id="105"/>
      <w:bookmarkEnd w:id="106"/>
    </w:p>
    <w:p w14:paraId="7DEA0D79">
      <w:pPr>
        <w:pStyle w:val="5"/>
        <w:rPr>
          <w:rFonts w:hint="default" w:ascii="Times New Roman" w:hAnsi="Times New Roman" w:cs="Times New Roman"/>
          <w:color w:val="auto"/>
          <w:u w:val="none"/>
        </w:rPr>
      </w:pPr>
      <w:r>
        <w:rPr>
          <w:rFonts w:hint="default" w:ascii="Times New Roman" w:hAnsi="Times New Roman" w:cs="Times New Roman"/>
          <w:color w:val="auto"/>
          <w:u w:val="none"/>
        </w:rPr>
        <w:t>地理位置</w:t>
      </w:r>
    </w:p>
    <w:p w14:paraId="299BA2E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岳阳市位于湖南省的东北部，素称“湘北门户”。地处东经112°18′31″~114°9′6″，北纬28°25′33″~29°51′00″之间。东邻江西省铜鼓、修水县和湖南省通城县；南抵湖南省浏阳市、长沙县、望城县；西接湖南省南县、安乡县、沅江市；北界湖北省赤壁、洪湖、监利、石首县（市）。全市东西横跨177.84km，南北纵长157.87km。土地总面积14898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，占全省总面积的7.05%。城市规划区面积845km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，其中市区建成区面积83.73km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w:t>
      </w:r>
    </w:p>
    <w:p w14:paraId="6CE431A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项目拟建于中国(湖南)自由贸易试验区岳阳片区长江大道与兴港路交汇处</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交通便捷地形地貌。具体地理位置见附图。</w:t>
      </w:r>
    </w:p>
    <w:p w14:paraId="29DD7C8C">
      <w:pPr>
        <w:pStyle w:val="5"/>
        <w:rPr>
          <w:rFonts w:hint="default" w:ascii="Times New Roman" w:hAnsi="Times New Roman" w:cs="Times New Roman"/>
          <w:color w:val="auto"/>
          <w:u w:val="none"/>
        </w:rPr>
      </w:pPr>
      <w:r>
        <w:rPr>
          <w:rFonts w:hint="default" w:ascii="Times New Roman" w:hAnsi="Times New Roman" w:cs="Times New Roman"/>
          <w:color w:val="auto"/>
          <w:u w:val="none"/>
        </w:rPr>
        <w:t>地质地貌</w:t>
      </w:r>
    </w:p>
    <w:p w14:paraId="2847429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岳阳城区境内山丘起伏，湖汊纵横，地形自东南向西北倾斜。海拔一般在30～60m之间，具有良好的空间环境。建成区以东茅岭至五里牌为界，南北两面呈马鞍形分别向东风湖和南湖延伸。 </w:t>
      </w:r>
    </w:p>
    <w:p w14:paraId="2B4E25D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临港产业新区地貌西北部属滨湖平原，东部及南部属丘陵地貌，海拔一般在25~35m之间。西部由于长期受长江及其支流的堆积，致使沙洲、河滩不断扩大，地面逐渐增高，形成深厚的河积和湖积层，地势低平开阔，微向江湖倾斜，海拔一般在25~35m之间；南部的芭蕉湖地段、北部的松阳湖地段及东部地段为丘陵地貌，海拔在30~60m之间。区内沟渠纵横，湖泊众多，河湖相连，水域广阔。整个地势由东南向西北倾斜，区内最高海拔点为芭蕉湖北岸的云溪乡上清溪村峡山岭，海拔92.29m；最低海拔点松阳湖湖汊之陈子湖，海拔21.4m。</w:t>
      </w:r>
    </w:p>
    <w:p w14:paraId="00F60276">
      <w:pPr>
        <w:pStyle w:val="5"/>
        <w:rPr>
          <w:rFonts w:hint="default" w:ascii="Times New Roman" w:hAnsi="Times New Roman" w:cs="Times New Roman"/>
          <w:color w:val="auto"/>
          <w:u w:val="none"/>
        </w:rPr>
      </w:pPr>
      <w:r>
        <w:rPr>
          <w:rFonts w:hint="default" w:ascii="Times New Roman" w:hAnsi="Times New Roman" w:cs="Times New Roman"/>
          <w:color w:val="auto"/>
          <w:u w:val="none"/>
        </w:rPr>
        <w:t>气象气候</w:t>
      </w:r>
    </w:p>
    <w:p w14:paraId="6076C17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岳阳市属从中亚热带向北亚热带过渡的湿润的大陆性季风气候，其主要特征：温暖湿润，四季分明，季节性强；热量丰富，严寒期短、无霜期长，春温多变，盛夏酷热；雨水充沛，雨季明显，降水集中；湖区气候均一，山地气候悬殊。多年平均降水量为1439.1毫米，呈春夏多、秋冬少，东部多、西部少的格局，春夏雨量约占全年的70％，降雨年际分布不均，面上年平均降雨最多达2191.4毫米（1954年），降雨最少的年份只有945.7毫米（2011年）。年平均气温在16.5～17.2℃之间，极端最高气温为39.3～40.8℃，极端最低气温为-18.1～-11.4℃。城区年平均气温偏高，为17.0℃。年日照时数为1590.2～1722.3小时，呈北部比南部多、西部比东部多的格局。年无霜期256～285天。市境主导风向为北风和东北偏北风，年平均风速为2.0～2.7m/s。</w:t>
      </w:r>
    </w:p>
    <w:p w14:paraId="2B4C520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常年主导风向：       北、北东</w:t>
      </w:r>
    </w:p>
    <w:p w14:paraId="7C7F1BC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瞬时最高风速：       23m/s</w:t>
      </w:r>
    </w:p>
    <w:p w14:paraId="0795CC8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极端最高气温：       39.3℃</w:t>
      </w:r>
    </w:p>
    <w:p w14:paraId="758D988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极端最低气温：       -11.8℃</w:t>
      </w:r>
    </w:p>
    <w:p w14:paraId="6810C35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历年平均气温：       17℃</w:t>
      </w:r>
    </w:p>
    <w:p w14:paraId="5537284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历年平均相对湿度：   79％</w:t>
      </w:r>
    </w:p>
    <w:p w14:paraId="63ED6CC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历年最大相对湿度：   100％</w:t>
      </w:r>
    </w:p>
    <w:p w14:paraId="69823D7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历年最小相对湿度：   12％</w:t>
      </w:r>
    </w:p>
    <w:p w14:paraId="7A196B7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历年平均气温压：     100.7KPa</w:t>
      </w:r>
    </w:p>
    <w:p w14:paraId="1050E98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年平均降雨量：       1302.4mm</w:t>
      </w:r>
    </w:p>
    <w:p w14:paraId="3753327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年最大降雨量：       2336.5mm</w:t>
      </w:r>
    </w:p>
    <w:p w14:paraId="4F6CF38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年最小降雨量：       787.4mm</w:t>
      </w:r>
    </w:p>
    <w:p w14:paraId="4D23E6F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最大积雪深度：       230mm</w:t>
      </w:r>
    </w:p>
    <w:p w14:paraId="19B5DE3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年平均蒸发量：       142.2mm</w:t>
      </w:r>
    </w:p>
    <w:p w14:paraId="1EC8B33B">
      <w:pPr>
        <w:pStyle w:val="5"/>
        <w:rPr>
          <w:rFonts w:hint="default" w:ascii="Times New Roman" w:hAnsi="Times New Roman" w:cs="Times New Roman"/>
          <w:color w:val="auto"/>
          <w:u w:val="none"/>
        </w:rPr>
      </w:pPr>
      <w:r>
        <w:rPr>
          <w:rFonts w:hint="default" w:ascii="Times New Roman" w:hAnsi="Times New Roman" w:cs="Times New Roman"/>
          <w:color w:val="auto"/>
          <w:u w:val="none"/>
        </w:rPr>
        <w:t>水文</w:t>
      </w:r>
    </w:p>
    <w:p w14:paraId="2C973815">
      <w:pPr>
        <w:pStyle w:val="6"/>
        <w:ind w:left="-720" w:firstLineChars="0"/>
        <w:rPr>
          <w:rFonts w:hint="default" w:ascii="Times New Roman" w:hAnsi="Times New Roman" w:cs="Times New Roman"/>
          <w:color w:val="auto"/>
          <w:u w:val="none"/>
        </w:rPr>
      </w:pPr>
      <w:r>
        <w:rPr>
          <w:rFonts w:hint="default" w:ascii="Times New Roman" w:hAnsi="Times New Roman" w:cs="Times New Roman"/>
          <w:color w:val="auto"/>
          <w:u w:val="none"/>
        </w:rPr>
        <w:t>地表水</w:t>
      </w:r>
    </w:p>
    <w:p w14:paraId="0FF5186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项目西侧长江大道已建设有市政雨污水管网，其中污水经市政污水管网进入进入临港产业新区污水处理厂，最终经象骨港排入长江；雨水经管网收集后进入象骨港，最终排入长江。</w:t>
      </w:r>
    </w:p>
    <w:p w14:paraId="617ABCE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所在区域的城陵矶是长江中游第一矶，属“长江八大良港”之一，是长江中游水陆联运、干支联系的综合枢纽港口；湖南省水路第一门户，是湖南惟一的国家一类口岸。其地表水体发育，池塘星罗棋布，较大的地表水为长江、东洞庭湖等。由于矶头滨临江岸，南北介于东风、芭蕉两湖之间，面朝荆江，成为二面临水的岛矶。城陵矶突出江湖汇口，具有抗冲和挑流作用，是地处Y字形水道南侧的洞庭湖口节点。附近七里山，过水断面1000m，历年最高水位32.75m，是四水、四口入湖水经调蓄再度入江的唯一出口。又为江湖之间洄游性和半洄游性经济鱼类来往的通道。城陵矶是湘北内联四水、外通江海的第一港。洞庭湖四水常年有300～500吨级船队及千吨级顶推船队经此出入长江，长江干流船舶亦可于此停靠，年吞吐量约430万吨。港口有专线通京广铁路，便于水陆联运。</w:t>
      </w:r>
    </w:p>
    <w:p w14:paraId="6C4EC8C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（1）洞庭湖</w:t>
      </w:r>
    </w:p>
    <w:p w14:paraId="4AE4D2F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洞庭湖地处长江中游，是我国吞吐水量最大的淡水湖泊、长江中游最重要的集水湖盆与调洪湖泊。城陵矶站水位33.5米时，洞庭湖面积2625平方公里，总容积167亿立米。根据自然形态，洞庭湖分成东洞庭湖、南洞庭湖、西洞庭湖（由目平湖、七里湖组成），对应面积分别为1313平方公里、905平方公里、407平方公里。东洞庭湖是洞庭湖泊群落中最大、保存最完好的 天然季节性湖泊，东临岳阳市区、岳阳县和汨罗市，北抵长江，西靠大通湖大圈和钱粮湖大圈，南连南洞庭湖，现有水面面积1313平方公里，占洞庭湖总水面面积的50%；现有容量119亿立方米，占洞庭湖总容量的71%。我市境内洞庭湖面积1312平方公里，其中东洞庭湖920平方公里、南洞庭湖392平方公里。</w:t>
      </w:r>
    </w:p>
    <w:p w14:paraId="3014419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洞庭湖集三湖四水汇入长江，是岳阳市最主要的水系之一。</w:t>
      </w:r>
    </w:p>
    <w:p w14:paraId="527852E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（2）长江</w:t>
      </w:r>
    </w:p>
    <w:p w14:paraId="6A6D98F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长江全长6300余公里，总集雨面积180万平方公里，从江源到宜昌约4500公里为上游，集雨面积约100万平方公里；宜昌至九江湖口长约955公里为中游，集雨面积约68万平方公里；湖口至海口长约938公里为下游，集雨面积约12万平方公里。荆江是长江中游的一个河段,上起枝城,下至城陵矶，全长339公里，南岸有分泄长江水流的松滋、太平、藕池、调弦四口和洞庭湖吐洪入江的总出口城陵矶与洞庭湖通连。江北岸的荆江大堤上起枣林岗，下至监利城南，全长182.35公里，是江汉平原的屏障，荆江河段以藕池口为界分为上下荆江，上荆江长175.5公里，下荆江163.5公里。长江流经湖南163公里，全部在岳阳市境内（自华容县五马口至临湘市铁山咀），其中长江干堤142公里，以城陵矶（三江口）为界分成上下两段，上段由华容县五马口至君山区穆湖铺，长76.8公里，下段自莲花塘至临湘市黄盖湖铁山咀，长65.2公里。</w:t>
      </w:r>
    </w:p>
    <w:p w14:paraId="14C6081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根据长江螺山水文站水文数据，长江在该段主要水文参数如下：</w:t>
      </w:r>
    </w:p>
    <w:p w14:paraId="4C28C9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流  量：多年平均流量20300m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/s；</w:t>
      </w:r>
    </w:p>
    <w:p w14:paraId="2CF949B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历年最大流量61200m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/s；</w:t>
      </w:r>
    </w:p>
    <w:p w14:paraId="0EFAB7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历年最小流量4190m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/s；</w:t>
      </w:r>
    </w:p>
    <w:p w14:paraId="353471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流  速：多年平均流速1.45m/s；</w:t>
      </w:r>
    </w:p>
    <w:p w14:paraId="6FE0054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含砂量：多年平均值0.683kg/m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p w14:paraId="02AC1AB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输砂量：多年平均输砂量13.7t/s；</w:t>
      </w:r>
    </w:p>
    <w:p w14:paraId="2DDAED9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历年最大输砂量177t/s；</w:t>
      </w:r>
    </w:p>
    <w:p w14:paraId="4317544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历年最小输砂量0.59t/s；</w:t>
      </w:r>
    </w:p>
    <w:p w14:paraId="0463F1D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水  位：多年平均水位23.19m(吴淞高程)；</w:t>
      </w:r>
    </w:p>
    <w:p w14:paraId="3700A22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历年最高水位33.14m；</w:t>
      </w:r>
    </w:p>
    <w:p w14:paraId="7C440CE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历年最低水位15.99m；</w:t>
      </w:r>
    </w:p>
    <w:p w14:paraId="1B348AA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（2）象骨港</w:t>
      </w:r>
    </w:p>
    <w:p w14:paraId="1B83F4D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发源于云溪乡东风村，河长约12km，流域面积21.0km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，其中位于象骨港河上游的黄泥沟水系流域面积7.92km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，其径流汇入黄泥沟湖后，经黄泥沟节制闸入象骨港。</w:t>
      </w:r>
    </w:p>
    <w:p w14:paraId="22EA38BD">
      <w:pPr>
        <w:pStyle w:val="6"/>
        <w:ind w:left="-720" w:firstLineChars="0"/>
        <w:rPr>
          <w:rFonts w:hint="default" w:ascii="Times New Roman" w:hAnsi="Times New Roman" w:cs="Times New Roman"/>
          <w:color w:val="auto"/>
          <w:u w:val="none"/>
        </w:rPr>
      </w:pPr>
      <w:r>
        <w:rPr>
          <w:rFonts w:hint="default" w:ascii="Times New Roman" w:hAnsi="Times New Roman" w:cs="Times New Roman"/>
          <w:color w:val="auto"/>
          <w:u w:val="none"/>
        </w:rPr>
        <w:t>地下水</w:t>
      </w:r>
    </w:p>
    <w:p w14:paraId="1A71666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区内地下水类型可分为基岩裂隙水和第四系松散地层孔隙水。前者水量贫乏，后者可分为孔隙潜水和孔隙承压水两类，孔隙潜水分布较广，主要富集于第四系松散层中，与地表水呈季节性互补关系，受江湖水位影响，动态变化大，水位一般1～5m，水量不丰富。孔隙承压水主要分布在中更新统Q2al下部透水性较强的含砾粘土及沙砾石层中，含水层厚3～8m，顶板高程一般16～19m，低于湖水位2～6m，略具承压性。根据对两组水的抽样分析，地下水位重碳酸、硫酸钾钠钙型低矿化度软水和重碳酸钾钙型低矿化度软水，对砼无侵蚀性。</w:t>
      </w:r>
    </w:p>
    <w:p w14:paraId="79FB2CA1">
      <w:pPr>
        <w:pStyle w:val="5"/>
        <w:rPr>
          <w:rFonts w:hint="default" w:ascii="Times New Roman" w:hAnsi="Times New Roman" w:cs="Times New Roman"/>
          <w:color w:val="auto"/>
          <w:u w:val="none"/>
        </w:rPr>
      </w:pPr>
      <w:r>
        <w:rPr>
          <w:rFonts w:hint="default" w:ascii="Times New Roman" w:hAnsi="Times New Roman" w:cs="Times New Roman"/>
          <w:color w:val="auto"/>
          <w:u w:val="none"/>
        </w:rPr>
        <w:t>土壤</w:t>
      </w:r>
    </w:p>
    <w:p w14:paraId="0B69435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岳阳市总国土面积15019平方公里，耕地面积32.10千公顷，其中水田面积17.33千公顷。区域表土为受长江和洞庭湖控制的冲积土，表层以粘土为主，夹少量砂土，厚度在0.4-12.64m，呈红褐色、黄褐色、深绿色和紫红色等类型；自然土壤以湖土和红壤为主，农耕以水稻土和菜园土为主。</w:t>
      </w:r>
    </w:p>
    <w:p w14:paraId="445A5881">
      <w:pPr>
        <w:pStyle w:val="5"/>
        <w:rPr>
          <w:rFonts w:hint="default" w:ascii="Times New Roman" w:hAnsi="Times New Roman" w:cs="Times New Roman"/>
          <w:color w:val="auto"/>
          <w:u w:val="none"/>
        </w:rPr>
      </w:pPr>
      <w:r>
        <w:rPr>
          <w:rFonts w:hint="default" w:ascii="Times New Roman" w:hAnsi="Times New Roman" w:cs="Times New Roman"/>
          <w:color w:val="auto"/>
          <w:u w:val="none"/>
        </w:rPr>
        <w:t>地震</w:t>
      </w:r>
    </w:p>
    <w:p w14:paraId="152A616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中国地震动参数区划图》(GB18306-2015)，本项目场地的设计基本地震加速度值为0.10g，设计特征周期值为0.35s，设计地震分组为第一组，抗震设防烈度为Ⅶ度；根据《建筑抗震设计规范》(GB50011-2012)拟建场地位于长江一级阶地，场地内表层分布填筑土、粉质黏土及卵石为主，场地属对建筑抗震不利地段，场地土的类型划分为中软场地土，场地类别为Ⅱ类，对建筑物应按相关规范要求设防。</w:t>
      </w:r>
    </w:p>
    <w:p w14:paraId="08AAE520">
      <w:pPr>
        <w:pStyle w:val="5"/>
        <w:rPr>
          <w:rFonts w:hint="default" w:ascii="Times New Roman" w:hAnsi="Times New Roman" w:cs="Times New Roman"/>
          <w:color w:val="auto"/>
          <w:u w:val="none"/>
        </w:rPr>
      </w:pPr>
      <w:bookmarkStart w:id="107" w:name="_Toc85548495"/>
      <w:r>
        <w:rPr>
          <w:rFonts w:hint="default" w:ascii="Times New Roman" w:hAnsi="Times New Roman" w:cs="Times New Roman"/>
          <w:color w:val="auto"/>
          <w:u w:val="none"/>
        </w:rPr>
        <w:t>生态环境现状调查</w:t>
      </w:r>
      <w:bookmarkEnd w:id="107"/>
    </w:p>
    <w:p w14:paraId="7A57B23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岳阳市土地富饶，拥有丰富的自然资源。岳阳是国家重要的粮、棉、猪、鱼等优质农产品基地，有四个县（市）进入全国粮、棉、猪百强县行列，有机茶、无公害蔬菜、优质水果、长江蟹、洞庭青虾等农副产品市场十分畅销。岳阳水资源充沛，淡水面积达31万公顷，在全国独一无二，有利于种植业、淡水鱼业和水运业的发展，还为大耗水、大运量的造纸等现代工业提供了良好的基础条件。岳阳生物资源多种多样，境内有木本植物1118种，药用植物1224种，水生植物131种，家畜家禽10多种，水生动物116种，野生动物266种。岳阳矿产资源多样，境内蕴藏矿种60余种，已探明大型矿床27处、中型28处、小型45处，可供开采矿点200多处，主要矿种有金、银、铅等金属矿产10余种，有白云石、花岗岩、高岭土等非金属矿产20余种，此外，还有铌、钽、铍等稀有及稀土金属矿产和地下矿泉水等资源。</w:t>
      </w:r>
    </w:p>
    <w:p w14:paraId="4A7C4FB9">
      <w:pPr>
        <w:pStyle w:val="5"/>
        <w:rPr>
          <w:rFonts w:hint="default" w:ascii="Times New Roman" w:hAnsi="Times New Roman" w:cs="Times New Roman"/>
          <w:color w:val="auto"/>
          <w:u w:val="none"/>
        </w:rPr>
      </w:pPr>
      <w:r>
        <w:rPr>
          <w:rFonts w:hint="default" w:ascii="Times New Roman" w:hAnsi="Times New Roman" w:cs="Times New Roman"/>
          <w:color w:val="auto"/>
          <w:u w:val="none"/>
        </w:rPr>
        <w:t>湖南城陵矶临港产业新区概况</w:t>
      </w:r>
    </w:p>
    <w:p w14:paraId="5D658F05">
      <w:pPr>
        <w:widowControl/>
        <w:ind w:firstLine="480"/>
        <w:jc w:val="left"/>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2012年9月18日湖南省环保厅以湘环评[2012]293号文对《湖南城陵矶临港产业新区产业核心区环境影响报告书》进行了批复（详见附件8）；湖南城陵矶临港产业新区产业核心区于2021年10月25日取得湖南省生态环境厅《关于岳阳临港高新技术产业开发区环境影响评价工作意见的函》（湘环评[2021]33号文）（详见附件9）。</w:t>
      </w:r>
    </w:p>
    <w:p w14:paraId="462FEB10">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湖南城陵矶临港产业新区产业核心区规划用地行政隶属云溪区永济乡、云溪乡，规划范围东起随岳高速公路西侧，西抵长江干堤道路西侧，南临规划擂鼓台路、煤灰湖路、兴港路及疏港大道，北至规划环湖路、松阳湖路及其局部所设防涝堤挡水一侧，总用地面积为23.68km</w:t>
      </w:r>
      <w:r>
        <w:rPr>
          <w:rFonts w:hint="default" w:ascii="Times New Roman" w:hAnsi="Times New Roman" w:cs="Times New Roman"/>
          <w:color w:val="auto"/>
          <w:kern w:val="0"/>
          <w:u w:val="none"/>
          <w:vertAlign w:val="superscript"/>
          <w:lang w:bidi="ar"/>
        </w:rPr>
        <w:t>2</w:t>
      </w:r>
      <w:r>
        <w:rPr>
          <w:rFonts w:hint="default" w:ascii="Times New Roman" w:hAnsi="Times New Roman" w:cs="Times New Roman"/>
          <w:color w:val="auto"/>
          <w:kern w:val="0"/>
          <w:u w:val="none"/>
          <w:lang w:bidi="ar"/>
        </w:rPr>
        <w:t>，核心区规划工业用地面积940.49公顷，占城市建设用地的39.71%（其中一类工业用地面积为442.64公顷，主要布局在云港路南侧，兴港路北侧；二类工业用地面积为317.85公顷，主要布局在云港路及欣园东路北侧，松阳湖南侧；三类工业用地面积为180公顷，主要布在欣园西路及松阳湖路以北）；仓储用地总面积300.82公顷，占城市建设用地的12.7%，主要布置在沿江路与长江大道之间，紧邻港口陆域；居住用地总面积83.53公顷占3.5%；公共设施用地总面积为52.43公顷占2.2%；对外交通用地总面积391公顷占16.5%；道路广场用地总面积107.71公顷，占4.5%；市政公用设施用地24.31公顷占1%；绿地面积467.98公顷，占19.8%核心区依托区位航运交通及岳阳市现有石化工业基础的优势；拟重点发展新材料、高技术服务、高端装备制造和电子信息四大产业。其中：在规划区西北部布设新材料产业区，结合现有产业基础，差异化发展化工新材料，积极培育先进储能材料和复合材料产业；在长江大道以东、连城路以西、松阳湖以南、兴港路以北区域规划布置高端装备制造区，重点发展港口机械装备工程建筑装备、化工机械装备和交通运输装备等制造产业，带动相关配套零部件制造产业发展；在枯园路及云欣路以东、兴港路以北、向阳路以西、松阳湖路以南的地段布置电子信息产业区积极发展LED产业和新型电子元器件产业；在规划区西部临长江陆域区以及高端装备制造产业区和电子信息产业区包夹的中间区域布置高技术服务产业区，重点发展集装箱、石油化工储运大宗散货件杂货配送、大宗农产品及粮油物流、城陵矶港保税物流等六大物流中心，积极发展服务外包和电子商务物流产业。</w:t>
      </w:r>
    </w:p>
    <w:p w14:paraId="6B60A72E">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临港产业新区区位、交通优势明显，地处湘、鄂、赣三省中心交汇点，依长江、衔洞庭、带四水，是长江流域经济带和京广铁路经济带的投资宝地，是长三角经济带和珠三角经济带西进北上的战略要地，也是长株潭城市圈和武汉城市圈的中心腹地，区内城陵矶新港是全国28个内河主枢纽港之一，国家对外贸易一类开放港口，湖南省长江干线上唯一口岸，长江航运和湘江航运重要的中转站，枯水期5000吨级船舶可进港作业。随岳高速、京珠高速、107国道、S201、S301等公路，以及京广铁路、岳沙铁路、武广高速伴区或穿境而过。区内有进港路、通港路、支线铁路与上述公路、铁路连通，构成纵横交错的交通网络。</w:t>
      </w:r>
    </w:p>
    <w:p w14:paraId="07ECEB0F">
      <w:pPr>
        <w:pStyle w:val="5"/>
        <w:rPr>
          <w:rFonts w:hint="default" w:ascii="Times New Roman" w:hAnsi="Times New Roman" w:cs="Times New Roman"/>
          <w:color w:val="auto"/>
          <w:u w:val="none"/>
        </w:rPr>
      </w:pPr>
      <w:r>
        <w:rPr>
          <w:rFonts w:hint="default" w:ascii="Times New Roman" w:hAnsi="Times New Roman" w:cs="Times New Roman"/>
          <w:color w:val="auto"/>
          <w:u w:val="none"/>
        </w:rPr>
        <w:t xml:space="preserve">湖南城陵矶临港产业新区污水处理厂基本情况 </w:t>
      </w:r>
    </w:p>
    <w:p w14:paraId="519F6373">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湖南城陵矶临港产业新区污水处理厂东邻沿江大道，西靠长江大堤，处于云港路与沿江路的交界处，于2014年7月取得岳阳市环境保护局环评批复，2016年建成，设计处理能力3万吨/天，主要采用CASS工艺，出水达《城镇污水处理厂污染物排放标准》（GB18918-2002）一级B排放标准，尾水经象骨港排至长江。</w:t>
      </w:r>
    </w:p>
    <w:p w14:paraId="431F1738">
      <w:pPr>
        <w:widowControl/>
        <w:ind w:firstLine="480"/>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2019年2月岳阳联泰水务有限公司委托湖南志远环境咨询服务有限公司编制了《湖南城陵矶临港产业新区污水处理厂一期提标改造工程项目环境影响报告表》，目前已经通过临港产业新区环保分局审批（岳港环批〔2019〕4号），提标改造规模为3万吨/天。①新建部分：1座调节池、1座絮凝沉淀池、1座中间提升泵房、1座高效絮凝沉淀池、1座反硝化深床滤池、1座加药间及次氯酸钠消毒渠；②改造部分：在一期每系列生物池的缺氧段各安装微生物培养箱12台（培养箱内安装组合填料，培养箱供气管道就近接于生物池曝气管道）、在原污泥回流泵房内安装除臭污泥投加泵、在原污泥泵出口至进水井处铺设除臭污泥投加管道、在原紫外消毒渠处增设灯管28根。改造完成后，服务范围为临港产业新区（主要为临港产业核心区），管道接纳标准为COD≤500 mg/L、BOD</w:t>
      </w:r>
      <w:r>
        <w:rPr>
          <w:rFonts w:hint="default" w:ascii="Times New Roman" w:hAnsi="Times New Roman" w:cs="Times New Roman"/>
          <w:color w:val="auto"/>
          <w:kern w:val="0"/>
          <w:u w:val="none"/>
          <w:vertAlign w:val="subscript"/>
          <w:lang w:bidi="ar"/>
        </w:rPr>
        <w:t>5</w:t>
      </w:r>
      <w:r>
        <w:rPr>
          <w:rFonts w:hint="default" w:ascii="Times New Roman" w:hAnsi="Times New Roman" w:cs="Times New Roman"/>
          <w:color w:val="auto"/>
          <w:kern w:val="0"/>
          <w:u w:val="none"/>
          <w:lang w:bidi="ar"/>
        </w:rPr>
        <w:t>≤300 mg/L、SS≤400 mg/L、NH</w:t>
      </w:r>
      <w:r>
        <w:rPr>
          <w:rFonts w:hint="default" w:ascii="Times New Roman" w:hAnsi="Times New Roman" w:cs="Times New Roman"/>
          <w:color w:val="auto"/>
          <w:kern w:val="0"/>
          <w:u w:val="none"/>
          <w:vertAlign w:val="subscript"/>
          <w:lang w:bidi="ar"/>
        </w:rPr>
        <w:t>3</w:t>
      </w:r>
      <w:r>
        <w:rPr>
          <w:rFonts w:hint="default" w:ascii="Times New Roman" w:hAnsi="Times New Roman" w:cs="Times New Roman"/>
          <w:color w:val="auto"/>
          <w:kern w:val="0"/>
          <w:u w:val="none"/>
          <w:lang w:bidi="ar"/>
        </w:rPr>
        <w:t>-N≤45 mg/L、TN≤70mg/L、TP≤8 mg/L、石油类≤15 mg/L，出水水质由《城镇污水处理厂污染物排放标准》（GB18918-2002）一级B标准提高至一级A标准。</w:t>
      </w:r>
    </w:p>
    <w:p w14:paraId="7D986C8F">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根据《岳阳市城陵矶临港产业新区核心区排水工程专项规划》（2010~2030），临港产业新区核心区污水处理厂污水系统分为九个分区，项目拟建地位于长江大道，区域污水管网情况如下：以的长江大道、欣园西路、环湖路及环湖路和连城路为界线，服务面积为1.8平方公里。地形地势大概为西高东低，污水沿茅岭东路、道松路、松阳湖路、欣园西路等的次干道自西向东流入位于环湖路及连城路上的干道，干道的污水自北向南进入连城路西片区的云港路污水主干管，最终进入临港产业新区污水处理厂。</w:t>
      </w:r>
    </w:p>
    <w:p w14:paraId="639DE05E">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项目选址区域的污水管网在2019年6月就与湖南城陵矶新港区污水处理厂完成对接，因此项目外排废水能排放污水处理厂内。</w:t>
      </w:r>
    </w:p>
    <w:p w14:paraId="3700786F">
      <w:pPr>
        <w:pStyle w:val="4"/>
        <w:ind w:left="0" w:leftChars="0" w:firstLineChars="0"/>
        <w:rPr>
          <w:rFonts w:hint="default" w:ascii="Times New Roman" w:hAnsi="Times New Roman" w:cs="Times New Roman"/>
          <w:color w:val="auto"/>
          <w:u w:val="none"/>
        </w:rPr>
      </w:pPr>
      <w:bookmarkStart w:id="108" w:name="_Toc11294"/>
      <w:bookmarkStart w:id="109" w:name="_Toc2933"/>
      <w:bookmarkStart w:id="110" w:name="_Toc26196"/>
      <w:bookmarkStart w:id="111" w:name="_Toc11120"/>
      <w:bookmarkStart w:id="112" w:name="_Toc13123"/>
      <w:r>
        <w:rPr>
          <w:rFonts w:hint="default" w:ascii="Times New Roman" w:hAnsi="Times New Roman" w:cs="Times New Roman"/>
          <w:color w:val="auto"/>
          <w:u w:val="none"/>
        </w:rPr>
        <w:t>环境质量现状调查与评价</w:t>
      </w:r>
      <w:bookmarkEnd w:id="108"/>
      <w:bookmarkEnd w:id="109"/>
      <w:bookmarkEnd w:id="110"/>
      <w:bookmarkEnd w:id="111"/>
    </w:p>
    <w:p w14:paraId="79141202">
      <w:pPr>
        <w:pStyle w:val="5"/>
        <w:rPr>
          <w:rFonts w:hint="default" w:ascii="Times New Roman" w:hAnsi="Times New Roman" w:cs="Times New Roman"/>
          <w:color w:val="auto"/>
          <w:u w:val="none"/>
        </w:rPr>
      </w:pPr>
      <w:r>
        <w:rPr>
          <w:rFonts w:hint="default" w:ascii="Times New Roman" w:hAnsi="Times New Roman" w:cs="Times New Roman"/>
          <w:color w:val="auto"/>
          <w:u w:val="none"/>
        </w:rPr>
        <w:t>区域环境质量达标判定</w:t>
      </w:r>
    </w:p>
    <w:p w14:paraId="28B3BAE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影响评价技术导则大气环境》(HJ2.2-2018)“5.5评价基准年筛选依据评价所需环境空气质量现状、气象资料等数据的可获得性、数据质量、代表性等因素，选择近3年中数据相对完整的1个日历年作为评价基准年”。“6.2数据来，采用评价范围内国家或地方环境空气质量监测网中评价基准年连续1年的监测数据，或采用生态环境主管部门公开发布的环境空气质量现状数据”。依据上述新版大气导则要求，为了解本项目周边环境空气质量状况，本项目位于岳阳市城陵矶临港产业新区，项目所在区域达标区判定引用</w:t>
      </w:r>
      <w:r>
        <w:rPr>
          <w:rFonts w:hint="default" w:ascii="Times New Roman" w:hAnsi="Times New Roman" w:cs="Times New Roman"/>
          <w:color w:val="auto"/>
          <w:u w:val="none"/>
          <w:lang w:val="en-US" w:eastAsia="zh-CN"/>
        </w:rPr>
        <w:t>岳阳市202</w:t>
      </w:r>
      <w:r>
        <w:rPr>
          <w:rFonts w:hint="eastAsia" w:ascii="Times New Roman" w:hAnsi="Times New Roman" w:cs="Times New Roman"/>
          <w:color w:val="auto"/>
          <w:u w:val="none"/>
          <w:lang w:val="en-US" w:eastAsia="zh-CN"/>
        </w:rPr>
        <w:t>3</w:t>
      </w:r>
      <w:r>
        <w:rPr>
          <w:rFonts w:hint="default" w:ascii="Times New Roman" w:hAnsi="Times New Roman" w:cs="Times New Roman"/>
          <w:color w:val="auto"/>
          <w:u w:val="none"/>
          <w:lang w:val="en-US" w:eastAsia="zh-CN"/>
        </w:rPr>
        <w:t>年自动空气环境监测点的基本因子的监测统计数据</w:t>
      </w:r>
      <w:r>
        <w:rPr>
          <w:rFonts w:hint="default" w:ascii="Times New Roman" w:hAnsi="Times New Roman" w:cs="Times New Roman"/>
          <w:color w:val="auto"/>
          <w:u w:val="none"/>
        </w:rPr>
        <w:t>。详见下表：</w:t>
      </w:r>
    </w:p>
    <w:p w14:paraId="0F30049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表5.2-1岳阳市城陵矶空气质量现状评价表</w:t>
      </w:r>
    </w:p>
    <w:tbl>
      <w:tblPr>
        <w:tblStyle w:val="30"/>
        <w:tblW w:w="499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532"/>
        <w:gridCol w:w="1051"/>
        <w:gridCol w:w="1956"/>
        <w:gridCol w:w="1358"/>
        <w:gridCol w:w="1178"/>
        <w:gridCol w:w="1162"/>
        <w:gridCol w:w="819"/>
      </w:tblGrid>
      <w:tr w14:paraId="369B6C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845" w:type="pct"/>
            <w:vMerge w:val="restart"/>
            <w:vAlign w:val="center"/>
          </w:tcPr>
          <w:p w14:paraId="77C8FC0E">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点位名称</w:t>
            </w:r>
          </w:p>
        </w:tc>
        <w:tc>
          <w:tcPr>
            <w:tcW w:w="580" w:type="pct"/>
            <w:vMerge w:val="restart"/>
            <w:vAlign w:val="center"/>
          </w:tcPr>
          <w:p w14:paraId="3D40490D">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1079" w:type="pct"/>
            <w:vMerge w:val="restart"/>
            <w:vAlign w:val="center"/>
          </w:tcPr>
          <w:p w14:paraId="3833A25C">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年评价指标</w:t>
            </w:r>
          </w:p>
        </w:tc>
        <w:tc>
          <w:tcPr>
            <w:tcW w:w="749" w:type="pct"/>
            <w:vMerge w:val="restart"/>
            <w:vAlign w:val="center"/>
          </w:tcPr>
          <w:p w14:paraId="2D567FC3">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现状浓度/（μg/m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w:t>
            </w:r>
          </w:p>
        </w:tc>
        <w:tc>
          <w:tcPr>
            <w:tcW w:w="650" w:type="pct"/>
            <w:vMerge w:val="restart"/>
            <w:vAlign w:val="center"/>
          </w:tcPr>
          <w:p w14:paraId="5685C658">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评价标准/（μg/m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w:t>
            </w:r>
          </w:p>
        </w:tc>
        <w:tc>
          <w:tcPr>
            <w:tcW w:w="641" w:type="pct"/>
            <w:vMerge w:val="restart"/>
            <w:vAlign w:val="center"/>
          </w:tcPr>
          <w:p w14:paraId="7043483D">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最大浓度占标率/%</w:t>
            </w:r>
          </w:p>
        </w:tc>
        <w:tc>
          <w:tcPr>
            <w:tcW w:w="452" w:type="pct"/>
            <w:vMerge w:val="restart"/>
            <w:vAlign w:val="center"/>
          </w:tcPr>
          <w:p w14:paraId="4473C7E4">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达标情况</w:t>
            </w:r>
          </w:p>
        </w:tc>
      </w:tr>
      <w:tr w14:paraId="2312127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2" w:hRule="atLeast"/>
          <w:jc w:val="center"/>
        </w:trPr>
        <w:tc>
          <w:tcPr>
            <w:tcW w:w="845" w:type="pct"/>
            <w:vMerge w:val="continue"/>
            <w:vAlign w:val="center"/>
          </w:tcPr>
          <w:p w14:paraId="7E1DC4F2">
            <w:pPr>
              <w:pStyle w:val="41"/>
              <w:jc w:val="center"/>
              <w:rPr>
                <w:rFonts w:hint="default" w:ascii="Times New Roman" w:hAnsi="Times New Roman" w:cs="Times New Roman"/>
                <w:color w:val="auto"/>
                <w:u w:val="none"/>
              </w:rPr>
            </w:pPr>
          </w:p>
        </w:tc>
        <w:tc>
          <w:tcPr>
            <w:tcW w:w="580" w:type="pct"/>
            <w:vMerge w:val="continue"/>
            <w:vAlign w:val="center"/>
          </w:tcPr>
          <w:p w14:paraId="656AAEE4">
            <w:pPr>
              <w:pStyle w:val="41"/>
              <w:jc w:val="center"/>
              <w:rPr>
                <w:rFonts w:hint="default" w:ascii="Times New Roman" w:hAnsi="Times New Roman" w:cs="Times New Roman"/>
                <w:color w:val="auto"/>
                <w:u w:val="none"/>
              </w:rPr>
            </w:pPr>
          </w:p>
        </w:tc>
        <w:tc>
          <w:tcPr>
            <w:tcW w:w="1079" w:type="pct"/>
            <w:vMerge w:val="continue"/>
            <w:vAlign w:val="center"/>
          </w:tcPr>
          <w:p w14:paraId="1A29AE17">
            <w:pPr>
              <w:pStyle w:val="41"/>
              <w:jc w:val="center"/>
              <w:rPr>
                <w:rFonts w:hint="default" w:ascii="Times New Roman" w:hAnsi="Times New Roman" w:cs="Times New Roman"/>
                <w:color w:val="auto"/>
                <w:u w:val="none"/>
              </w:rPr>
            </w:pPr>
          </w:p>
        </w:tc>
        <w:tc>
          <w:tcPr>
            <w:tcW w:w="749" w:type="pct"/>
            <w:vMerge w:val="continue"/>
            <w:vAlign w:val="center"/>
          </w:tcPr>
          <w:p w14:paraId="57C3D19A">
            <w:pPr>
              <w:pStyle w:val="41"/>
              <w:jc w:val="center"/>
              <w:rPr>
                <w:rFonts w:hint="default" w:ascii="Times New Roman" w:hAnsi="Times New Roman" w:cs="Times New Roman"/>
                <w:color w:val="auto"/>
                <w:u w:val="none"/>
              </w:rPr>
            </w:pPr>
          </w:p>
        </w:tc>
        <w:tc>
          <w:tcPr>
            <w:tcW w:w="650" w:type="pct"/>
            <w:vMerge w:val="continue"/>
            <w:vAlign w:val="center"/>
          </w:tcPr>
          <w:p w14:paraId="08403ABD">
            <w:pPr>
              <w:pStyle w:val="41"/>
              <w:jc w:val="center"/>
              <w:rPr>
                <w:rFonts w:hint="default" w:ascii="Times New Roman" w:hAnsi="Times New Roman" w:cs="Times New Roman"/>
                <w:color w:val="auto"/>
                <w:u w:val="none"/>
              </w:rPr>
            </w:pPr>
          </w:p>
        </w:tc>
        <w:tc>
          <w:tcPr>
            <w:tcW w:w="641" w:type="pct"/>
            <w:vMerge w:val="continue"/>
            <w:vAlign w:val="center"/>
          </w:tcPr>
          <w:p w14:paraId="630AD302">
            <w:pPr>
              <w:pStyle w:val="41"/>
              <w:jc w:val="center"/>
              <w:rPr>
                <w:rFonts w:hint="default" w:ascii="Times New Roman" w:hAnsi="Times New Roman" w:cs="Times New Roman"/>
                <w:color w:val="auto"/>
                <w:u w:val="none"/>
              </w:rPr>
            </w:pPr>
          </w:p>
        </w:tc>
        <w:tc>
          <w:tcPr>
            <w:tcW w:w="452" w:type="pct"/>
            <w:vMerge w:val="continue"/>
            <w:vAlign w:val="center"/>
          </w:tcPr>
          <w:p w14:paraId="27216D65">
            <w:pPr>
              <w:pStyle w:val="41"/>
              <w:jc w:val="center"/>
              <w:rPr>
                <w:rFonts w:hint="default" w:ascii="Times New Roman" w:hAnsi="Times New Roman" w:cs="Times New Roman"/>
                <w:color w:val="auto"/>
                <w:u w:val="none"/>
              </w:rPr>
            </w:pPr>
          </w:p>
        </w:tc>
      </w:tr>
      <w:tr w14:paraId="251694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restart"/>
            <w:vAlign w:val="center"/>
          </w:tcPr>
          <w:p w14:paraId="038644D1">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国家环境空气质量监测网城陵矶站</w:t>
            </w:r>
          </w:p>
        </w:tc>
        <w:tc>
          <w:tcPr>
            <w:tcW w:w="580" w:type="pct"/>
            <w:vAlign w:val="center"/>
          </w:tcPr>
          <w:p w14:paraId="19A91C4C">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2</w:t>
            </w:r>
          </w:p>
        </w:tc>
        <w:tc>
          <w:tcPr>
            <w:tcW w:w="1079" w:type="pct"/>
            <w:vAlign w:val="center"/>
          </w:tcPr>
          <w:p w14:paraId="01E7F4EE">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年平均浓度</w:t>
            </w:r>
          </w:p>
        </w:tc>
        <w:tc>
          <w:tcPr>
            <w:tcW w:w="749" w:type="pct"/>
            <w:vAlign w:val="center"/>
          </w:tcPr>
          <w:p w14:paraId="15B670DD">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8</w:t>
            </w:r>
          </w:p>
        </w:tc>
        <w:tc>
          <w:tcPr>
            <w:tcW w:w="650" w:type="pct"/>
            <w:vAlign w:val="center"/>
          </w:tcPr>
          <w:p w14:paraId="48EDBB31">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60</w:t>
            </w:r>
          </w:p>
        </w:tc>
        <w:tc>
          <w:tcPr>
            <w:tcW w:w="641" w:type="pct"/>
            <w:vAlign w:val="center"/>
          </w:tcPr>
          <w:p w14:paraId="04509F88">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13.33</w:t>
            </w:r>
          </w:p>
        </w:tc>
        <w:tc>
          <w:tcPr>
            <w:tcW w:w="452" w:type="pct"/>
            <w:vAlign w:val="center"/>
          </w:tcPr>
          <w:p w14:paraId="7814A23A">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达标</w:t>
            </w:r>
          </w:p>
        </w:tc>
      </w:tr>
      <w:tr w14:paraId="4561B7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2FF49A5A">
            <w:pPr>
              <w:pStyle w:val="41"/>
              <w:jc w:val="center"/>
              <w:rPr>
                <w:rFonts w:hint="default" w:ascii="Times New Roman" w:hAnsi="Times New Roman" w:cs="Times New Roman"/>
                <w:color w:val="auto"/>
                <w:u w:val="none"/>
              </w:rPr>
            </w:pPr>
          </w:p>
        </w:tc>
        <w:tc>
          <w:tcPr>
            <w:tcW w:w="580" w:type="pct"/>
            <w:vAlign w:val="center"/>
          </w:tcPr>
          <w:p w14:paraId="4907A54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2</w:t>
            </w:r>
          </w:p>
        </w:tc>
        <w:tc>
          <w:tcPr>
            <w:tcW w:w="1079" w:type="pct"/>
            <w:vAlign w:val="center"/>
          </w:tcPr>
          <w:p w14:paraId="480D5285">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年平均浓度</w:t>
            </w:r>
          </w:p>
        </w:tc>
        <w:tc>
          <w:tcPr>
            <w:tcW w:w="749" w:type="pct"/>
            <w:vAlign w:val="center"/>
          </w:tcPr>
          <w:p w14:paraId="04089CD3">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22</w:t>
            </w:r>
          </w:p>
        </w:tc>
        <w:tc>
          <w:tcPr>
            <w:tcW w:w="650" w:type="pct"/>
            <w:vAlign w:val="center"/>
          </w:tcPr>
          <w:p w14:paraId="16752AE8">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40</w:t>
            </w:r>
          </w:p>
        </w:tc>
        <w:tc>
          <w:tcPr>
            <w:tcW w:w="641" w:type="pct"/>
            <w:vAlign w:val="center"/>
          </w:tcPr>
          <w:p w14:paraId="11F854A5">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55</w:t>
            </w:r>
          </w:p>
        </w:tc>
        <w:tc>
          <w:tcPr>
            <w:tcW w:w="452" w:type="pct"/>
            <w:vAlign w:val="center"/>
          </w:tcPr>
          <w:p w14:paraId="49A7D928">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达标</w:t>
            </w:r>
          </w:p>
        </w:tc>
      </w:tr>
      <w:tr w14:paraId="3994EE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5693B496">
            <w:pPr>
              <w:pStyle w:val="41"/>
              <w:jc w:val="center"/>
              <w:rPr>
                <w:rFonts w:hint="default" w:ascii="Times New Roman" w:hAnsi="Times New Roman" w:cs="Times New Roman"/>
                <w:color w:val="auto"/>
                <w:u w:val="none"/>
              </w:rPr>
            </w:pPr>
          </w:p>
        </w:tc>
        <w:tc>
          <w:tcPr>
            <w:tcW w:w="580" w:type="pct"/>
            <w:vAlign w:val="center"/>
          </w:tcPr>
          <w:p w14:paraId="5B39205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10</w:t>
            </w:r>
          </w:p>
        </w:tc>
        <w:tc>
          <w:tcPr>
            <w:tcW w:w="1079" w:type="pct"/>
            <w:vAlign w:val="center"/>
          </w:tcPr>
          <w:p w14:paraId="34AC5DCC">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年平均浓度</w:t>
            </w:r>
          </w:p>
        </w:tc>
        <w:tc>
          <w:tcPr>
            <w:tcW w:w="749" w:type="pct"/>
            <w:vAlign w:val="center"/>
          </w:tcPr>
          <w:p w14:paraId="6F9A31FF">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56</w:t>
            </w:r>
          </w:p>
        </w:tc>
        <w:tc>
          <w:tcPr>
            <w:tcW w:w="650" w:type="pct"/>
            <w:vAlign w:val="center"/>
          </w:tcPr>
          <w:p w14:paraId="1CC6CB8C">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70</w:t>
            </w:r>
          </w:p>
        </w:tc>
        <w:tc>
          <w:tcPr>
            <w:tcW w:w="641" w:type="pct"/>
            <w:vAlign w:val="center"/>
          </w:tcPr>
          <w:p w14:paraId="206BFA05">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80</w:t>
            </w:r>
          </w:p>
        </w:tc>
        <w:tc>
          <w:tcPr>
            <w:tcW w:w="452" w:type="pct"/>
            <w:vAlign w:val="center"/>
          </w:tcPr>
          <w:p w14:paraId="3299213B">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达标</w:t>
            </w:r>
          </w:p>
        </w:tc>
      </w:tr>
      <w:tr w14:paraId="0AADF1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0E0BAF46">
            <w:pPr>
              <w:pStyle w:val="41"/>
              <w:jc w:val="center"/>
              <w:rPr>
                <w:rFonts w:hint="default" w:ascii="Times New Roman" w:hAnsi="Times New Roman" w:cs="Times New Roman"/>
                <w:color w:val="auto"/>
                <w:u w:val="none"/>
              </w:rPr>
            </w:pPr>
          </w:p>
        </w:tc>
        <w:tc>
          <w:tcPr>
            <w:tcW w:w="580" w:type="pct"/>
            <w:vAlign w:val="center"/>
          </w:tcPr>
          <w:p w14:paraId="48DEAC2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2.5</w:t>
            </w:r>
          </w:p>
        </w:tc>
        <w:tc>
          <w:tcPr>
            <w:tcW w:w="1079" w:type="pct"/>
            <w:vAlign w:val="center"/>
          </w:tcPr>
          <w:p w14:paraId="3AB8CACE">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年平均浓度</w:t>
            </w:r>
          </w:p>
        </w:tc>
        <w:tc>
          <w:tcPr>
            <w:tcW w:w="749" w:type="pct"/>
            <w:vAlign w:val="center"/>
          </w:tcPr>
          <w:p w14:paraId="28326303">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36</w:t>
            </w:r>
          </w:p>
        </w:tc>
        <w:tc>
          <w:tcPr>
            <w:tcW w:w="650" w:type="pct"/>
            <w:vAlign w:val="center"/>
          </w:tcPr>
          <w:p w14:paraId="5C8644EB">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35</w:t>
            </w:r>
          </w:p>
        </w:tc>
        <w:tc>
          <w:tcPr>
            <w:tcW w:w="641" w:type="pct"/>
            <w:vAlign w:val="center"/>
          </w:tcPr>
          <w:p w14:paraId="729F006F">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102.86</w:t>
            </w:r>
          </w:p>
        </w:tc>
        <w:tc>
          <w:tcPr>
            <w:tcW w:w="452" w:type="pct"/>
            <w:vAlign w:val="center"/>
          </w:tcPr>
          <w:p w14:paraId="616210D5">
            <w:pPr>
              <w:pStyle w:val="41"/>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不</w:t>
            </w:r>
            <w:r>
              <w:rPr>
                <w:rFonts w:hint="default" w:ascii="Times New Roman" w:hAnsi="Times New Roman" w:cs="Times New Roman"/>
                <w:color w:val="auto"/>
                <w:u w:val="none"/>
                <w:lang w:val="en-US" w:eastAsia="zh-CN"/>
              </w:rPr>
              <w:t>达标</w:t>
            </w:r>
          </w:p>
        </w:tc>
      </w:tr>
      <w:tr w14:paraId="0FE9F2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19" w:hRule="atLeast"/>
          <w:jc w:val="center"/>
        </w:trPr>
        <w:tc>
          <w:tcPr>
            <w:tcW w:w="845" w:type="pct"/>
            <w:vMerge w:val="continue"/>
            <w:vAlign w:val="center"/>
          </w:tcPr>
          <w:p w14:paraId="6372064B">
            <w:pPr>
              <w:pStyle w:val="41"/>
              <w:jc w:val="center"/>
              <w:rPr>
                <w:rFonts w:hint="default" w:ascii="Times New Roman" w:hAnsi="Times New Roman" w:cs="Times New Roman"/>
                <w:color w:val="auto"/>
                <w:u w:val="none"/>
              </w:rPr>
            </w:pPr>
          </w:p>
        </w:tc>
        <w:tc>
          <w:tcPr>
            <w:tcW w:w="580" w:type="pct"/>
            <w:vAlign w:val="center"/>
          </w:tcPr>
          <w:p w14:paraId="64F0DCA4">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CO</w:t>
            </w:r>
          </w:p>
        </w:tc>
        <w:tc>
          <w:tcPr>
            <w:tcW w:w="1079" w:type="pct"/>
            <w:vAlign w:val="center"/>
          </w:tcPr>
          <w:p w14:paraId="3BC3AD22">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第95百分位数日平均浓度</w:t>
            </w:r>
          </w:p>
        </w:tc>
        <w:tc>
          <w:tcPr>
            <w:tcW w:w="749" w:type="pct"/>
            <w:vAlign w:val="center"/>
          </w:tcPr>
          <w:p w14:paraId="568F7265">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1100</w:t>
            </w:r>
          </w:p>
        </w:tc>
        <w:tc>
          <w:tcPr>
            <w:tcW w:w="650" w:type="pct"/>
            <w:vAlign w:val="center"/>
          </w:tcPr>
          <w:p w14:paraId="143B31E6">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4000</w:t>
            </w:r>
          </w:p>
        </w:tc>
        <w:tc>
          <w:tcPr>
            <w:tcW w:w="641" w:type="pct"/>
            <w:vAlign w:val="center"/>
          </w:tcPr>
          <w:p w14:paraId="3811E7AB">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27.5</w:t>
            </w:r>
          </w:p>
        </w:tc>
        <w:tc>
          <w:tcPr>
            <w:tcW w:w="452" w:type="pct"/>
            <w:vAlign w:val="center"/>
          </w:tcPr>
          <w:p w14:paraId="33F87795">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达标</w:t>
            </w:r>
          </w:p>
        </w:tc>
      </w:tr>
      <w:tr w14:paraId="029A5C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0" w:hRule="atLeast"/>
          <w:jc w:val="center"/>
        </w:trPr>
        <w:tc>
          <w:tcPr>
            <w:tcW w:w="845" w:type="pct"/>
            <w:vMerge w:val="continue"/>
            <w:vAlign w:val="center"/>
          </w:tcPr>
          <w:p w14:paraId="6D20F2EE">
            <w:pPr>
              <w:pStyle w:val="41"/>
              <w:jc w:val="center"/>
              <w:rPr>
                <w:rFonts w:hint="default" w:ascii="Times New Roman" w:hAnsi="Times New Roman" w:cs="Times New Roman"/>
                <w:color w:val="auto"/>
                <w:u w:val="none"/>
              </w:rPr>
            </w:pPr>
          </w:p>
        </w:tc>
        <w:tc>
          <w:tcPr>
            <w:tcW w:w="580" w:type="pct"/>
            <w:vAlign w:val="center"/>
          </w:tcPr>
          <w:p w14:paraId="1010E90A">
            <w:pPr>
              <w:pStyle w:val="41"/>
              <w:jc w:val="center"/>
              <w:rPr>
                <w:rFonts w:hint="default" w:ascii="Times New Roman" w:hAnsi="Times New Roman" w:cs="Times New Roman"/>
                <w:color w:val="auto"/>
                <w:u w:val="none"/>
                <w:lang w:eastAsia="en-US"/>
              </w:rPr>
            </w:pPr>
            <w:r>
              <w:rPr>
                <w:rFonts w:hint="default" w:ascii="Times New Roman" w:hAnsi="Times New Roman" w:cs="Times New Roman"/>
                <w:color w:val="auto"/>
                <w:u w:val="none"/>
                <w:lang w:eastAsia="en-US"/>
              </w:rPr>
              <w:t>O</w:t>
            </w:r>
            <w:r>
              <w:rPr>
                <w:rFonts w:hint="default" w:ascii="Times New Roman" w:hAnsi="Times New Roman" w:cs="Times New Roman"/>
                <w:color w:val="auto"/>
                <w:u w:val="none"/>
                <w:vertAlign w:val="subscript"/>
                <w:lang w:eastAsia="en-US"/>
              </w:rPr>
              <w:t>3</w:t>
            </w:r>
          </w:p>
        </w:tc>
        <w:tc>
          <w:tcPr>
            <w:tcW w:w="1079" w:type="pct"/>
            <w:vAlign w:val="center"/>
          </w:tcPr>
          <w:p w14:paraId="4056557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第90百分位数最大8h平均浓度</w:t>
            </w:r>
          </w:p>
        </w:tc>
        <w:tc>
          <w:tcPr>
            <w:tcW w:w="749" w:type="pct"/>
            <w:vAlign w:val="center"/>
          </w:tcPr>
          <w:p w14:paraId="569587D4">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149</w:t>
            </w:r>
          </w:p>
        </w:tc>
        <w:tc>
          <w:tcPr>
            <w:tcW w:w="650" w:type="pct"/>
            <w:vAlign w:val="center"/>
          </w:tcPr>
          <w:p w14:paraId="3EB82A44">
            <w:pPr>
              <w:pStyle w:val="41"/>
              <w:jc w:val="center"/>
              <w:rPr>
                <w:rFonts w:hint="default" w:ascii="Times New Roman" w:hAnsi="Times New Roman" w:cs="Times New Roman"/>
                <w:color w:val="auto"/>
                <w:u w:val="none"/>
                <w:lang w:eastAsia="en-US"/>
              </w:rPr>
            </w:pPr>
            <w:r>
              <w:rPr>
                <w:rFonts w:hint="eastAsia" w:ascii="Times New Roman" w:hAnsi="Times New Roman" w:cs="Times New Roman"/>
                <w:color w:val="auto"/>
                <w:u w:val="none"/>
                <w:lang w:val="en-US" w:eastAsia="zh-CN"/>
              </w:rPr>
              <w:t>160</w:t>
            </w:r>
          </w:p>
        </w:tc>
        <w:tc>
          <w:tcPr>
            <w:tcW w:w="641" w:type="pct"/>
            <w:vAlign w:val="center"/>
          </w:tcPr>
          <w:p w14:paraId="2D6F50F4">
            <w:pPr>
              <w:pStyle w:val="41"/>
              <w:jc w:val="center"/>
              <w:rPr>
                <w:rFonts w:hint="default" w:ascii="Times New Roman" w:hAnsi="Times New Roman" w:cs="Times New Roman"/>
                <w:color w:val="auto"/>
                <w:u w:val="none"/>
                <w:lang w:val="en-US" w:eastAsia="en-US"/>
              </w:rPr>
            </w:pPr>
            <w:r>
              <w:rPr>
                <w:rFonts w:hint="eastAsia" w:ascii="Times New Roman" w:hAnsi="Times New Roman" w:cs="Times New Roman"/>
                <w:color w:val="auto"/>
                <w:u w:val="none"/>
                <w:lang w:val="en-US" w:eastAsia="zh-CN"/>
              </w:rPr>
              <w:t>93.13</w:t>
            </w:r>
          </w:p>
        </w:tc>
        <w:tc>
          <w:tcPr>
            <w:tcW w:w="452" w:type="pct"/>
            <w:vAlign w:val="center"/>
          </w:tcPr>
          <w:p w14:paraId="7C880CEA">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bl>
    <w:p w14:paraId="02991639">
      <w:pPr>
        <w:ind w:firstLine="480"/>
        <w:rPr>
          <w:rFonts w:hint="default" w:ascii="Times New Roman" w:hAnsi="Times New Roman" w:cs="Times New Roman"/>
          <w:color w:val="auto"/>
          <w:szCs w:val="32"/>
          <w:u w:val="none"/>
        </w:rPr>
      </w:pPr>
      <w:r>
        <w:rPr>
          <w:rFonts w:hint="default" w:ascii="Times New Roman" w:hAnsi="Times New Roman" w:cs="Times New Roman"/>
          <w:color w:val="auto"/>
          <w:szCs w:val="32"/>
          <w:u w:val="none"/>
        </w:rPr>
        <w:t>由上表可知，项目所在区域的监测因子PM</w:t>
      </w:r>
      <w:r>
        <w:rPr>
          <w:rFonts w:hint="default" w:ascii="Times New Roman" w:hAnsi="Times New Roman" w:cs="Times New Roman"/>
          <w:color w:val="auto"/>
          <w:szCs w:val="32"/>
          <w:u w:val="none"/>
          <w:vertAlign w:val="subscript"/>
        </w:rPr>
        <w:t>2.5</w:t>
      </w:r>
      <w:r>
        <w:rPr>
          <w:rFonts w:hint="default" w:ascii="Times New Roman" w:hAnsi="Times New Roman" w:cs="Times New Roman"/>
          <w:color w:val="auto"/>
          <w:szCs w:val="32"/>
          <w:u w:val="none"/>
        </w:rPr>
        <w:t>未达到《环境空气质量标准》（GB3095-2012）二级标准要求。项目所在行政区域判定为不达标区。</w:t>
      </w:r>
    </w:p>
    <w:p w14:paraId="59F7EA0C">
      <w:pPr>
        <w:ind w:firstLine="480"/>
        <w:rPr>
          <w:rFonts w:hint="default" w:ascii="Times New Roman" w:hAnsi="Times New Roman" w:cs="Times New Roman"/>
          <w:color w:val="auto"/>
          <w:szCs w:val="32"/>
          <w:u w:val="none"/>
        </w:rPr>
      </w:pPr>
      <w:r>
        <w:rPr>
          <w:rFonts w:hint="default" w:ascii="Times New Roman" w:hAnsi="Times New Roman" w:cs="Times New Roman"/>
          <w:color w:val="auto"/>
          <w:szCs w:val="32"/>
          <w:u w:val="none"/>
        </w:rPr>
        <w:t>根据岳阳市生态环境保护委员会关于印发《岳阳市环境空气质量限期达标规划（2020-2026）》的通知（岳生环委发〔2020〕10号）可知，项目所在行政区在2026年底前实现空气质量6项主要污染物（包括PM</w:t>
      </w:r>
      <w:r>
        <w:rPr>
          <w:rFonts w:hint="default" w:ascii="Times New Roman" w:hAnsi="Times New Roman" w:cs="Times New Roman"/>
          <w:color w:val="auto"/>
          <w:szCs w:val="32"/>
          <w:u w:val="none"/>
          <w:vertAlign w:val="subscript"/>
        </w:rPr>
        <w:t>2.5</w:t>
      </w:r>
      <w:r>
        <w:rPr>
          <w:rFonts w:hint="default" w:ascii="Times New Roman" w:hAnsi="Times New Roman" w:cs="Times New Roman"/>
          <w:color w:val="auto"/>
          <w:szCs w:val="32"/>
          <w:u w:val="none"/>
        </w:rPr>
        <w:t>）全部达标。规划中说明，现有大气污染防治正在进行中，其中大气环境综合治理以及能力建设的不断增强，空气质量总体在逐步提升，但颗粒物污染、二氧化氮污染以及臭氧污染仍存在相应的问题，因此针对空气质量达标制定了总体策略，策略共分为两个阶段，第一阶段为2021年~2023年减排措施，第二阶段为2024年~2026年减排措施，随着限期达标</w:t>
      </w:r>
      <w:r>
        <w:rPr>
          <w:rFonts w:ascii="宋体" w:hAnsi="宋体" w:eastAsia="宋体" w:cs="宋体"/>
          <w:sz w:val="24"/>
          <w:szCs w:val="24"/>
        </w:rPr>
        <w:t>规划行动的开展，当地政府加大环境治理力度，项目所在地区环境空气质量将得到持续改善。</w:t>
      </w:r>
    </w:p>
    <w:p w14:paraId="41462B20">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环境空气质量现状监测与评价</w:t>
      </w:r>
    </w:p>
    <w:p w14:paraId="47291B1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根据第6.2.1可知，本次评价其他污染物监测数据引用《易亲工业科技（岳阳）有限公司年产1500万件消费类电子精密金属结构件和核心模组生产线(一期)项目</w:t>
      </w:r>
      <w:r>
        <w:rPr>
          <w:rFonts w:hint="eastAsia" w:ascii="Times New Roman" w:hAnsi="Times New Roman" w:cs="Times New Roman"/>
          <w:color w:val="auto"/>
          <w:u w:val="none"/>
          <w:lang w:val="en-US" w:eastAsia="zh-CN"/>
        </w:rPr>
        <w:t>环境影响报告书</w:t>
      </w:r>
      <w:r>
        <w:rPr>
          <w:rFonts w:hint="default" w:ascii="Times New Roman" w:hAnsi="Times New Roman" w:cs="Times New Roman"/>
          <w:color w:val="auto"/>
          <w:u w:val="none"/>
        </w:rPr>
        <w:t>》中的监测数据</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根据《环境影响评价技术导则 大气环境》(HJ2.2-2018)，中“可收集评价范围内近3年与本项目排放的其他污染物有关的历史监测资料”，故本项目引用《易亲工业科技（岳阳）有限公司年产1500万件消费类电子精密金属结构件和核心模组生产线(一期)项目</w:t>
      </w:r>
      <w:r>
        <w:rPr>
          <w:rFonts w:hint="eastAsia" w:ascii="Times New Roman" w:hAnsi="Times New Roman" w:cs="Times New Roman"/>
          <w:color w:val="auto"/>
          <w:u w:val="none"/>
          <w:lang w:val="en-US" w:eastAsia="zh-CN"/>
        </w:rPr>
        <w:t>环境影响报告书</w:t>
      </w:r>
      <w:r>
        <w:rPr>
          <w:rFonts w:hint="default" w:ascii="Times New Roman" w:hAnsi="Times New Roman" w:cs="Times New Roman"/>
          <w:color w:val="auto"/>
          <w:u w:val="none"/>
        </w:rPr>
        <w:t>》中的监测数据具有有效性。</w:t>
      </w:r>
    </w:p>
    <w:p w14:paraId="6C8622D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易亲工业科技（岳阳）有限公司委托湖南谱实检测技术有限公司于2022年6月20日~6月26日对项目区域特征因子进行监测，检测结果如下：</w:t>
      </w:r>
    </w:p>
    <w:p w14:paraId="06048C2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表5.2-2    其他污染物补充监测点位基本信息</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080"/>
        <w:gridCol w:w="698"/>
        <w:gridCol w:w="2060"/>
        <w:gridCol w:w="1446"/>
        <w:gridCol w:w="1259"/>
        <w:gridCol w:w="1186"/>
      </w:tblGrid>
      <w:tr w14:paraId="4FBC4A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32" w:type="pct"/>
            <w:vMerge w:val="restart"/>
            <w:vAlign w:val="center"/>
          </w:tcPr>
          <w:p w14:paraId="5E47824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监测点名称</w:t>
            </w:r>
          </w:p>
        </w:tc>
        <w:tc>
          <w:tcPr>
            <w:tcW w:w="981" w:type="pct"/>
            <w:gridSpan w:val="2"/>
            <w:vAlign w:val="center"/>
          </w:tcPr>
          <w:p w14:paraId="72777087">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监测点坐标/m</w:t>
            </w:r>
          </w:p>
        </w:tc>
        <w:tc>
          <w:tcPr>
            <w:tcW w:w="1137" w:type="pct"/>
            <w:vMerge w:val="restart"/>
            <w:vAlign w:val="center"/>
          </w:tcPr>
          <w:p w14:paraId="333FCA2F">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监测因子</w:t>
            </w:r>
          </w:p>
        </w:tc>
        <w:tc>
          <w:tcPr>
            <w:tcW w:w="798" w:type="pct"/>
            <w:vMerge w:val="restart"/>
            <w:vAlign w:val="center"/>
          </w:tcPr>
          <w:p w14:paraId="775E23A8">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监测时段</w:t>
            </w:r>
          </w:p>
        </w:tc>
        <w:tc>
          <w:tcPr>
            <w:tcW w:w="695" w:type="pct"/>
            <w:vMerge w:val="restart"/>
            <w:vAlign w:val="center"/>
          </w:tcPr>
          <w:p w14:paraId="04D9F4A4">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相对厂址方位</w:t>
            </w:r>
          </w:p>
        </w:tc>
        <w:tc>
          <w:tcPr>
            <w:tcW w:w="654" w:type="pct"/>
            <w:vMerge w:val="restart"/>
            <w:vAlign w:val="center"/>
          </w:tcPr>
          <w:p w14:paraId="5D5BEB6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相对厂界距离</w:t>
            </w:r>
          </w:p>
        </w:tc>
      </w:tr>
      <w:tr w14:paraId="21942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32" w:type="pct"/>
            <w:vMerge w:val="continue"/>
            <w:vAlign w:val="center"/>
          </w:tcPr>
          <w:p w14:paraId="09CA73A2">
            <w:pPr>
              <w:pStyle w:val="41"/>
              <w:rPr>
                <w:rFonts w:hint="default" w:ascii="Times New Roman" w:hAnsi="Times New Roman" w:cs="Times New Roman"/>
                <w:color w:val="auto"/>
                <w:kern w:val="2"/>
                <w:u w:val="none"/>
              </w:rPr>
            </w:pPr>
          </w:p>
        </w:tc>
        <w:tc>
          <w:tcPr>
            <w:tcW w:w="596" w:type="pct"/>
            <w:vAlign w:val="center"/>
          </w:tcPr>
          <w:p w14:paraId="4A310D5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X</w:t>
            </w:r>
          </w:p>
        </w:tc>
        <w:tc>
          <w:tcPr>
            <w:tcW w:w="385" w:type="pct"/>
            <w:vAlign w:val="center"/>
          </w:tcPr>
          <w:p w14:paraId="3261F9C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Y</w:t>
            </w:r>
          </w:p>
        </w:tc>
        <w:tc>
          <w:tcPr>
            <w:tcW w:w="1137" w:type="pct"/>
            <w:vMerge w:val="continue"/>
            <w:vAlign w:val="center"/>
          </w:tcPr>
          <w:p w14:paraId="4E7D8273">
            <w:pPr>
              <w:pStyle w:val="41"/>
              <w:rPr>
                <w:rFonts w:hint="default" w:ascii="Times New Roman" w:hAnsi="Times New Roman" w:cs="Times New Roman"/>
                <w:color w:val="auto"/>
                <w:kern w:val="2"/>
                <w:u w:val="none"/>
              </w:rPr>
            </w:pPr>
          </w:p>
        </w:tc>
        <w:tc>
          <w:tcPr>
            <w:tcW w:w="798" w:type="pct"/>
            <w:vMerge w:val="continue"/>
            <w:vAlign w:val="center"/>
          </w:tcPr>
          <w:p w14:paraId="53F5DB02">
            <w:pPr>
              <w:pStyle w:val="41"/>
              <w:rPr>
                <w:rFonts w:hint="default" w:ascii="Times New Roman" w:hAnsi="Times New Roman" w:cs="Times New Roman"/>
                <w:color w:val="auto"/>
                <w:kern w:val="2"/>
                <w:u w:val="none"/>
              </w:rPr>
            </w:pPr>
          </w:p>
        </w:tc>
        <w:tc>
          <w:tcPr>
            <w:tcW w:w="695" w:type="pct"/>
            <w:vMerge w:val="continue"/>
            <w:vAlign w:val="center"/>
          </w:tcPr>
          <w:p w14:paraId="6E05335C">
            <w:pPr>
              <w:pStyle w:val="41"/>
              <w:rPr>
                <w:rFonts w:hint="default" w:ascii="Times New Roman" w:hAnsi="Times New Roman" w:cs="Times New Roman"/>
                <w:color w:val="auto"/>
                <w:kern w:val="2"/>
                <w:u w:val="none"/>
              </w:rPr>
            </w:pPr>
          </w:p>
        </w:tc>
        <w:tc>
          <w:tcPr>
            <w:tcW w:w="654" w:type="pct"/>
            <w:vMerge w:val="continue"/>
            <w:vAlign w:val="center"/>
          </w:tcPr>
          <w:p w14:paraId="05656666">
            <w:pPr>
              <w:pStyle w:val="41"/>
              <w:rPr>
                <w:rFonts w:hint="default" w:ascii="Times New Roman" w:hAnsi="Times New Roman" w:cs="Times New Roman"/>
                <w:color w:val="auto"/>
                <w:kern w:val="2"/>
                <w:u w:val="none"/>
              </w:rPr>
            </w:pPr>
          </w:p>
        </w:tc>
      </w:tr>
      <w:tr w14:paraId="3B67B4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32" w:type="pct"/>
            <w:vAlign w:val="center"/>
          </w:tcPr>
          <w:p w14:paraId="0C7481D4">
            <w:pPr>
              <w:spacing w:line="240" w:lineRule="auto"/>
              <w:ind w:firstLine="0" w:firstLineChars="0"/>
              <w:jc w:val="center"/>
              <w:rPr>
                <w:rFonts w:hint="default" w:ascii="Times New Roman" w:hAnsi="Times New Roman" w:cs="Times New Roman"/>
                <w:color w:val="auto"/>
                <w:u w:val="none"/>
              </w:rPr>
            </w:pPr>
            <w:r>
              <w:rPr>
                <w:rFonts w:hint="default" w:ascii="Times New Roman" w:hAnsi="Times New Roman" w:cs="Times New Roman"/>
                <w:color w:val="auto"/>
                <w:sz w:val="21"/>
                <w:szCs w:val="21"/>
                <w:u w:val="none"/>
              </w:rPr>
              <w:t>厂址</w:t>
            </w:r>
          </w:p>
        </w:tc>
        <w:tc>
          <w:tcPr>
            <w:tcW w:w="596" w:type="pct"/>
            <w:vAlign w:val="center"/>
          </w:tcPr>
          <w:p w14:paraId="1D631D2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385" w:type="pct"/>
            <w:vAlign w:val="center"/>
          </w:tcPr>
          <w:p w14:paraId="3897759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1137" w:type="pct"/>
            <w:vAlign w:val="center"/>
          </w:tcPr>
          <w:p w14:paraId="219BE16F">
            <w:pPr>
              <w:pStyle w:val="41"/>
              <w:rPr>
                <w:rFonts w:hint="default" w:ascii="Times New Roman" w:hAnsi="Times New Roman" w:eastAsia="Calibri" w:cs="Times New Roman"/>
                <w:color w:val="auto"/>
                <w:kern w:val="2"/>
                <w:u w:val="none"/>
              </w:rPr>
            </w:pPr>
            <w:r>
              <w:rPr>
                <w:rFonts w:hint="default" w:ascii="Times New Roman" w:hAnsi="Times New Roman" w:eastAsia="Calibri" w:cs="Times New Roman"/>
                <w:color w:val="auto"/>
                <w:kern w:val="2"/>
                <w:u w:val="none"/>
              </w:rPr>
              <w:t>VOC、NMHC、TSP、硫酸雾、臭气浓度</w:t>
            </w:r>
          </w:p>
        </w:tc>
        <w:tc>
          <w:tcPr>
            <w:tcW w:w="798" w:type="pct"/>
            <w:vMerge w:val="restart"/>
            <w:vAlign w:val="center"/>
          </w:tcPr>
          <w:p w14:paraId="33E1C47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2022年6月20日~6月26日</w:t>
            </w:r>
          </w:p>
        </w:tc>
        <w:tc>
          <w:tcPr>
            <w:tcW w:w="695" w:type="pct"/>
            <w:vAlign w:val="center"/>
          </w:tcPr>
          <w:p w14:paraId="6A05C0B5">
            <w:pPr>
              <w:pStyle w:val="41"/>
              <w:rPr>
                <w:rFonts w:hint="default" w:ascii="Times New Roman" w:hAnsi="Times New Roman" w:eastAsia="Calibri" w:cs="Times New Roman"/>
                <w:color w:val="auto"/>
                <w:kern w:val="2"/>
                <w:u w:val="none"/>
              </w:rPr>
            </w:pPr>
            <w:r>
              <w:rPr>
                <w:rFonts w:hint="default" w:ascii="Times New Roman" w:hAnsi="Times New Roman" w:cs="Times New Roman"/>
                <w:color w:val="auto"/>
                <w:kern w:val="2"/>
                <w:u w:val="none"/>
              </w:rPr>
              <w:t>/</w:t>
            </w:r>
          </w:p>
        </w:tc>
        <w:tc>
          <w:tcPr>
            <w:tcW w:w="654" w:type="pct"/>
            <w:vAlign w:val="center"/>
          </w:tcPr>
          <w:p w14:paraId="473D707B">
            <w:pPr>
              <w:pStyle w:val="41"/>
              <w:rPr>
                <w:rFonts w:hint="default" w:ascii="Times New Roman" w:hAnsi="Times New Roman" w:eastAsia="Calibri" w:cs="Times New Roman"/>
                <w:color w:val="auto"/>
                <w:kern w:val="2"/>
                <w:u w:val="none"/>
              </w:rPr>
            </w:pPr>
            <w:r>
              <w:rPr>
                <w:rFonts w:hint="default" w:ascii="Times New Roman" w:hAnsi="Times New Roman" w:cs="Times New Roman"/>
                <w:color w:val="auto"/>
                <w:kern w:val="2"/>
                <w:u w:val="none"/>
              </w:rPr>
              <w:t>/</w:t>
            </w:r>
          </w:p>
        </w:tc>
      </w:tr>
      <w:tr w14:paraId="5BF95C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32" w:type="pct"/>
            <w:vAlign w:val="center"/>
          </w:tcPr>
          <w:p w14:paraId="24F88A44">
            <w:pPr>
              <w:spacing w:line="240" w:lineRule="auto"/>
              <w:ind w:firstLine="0" w:firstLineChars="0"/>
              <w:jc w:val="center"/>
              <w:rPr>
                <w:rFonts w:hint="default" w:ascii="Times New Roman" w:hAnsi="Times New Roman" w:cs="Times New Roman"/>
                <w:color w:val="auto"/>
                <w:u w:val="none"/>
              </w:rPr>
            </w:pPr>
            <w:r>
              <w:rPr>
                <w:rFonts w:hint="default" w:ascii="Times New Roman" w:hAnsi="Times New Roman" w:cs="Times New Roman"/>
                <w:color w:val="auto"/>
                <w:sz w:val="21"/>
                <w:szCs w:val="21"/>
                <w:u w:val="none"/>
              </w:rPr>
              <w:t>擂鼓台村</w:t>
            </w:r>
          </w:p>
        </w:tc>
        <w:tc>
          <w:tcPr>
            <w:tcW w:w="596" w:type="pct"/>
            <w:vAlign w:val="center"/>
          </w:tcPr>
          <w:p w14:paraId="404B29E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1101</w:t>
            </w:r>
          </w:p>
        </w:tc>
        <w:tc>
          <w:tcPr>
            <w:tcW w:w="385" w:type="pct"/>
            <w:vAlign w:val="center"/>
          </w:tcPr>
          <w:p w14:paraId="45C55C6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1312</w:t>
            </w:r>
          </w:p>
        </w:tc>
        <w:tc>
          <w:tcPr>
            <w:tcW w:w="1137" w:type="pct"/>
            <w:vAlign w:val="center"/>
          </w:tcPr>
          <w:p w14:paraId="06345FF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VOC、NMHC、TSP、硫酸雾、臭气浓度</w:t>
            </w:r>
          </w:p>
        </w:tc>
        <w:tc>
          <w:tcPr>
            <w:tcW w:w="798" w:type="pct"/>
            <w:vMerge w:val="continue"/>
            <w:vAlign w:val="center"/>
          </w:tcPr>
          <w:p w14:paraId="1A4AE486">
            <w:pPr>
              <w:pStyle w:val="41"/>
              <w:rPr>
                <w:rFonts w:hint="default" w:ascii="Times New Roman" w:hAnsi="Times New Roman" w:cs="Times New Roman"/>
                <w:color w:val="auto"/>
                <w:kern w:val="2"/>
                <w:u w:val="none"/>
              </w:rPr>
            </w:pPr>
          </w:p>
        </w:tc>
        <w:tc>
          <w:tcPr>
            <w:tcW w:w="695" w:type="pct"/>
            <w:vAlign w:val="center"/>
          </w:tcPr>
          <w:p w14:paraId="44AD0C6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西南侧1</w:t>
            </w:r>
            <w:r>
              <w:rPr>
                <w:rFonts w:hint="eastAsia" w:cs="Times New Roman"/>
                <w:color w:val="auto"/>
                <w:kern w:val="2"/>
                <w:u w:val="none"/>
                <w:lang w:val="en-US" w:eastAsia="zh-CN"/>
              </w:rPr>
              <w:t>6</w:t>
            </w:r>
            <w:r>
              <w:rPr>
                <w:rFonts w:hint="default" w:ascii="Times New Roman" w:hAnsi="Times New Roman" w:cs="Times New Roman"/>
                <w:color w:val="auto"/>
                <w:kern w:val="2"/>
                <w:u w:val="none"/>
              </w:rPr>
              <w:t>00m</w:t>
            </w:r>
          </w:p>
        </w:tc>
        <w:tc>
          <w:tcPr>
            <w:tcW w:w="654" w:type="pct"/>
            <w:vAlign w:val="center"/>
          </w:tcPr>
          <w:p w14:paraId="791848D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r>
              <w:rPr>
                <w:rFonts w:hint="eastAsia" w:cs="Times New Roman"/>
                <w:color w:val="auto"/>
                <w:kern w:val="2"/>
                <w:u w:val="none"/>
                <w:lang w:val="en-US" w:eastAsia="zh-CN"/>
              </w:rPr>
              <w:t>6</w:t>
            </w:r>
            <w:r>
              <w:rPr>
                <w:rFonts w:hint="default" w:ascii="Times New Roman" w:hAnsi="Times New Roman" w:cs="Times New Roman"/>
                <w:color w:val="auto"/>
                <w:kern w:val="2"/>
                <w:u w:val="none"/>
              </w:rPr>
              <w:t>00m</w:t>
            </w:r>
          </w:p>
        </w:tc>
      </w:tr>
    </w:tbl>
    <w:p w14:paraId="42ED3C0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表5.2-3</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其他污染物环境质量现状（监测结果）表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86"/>
        <w:gridCol w:w="776"/>
        <w:gridCol w:w="780"/>
        <w:gridCol w:w="1354"/>
        <w:gridCol w:w="1163"/>
        <w:gridCol w:w="1163"/>
        <w:gridCol w:w="1110"/>
        <w:gridCol w:w="861"/>
        <w:gridCol w:w="764"/>
      </w:tblGrid>
      <w:tr w14:paraId="08887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restart"/>
            <w:vAlign w:val="center"/>
          </w:tcPr>
          <w:p w14:paraId="75ABD0FF">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点位名称</w:t>
            </w:r>
          </w:p>
        </w:tc>
        <w:tc>
          <w:tcPr>
            <w:tcW w:w="866" w:type="pct"/>
            <w:gridSpan w:val="2"/>
            <w:vAlign w:val="center"/>
          </w:tcPr>
          <w:p w14:paraId="74F0130A">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监测点坐标/m</w:t>
            </w:r>
          </w:p>
        </w:tc>
        <w:tc>
          <w:tcPr>
            <w:tcW w:w="751" w:type="pct"/>
            <w:vMerge w:val="restart"/>
            <w:vAlign w:val="center"/>
          </w:tcPr>
          <w:p w14:paraId="54867D23">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w:t>
            </w:r>
          </w:p>
        </w:tc>
        <w:tc>
          <w:tcPr>
            <w:tcW w:w="622" w:type="pct"/>
            <w:vMerge w:val="restart"/>
            <w:vAlign w:val="center"/>
          </w:tcPr>
          <w:p w14:paraId="735437D1">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评价标准/（</w:t>
            </w:r>
            <w:r>
              <w:rPr>
                <w:rFonts w:hint="default" w:ascii="Times New Roman" w:hAnsi="Times New Roman" w:cs="Times New Roman"/>
                <w:b/>
                <w:bCs/>
                <w:color w:val="auto"/>
                <w:u w:val="none"/>
              </w:rPr>
              <w:t>μ</w:t>
            </w:r>
            <w:r>
              <w:rPr>
                <w:rFonts w:hint="default" w:ascii="Times New Roman" w:hAnsi="Times New Roman" w:cs="Times New Roman"/>
                <w:b/>
                <w:bCs/>
                <w:color w:val="auto"/>
                <w:kern w:val="2"/>
                <w:u w:val="none"/>
              </w:rPr>
              <w:t>g/m</w:t>
            </w:r>
            <w:r>
              <w:rPr>
                <w:rFonts w:hint="default" w:ascii="Times New Roman" w:hAnsi="Times New Roman" w:cs="Times New Roman"/>
                <w:b/>
                <w:bCs/>
                <w:color w:val="auto"/>
                <w:kern w:val="2"/>
                <w:u w:val="none"/>
                <w:vertAlign w:val="superscript"/>
              </w:rPr>
              <w:t>3</w:t>
            </w:r>
            <w:r>
              <w:rPr>
                <w:rFonts w:hint="default" w:ascii="Times New Roman" w:hAnsi="Times New Roman" w:cs="Times New Roman"/>
                <w:b/>
                <w:bCs/>
                <w:color w:val="auto"/>
                <w:kern w:val="2"/>
                <w:u w:val="none"/>
              </w:rPr>
              <w:t>）</w:t>
            </w:r>
          </w:p>
        </w:tc>
        <w:tc>
          <w:tcPr>
            <w:tcW w:w="634" w:type="pct"/>
            <w:vMerge w:val="restart"/>
            <w:vAlign w:val="center"/>
          </w:tcPr>
          <w:p w14:paraId="5EAC6827">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u w:val="none"/>
              </w:rPr>
              <w:t>现状浓度/（μg/m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w:t>
            </w:r>
          </w:p>
        </w:tc>
        <w:tc>
          <w:tcPr>
            <w:tcW w:w="616" w:type="pct"/>
            <w:vMerge w:val="restart"/>
            <w:vAlign w:val="center"/>
          </w:tcPr>
          <w:p w14:paraId="247268A3">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最大超标倍数%</w:t>
            </w:r>
          </w:p>
        </w:tc>
        <w:tc>
          <w:tcPr>
            <w:tcW w:w="479" w:type="pct"/>
            <w:vMerge w:val="restart"/>
            <w:vAlign w:val="center"/>
          </w:tcPr>
          <w:p w14:paraId="5F8FAD49">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超标率/%</w:t>
            </w:r>
          </w:p>
        </w:tc>
        <w:tc>
          <w:tcPr>
            <w:tcW w:w="425" w:type="pct"/>
            <w:vMerge w:val="restart"/>
            <w:vAlign w:val="center"/>
          </w:tcPr>
          <w:p w14:paraId="1E14A5BA">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达标情况</w:t>
            </w:r>
          </w:p>
        </w:tc>
      </w:tr>
      <w:tr w14:paraId="1411D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7500BE3C">
            <w:pPr>
              <w:pStyle w:val="41"/>
              <w:jc w:val="center"/>
              <w:rPr>
                <w:rFonts w:hint="default" w:ascii="Times New Roman" w:hAnsi="Times New Roman" w:cs="Times New Roman"/>
                <w:color w:val="auto"/>
                <w:kern w:val="2"/>
                <w:u w:val="none"/>
              </w:rPr>
            </w:pPr>
          </w:p>
        </w:tc>
        <w:tc>
          <w:tcPr>
            <w:tcW w:w="432" w:type="pct"/>
            <w:vAlign w:val="center"/>
          </w:tcPr>
          <w:p w14:paraId="49975C19">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X</w:t>
            </w:r>
          </w:p>
        </w:tc>
        <w:tc>
          <w:tcPr>
            <w:tcW w:w="433" w:type="pct"/>
            <w:vAlign w:val="center"/>
          </w:tcPr>
          <w:p w14:paraId="0E98C159">
            <w:pPr>
              <w:pStyle w:val="41"/>
              <w:jc w:val="center"/>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Y</w:t>
            </w:r>
          </w:p>
        </w:tc>
        <w:tc>
          <w:tcPr>
            <w:tcW w:w="751" w:type="pct"/>
            <w:vMerge w:val="continue"/>
            <w:vAlign w:val="center"/>
          </w:tcPr>
          <w:p w14:paraId="74C37387">
            <w:pPr>
              <w:pStyle w:val="41"/>
              <w:jc w:val="center"/>
              <w:rPr>
                <w:rFonts w:hint="default" w:ascii="Times New Roman" w:hAnsi="Times New Roman" w:cs="Times New Roman"/>
                <w:color w:val="auto"/>
                <w:kern w:val="2"/>
                <w:u w:val="none"/>
              </w:rPr>
            </w:pPr>
          </w:p>
        </w:tc>
        <w:tc>
          <w:tcPr>
            <w:tcW w:w="622" w:type="pct"/>
            <w:vMerge w:val="continue"/>
            <w:vAlign w:val="center"/>
          </w:tcPr>
          <w:p w14:paraId="6FFC890A">
            <w:pPr>
              <w:pStyle w:val="41"/>
              <w:jc w:val="center"/>
              <w:rPr>
                <w:rFonts w:hint="default" w:ascii="Times New Roman" w:hAnsi="Times New Roman" w:cs="Times New Roman"/>
                <w:color w:val="auto"/>
                <w:kern w:val="2"/>
                <w:u w:val="none"/>
              </w:rPr>
            </w:pPr>
          </w:p>
        </w:tc>
        <w:tc>
          <w:tcPr>
            <w:tcW w:w="634" w:type="pct"/>
            <w:vMerge w:val="continue"/>
            <w:vAlign w:val="center"/>
          </w:tcPr>
          <w:p w14:paraId="5052DD45">
            <w:pPr>
              <w:pStyle w:val="41"/>
              <w:jc w:val="center"/>
              <w:rPr>
                <w:rFonts w:hint="default" w:ascii="Times New Roman" w:hAnsi="Times New Roman" w:cs="Times New Roman"/>
                <w:color w:val="auto"/>
                <w:kern w:val="2"/>
                <w:u w:val="none"/>
              </w:rPr>
            </w:pPr>
          </w:p>
        </w:tc>
        <w:tc>
          <w:tcPr>
            <w:tcW w:w="616" w:type="pct"/>
            <w:vMerge w:val="continue"/>
            <w:vAlign w:val="center"/>
          </w:tcPr>
          <w:p w14:paraId="4D60F584">
            <w:pPr>
              <w:pStyle w:val="41"/>
              <w:jc w:val="center"/>
              <w:rPr>
                <w:rFonts w:hint="default" w:ascii="Times New Roman" w:hAnsi="Times New Roman" w:cs="Times New Roman"/>
                <w:color w:val="auto"/>
                <w:kern w:val="2"/>
                <w:u w:val="none"/>
              </w:rPr>
            </w:pPr>
          </w:p>
        </w:tc>
        <w:tc>
          <w:tcPr>
            <w:tcW w:w="479" w:type="pct"/>
            <w:vMerge w:val="continue"/>
            <w:vAlign w:val="center"/>
          </w:tcPr>
          <w:p w14:paraId="1E2636AE">
            <w:pPr>
              <w:pStyle w:val="41"/>
              <w:jc w:val="center"/>
              <w:rPr>
                <w:rFonts w:hint="default" w:ascii="Times New Roman" w:hAnsi="Times New Roman" w:cs="Times New Roman"/>
                <w:color w:val="auto"/>
                <w:kern w:val="2"/>
                <w:u w:val="none"/>
              </w:rPr>
            </w:pPr>
          </w:p>
        </w:tc>
        <w:tc>
          <w:tcPr>
            <w:tcW w:w="425" w:type="pct"/>
            <w:vMerge w:val="continue"/>
            <w:vAlign w:val="center"/>
          </w:tcPr>
          <w:p w14:paraId="48EEE98F">
            <w:pPr>
              <w:pStyle w:val="41"/>
              <w:jc w:val="center"/>
              <w:rPr>
                <w:rFonts w:hint="default" w:ascii="Times New Roman" w:hAnsi="Times New Roman" w:cs="Times New Roman"/>
                <w:color w:val="auto"/>
                <w:kern w:val="2"/>
                <w:u w:val="none"/>
              </w:rPr>
            </w:pPr>
          </w:p>
        </w:tc>
      </w:tr>
      <w:tr w14:paraId="43BAB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restart"/>
            <w:vAlign w:val="center"/>
          </w:tcPr>
          <w:p w14:paraId="4AF9CCA8">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A1厂址</w:t>
            </w:r>
          </w:p>
        </w:tc>
        <w:tc>
          <w:tcPr>
            <w:tcW w:w="432" w:type="pct"/>
            <w:vMerge w:val="restart"/>
            <w:vAlign w:val="center"/>
          </w:tcPr>
          <w:p w14:paraId="76F2CBB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33" w:type="pct"/>
            <w:vMerge w:val="restart"/>
            <w:vAlign w:val="center"/>
          </w:tcPr>
          <w:p w14:paraId="573CEED6">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751" w:type="pct"/>
            <w:vAlign w:val="center"/>
          </w:tcPr>
          <w:p w14:paraId="6023AD81">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臭气浓度</w:t>
            </w:r>
          </w:p>
        </w:tc>
        <w:tc>
          <w:tcPr>
            <w:tcW w:w="622" w:type="pct"/>
            <w:vAlign w:val="center"/>
          </w:tcPr>
          <w:p w14:paraId="3EE5F39D">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634" w:type="pct"/>
            <w:vAlign w:val="center"/>
          </w:tcPr>
          <w:p w14:paraId="724B4A76">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ND</w:t>
            </w:r>
          </w:p>
        </w:tc>
        <w:tc>
          <w:tcPr>
            <w:tcW w:w="616" w:type="pct"/>
            <w:vAlign w:val="center"/>
          </w:tcPr>
          <w:p w14:paraId="27436A18">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479" w:type="pct"/>
            <w:vAlign w:val="center"/>
          </w:tcPr>
          <w:p w14:paraId="3B98EBF6">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425" w:type="pct"/>
            <w:vAlign w:val="center"/>
          </w:tcPr>
          <w:p w14:paraId="3E4A78D3">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3D7826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01A3217A">
            <w:pPr>
              <w:pStyle w:val="41"/>
              <w:jc w:val="center"/>
              <w:rPr>
                <w:rFonts w:hint="default" w:ascii="Times New Roman" w:hAnsi="Times New Roman" w:cs="Times New Roman"/>
                <w:color w:val="auto"/>
                <w:kern w:val="2"/>
                <w:u w:val="none"/>
              </w:rPr>
            </w:pPr>
          </w:p>
        </w:tc>
        <w:tc>
          <w:tcPr>
            <w:tcW w:w="432" w:type="pct"/>
            <w:vMerge w:val="continue"/>
            <w:vAlign w:val="center"/>
          </w:tcPr>
          <w:p w14:paraId="28D26E1D">
            <w:pPr>
              <w:pStyle w:val="41"/>
              <w:jc w:val="center"/>
              <w:rPr>
                <w:rFonts w:hint="default" w:ascii="Times New Roman" w:hAnsi="Times New Roman" w:cs="Times New Roman"/>
                <w:color w:val="auto"/>
                <w:kern w:val="2"/>
                <w:u w:val="none"/>
              </w:rPr>
            </w:pPr>
          </w:p>
        </w:tc>
        <w:tc>
          <w:tcPr>
            <w:tcW w:w="433" w:type="pct"/>
            <w:vMerge w:val="continue"/>
            <w:vAlign w:val="center"/>
          </w:tcPr>
          <w:p w14:paraId="12A802FB">
            <w:pPr>
              <w:pStyle w:val="41"/>
              <w:jc w:val="center"/>
              <w:rPr>
                <w:rFonts w:hint="default" w:ascii="Times New Roman" w:hAnsi="Times New Roman" w:cs="Times New Roman"/>
                <w:color w:val="auto"/>
                <w:kern w:val="2"/>
                <w:u w:val="none"/>
              </w:rPr>
            </w:pPr>
          </w:p>
        </w:tc>
        <w:tc>
          <w:tcPr>
            <w:tcW w:w="751" w:type="pct"/>
            <w:vAlign w:val="center"/>
          </w:tcPr>
          <w:p w14:paraId="459D6EB3">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TVOC</w:t>
            </w:r>
          </w:p>
        </w:tc>
        <w:tc>
          <w:tcPr>
            <w:tcW w:w="622" w:type="pct"/>
            <w:vAlign w:val="center"/>
          </w:tcPr>
          <w:p w14:paraId="0CD59884">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600</w:t>
            </w:r>
          </w:p>
        </w:tc>
        <w:tc>
          <w:tcPr>
            <w:tcW w:w="634" w:type="pct"/>
            <w:vAlign w:val="center"/>
          </w:tcPr>
          <w:p w14:paraId="243BB173">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89.1-106</w:t>
            </w:r>
          </w:p>
        </w:tc>
        <w:tc>
          <w:tcPr>
            <w:tcW w:w="616" w:type="pct"/>
            <w:vAlign w:val="center"/>
          </w:tcPr>
          <w:p w14:paraId="20CB4EBA">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5683B3EB">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720BF217">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37F28B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263A44CE">
            <w:pPr>
              <w:pStyle w:val="41"/>
              <w:jc w:val="center"/>
              <w:rPr>
                <w:rFonts w:hint="default" w:ascii="Times New Roman" w:hAnsi="Times New Roman" w:cs="Times New Roman"/>
                <w:color w:val="auto"/>
                <w:kern w:val="2"/>
                <w:u w:val="none"/>
              </w:rPr>
            </w:pPr>
          </w:p>
        </w:tc>
        <w:tc>
          <w:tcPr>
            <w:tcW w:w="432" w:type="pct"/>
            <w:vMerge w:val="continue"/>
            <w:vAlign w:val="center"/>
          </w:tcPr>
          <w:p w14:paraId="40B70EF9">
            <w:pPr>
              <w:pStyle w:val="41"/>
              <w:jc w:val="center"/>
              <w:rPr>
                <w:rFonts w:hint="default" w:ascii="Times New Roman" w:hAnsi="Times New Roman" w:cs="Times New Roman"/>
                <w:color w:val="auto"/>
                <w:kern w:val="2"/>
                <w:u w:val="none"/>
              </w:rPr>
            </w:pPr>
          </w:p>
        </w:tc>
        <w:tc>
          <w:tcPr>
            <w:tcW w:w="433" w:type="pct"/>
            <w:vMerge w:val="continue"/>
            <w:vAlign w:val="center"/>
          </w:tcPr>
          <w:p w14:paraId="63C4EC16">
            <w:pPr>
              <w:pStyle w:val="41"/>
              <w:jc w:val="center"/>
              <w:rPr>
                <w:rFonts w:hint="default" w:ascii="Times New Roman" w:hAnsi="Times New Roman" w:cs="Times New Roman"/>
                <w:color w:val="auto"/>
                <w:kern w:val="2"/>
                <w:u w:val="none"/>
              </w:rPr>
            </w:pPr>
          </w:p>
        </w:tc>
        <w:tc>
          <w:tcPr>
            <w:tcW w:w="751" w:type="pct"/>
            <w:vAlign w:val="center"/>
          </w:tcPr>
          <w:p w14:paraId="17738C9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TSP</w:t>
            </w:r>
          </w:p>
        </w:tc>
        <w:tc>
          <w:tcPr>
            <w:tcW w:w="622" w:type="pct"/>
            <w:vAlign w:val="center"/>
          </w:tcPr>
          <w:p w14:paraId="0F67D75B">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634" w:type="pct"/>
            <w:vAlign w:val="center"/>
          </w:tcPr>
          <w:p w14:paraId="7DCBDD33">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109-123</w:t>
            </w:r>
          </w:p>
        </w:tc>
        <w:tc>
          <w:tcPr>
            <w:tcW w:w="616" w:type="pct"/>
            <w:vAlign w:val="center"/>
          </w:tcPr>
          <w:p w14:paraId="704ED4FD">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727C564B">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6E2AADAB">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32322A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7C2FA7A4">
            <w:pPr>
              <w:pStyle w:val="41"/>
              <w:jc w:val="center"/>
              <w:rPr>
                <w:rFonts w:hint="default" w:ascii="Times New Roman" w:hAnsi="Times New Roman" w:cs="Times New Roman"/>
                <w:color w:val="auto"/>
                <w:kern w:val="2"/>
                <w:u w:val="none"/>
              </w:rPr>
            </w:pPr>
          </w:p>
        </w:tc>
        <w:tc>
          <w:tcPr>
            <w:tcW w:w="432" w:type="pct"/>
            <w:vMerge w:val="continue"/>
            <w:vAlign w:val="center"/>
          </w:tcPr>
          <w:p w14:paraId="003A6C18">
            <w:pPr>
              <w:pStyle w:val="41"/>
              <w:jc w:val="center"/>
              <w:rPr>
                <w:rFonts w:hint="default" w:ascii="Times New Roman" w:hAnsi="Times New Roman" w:cs="Times New Roman"/>
                <w:color w:val="auto"/>
                <w:kern w:val="2"/>
                <w:u w:val="none"/>
              </w:rPr>
            </w:pPr>
          </w:p>
        </w:tc>
        <w:tc>
          <w:tcPr>
            <w:tcW w:w="433" w:type="pct"/>
            <w:vMerge w:val="continue"/>
            <w:vAlign w:val="center"/>
          </w:tcPr>
          <w:p w14:paraId="75E6332A">
            <w:pPr>
              <w:pStyle w:val="41"/>
              <w:jc w:val="center"/>
              <w:rPr>
                <w:rFonts w:hint="default" w:ascii="Times New Roman" w:hAnsi="Times New Roman" w:cs="Times New Roman"/>
                <w:color w:val="auto"/>
                <w:kern w:val="2"/>
                <w:u w:val="none"/>
              </w:rPr>
            </w:pPr>
          </w:p>
        </w:tc>
        <w:tc>
          <w:tcPr>
            <w:tcW w:w="751" w:type="pct"/>
            <w:vAlign w:val="center"/>
          </w:tcPr>
          <w:p w14:paraId="173DB73E">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非甲烷总烃</w:t>
            </w:r>
          </w:p>
        </w:tc>
        <w:tc>
          <w:tcPr>
            <w:tcW w:w="622" w:type="pct"/>
            <w:vAlign w:val="center"/>
          </w:tcPr>
          <w:p w14:paraId="0FF04CAC">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2000</w:t>
            </w:r>
          </w:p>
        </w:tc>
        <w:tc>
          <w:tcPr>
            <w:tcW w:w="634" w:type="pct"/>
            <w:vAlign w:val="center"/>
          </w:tcPr>
          <w:p w14:paraId="54C85A82">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210-310</w:t>
            </w:r>
          </w:p>
        </w:tc>
        <w:tc>
          <w:tcPr>
            <w:tcW w:w="616" w:type="pct"/>
            <w:vAlign w:val="center"/>
          </w:tcPr>
          <w:p w14:paraId="719F993D">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04029368">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06793044">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13EBB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70F89820">
            <w:pPr>
              <w:pStyle w:val="41"/>
              <w:jc w:val="center"/>
              <w:rPr>
                <w:rFonts w:hint="default" w:ascii="Times New Roman" w:hAnsi="Times New Roman" w:cs="Times New Roman"/>
                <w:color w:val="auto"/>
                <w:kern w:val="2"/>
                <w:u w:val="none"/>
              </w:rPr>
            </w:pPr>
          </w:p>
        </w:tc>
        <w:tc>
          <w:tcPr>
            <w:tcW w:w="432" w:type="pct"/>
            <w:vMerge w:val="continue"/>
            <w:vAlign w:val="center"/>
          </w:tcPr>
          <w:p w14:paraId="1EA88E8F">
            <w:pPr>
              <w:pStyle w:val="41"/>
              <w:jc w:val="center"/>
              <w:rPr>
                <w:rFonts w:hint="default" w:ascii="Times New Roman" w:hAnsi="Times New Roman" w:cs="Times New Roman"/>
                <w:color w:val="auto"/>
                <w:kern w:val="2"/>
                <w:u w:val="none"/>
              </w:rPr>
            </w:pPr>
          </w:p>
        </w:tc>
        <w:tc>
          <w:tcPr>
            <w:tcW w:w="433" w:type="pct"/>
            <w:vMerge w:val="continue"/>
            <w:vAlign w:val="center"/>
          </w:tcPr>
          <w:p w14:paraId="0AA17E12">
            <w:pPr>
              <w:pStyle w:val="41"/>
              <w:jc w:val="center"/>
              <w:rPr>
                <w:rFonts w:hint="default" w:ascii="Times New Roman" w:hAnsi="Times New Roman" w:cs="Times New Roman"/>
                <w:color w:val="auto"/>
                <w:kern w:val="2"/>
                <w:u w:val="none"/>
              </w:rPr>
            </w:pPr>
          </w:p>
        </w:tc>
        <w:tc>
          <w:tcPr>
            <w:tcW w:w="751" w:type="pct"/>
            <w:vAlign w:val="center"/>
          </w:tcPr>
          <w:p w14:paraId="07BAD6FC">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622" w:type="pct"/>
            <w:vAlign w:val="center"/>
          </w:tcPr>
          <w:p w14:paraId="13B2FCED">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634" w:type="pct"/>
            <w:vAlign w:val="center"/>
          </w:tcPr>
          <w:p w14:paraId="534C4530">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ND</w:t>
            </w:r>
          </w:p>
        </w:tc>
        <w:tc>
          <w:tcPr>
            <w:tcW w:w="616" w:type="pct"/>
            <w:vAlign w:val="center"/>
          </w:tcPr>
          <w:p w14:paraId="7B4C2886">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0AC14FE5">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16525788">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5A24A1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restart"/>
            <w:vAlign w:val="center"/>
          </w:tcPr>
          <w:p w14:paraId="353F2742">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A2</w:t>
            </w:r>
            <w:r>
              <w:rPr>
                <w:rFonts w:hint="default" w:ascii="Times New Roman" w:hAnsi="Times New Roman" w:cs="Times New Roman"/>
                <w:color w:val="auto"/>
                <w:u w:val="none"/>
              </w:rPr>
              <w:t>擂鼓台村</w:t>
            </w:r>
          </w:p>
        </w:tc>
        <w:tc>
          <w:tcPr>
            <w:tcW w:w="432" w:type="pct"/>
            <w:vMerge w:val="restart"/>
            <w:vAlign w:val="center"/>
          </w:tcPr>
          <w:p w14:paraId="41A2D0C3">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1101</w:t>
            </w:r>
          </w:p>
        </w:tc>
        <w:tc>
          <w:tcPr>
            <w:tcW w:w="433" w:type="pct"/>
            <w:vMerge w:val="restart"/>
            <w:vAlign w:val="center"/>
          </w:tcPr>
          <w:p w14:paraId="6099249D">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1312</w:t>
            </w:r>
          </w:p>
        </w:tc>
        <w:tc>
          <w:tcPr>
            <w:tcW w:w="751" w:type="pct"/>
            <w:vAlign w:val="center"/>
          </w:tcPr>
          <w:p w14:paraId="56BDE3A1">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臭气浓度</w:t>
            </w:r>
          </w:p>
        </w:tc>
        <w:tc>
          <w:tcPr>
            <w:tcW w:w="622" w:type="pct"/>
            <w:vAlign w:val="center"/>
          </w:tcPr>
          <w:p w14:paraId="33093C1F">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634" w:type="pct"/>
            <w:vAlign w:val="center"/>
          </w:tcPr>
          <w:p w14:paraId="45756911">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ND</w:t>
            </w:r>
          </w:p>
        </w:tc>
        <w:tc>
          <w:tcPr>
            <w:tcW w:w="616" w:type="pct"/>
            <w:vAlign w:val="center"/>
          </w:tcPr>
          <w:p w14:paraId="00034164">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479" w:type="pct"/>
            <w:vAlign w:val="center"/>
          </w:tcPr>
          <w:p w14:paraId="1353D9C0">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425" w:type="pct"/>
            <w:vAlign w:val="center"/>
          </w:tcPr>
          <w:p w14:paraId="66CA0CA0">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04E9E9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28BEDE02">
            <w:pPr>
              <w:pStyle w:val="41"/>
              <w:jc w:val="center"/>
              <w:rPr>
                <w:rFonts w:hint="default" w:ascii="Times New Roman" w:hAnsi="Times New Roman" w:cs="Times New Roman"/>
                <w:color w:val="auto"/>
                <w:kern w:val="2"/>
                <w:u w:val="none"/>
              </w:rPr>
            </w:pPr>
          </w:p>
        </w:tc>
        <w:tc>
          <w:tcPr>
            <w:tcW w:w="432" w:type="pct"/>
            <w:vMerge w:val="continue"/>
            <w:vAlign w:val="center"/>
          </w:tcPr>
          <w:p w14:paraId="22F0599F">
            <w:pPr>
              <w:pStyle w:val="41"/>
              <w:jc w:val="center"/>
              <w:rPr>
                <w:rFonts w:hint="default" w:ascii="Times New Roman" w:hAnsi="Times New Roman" w:cs="Times New Roman"/>
                <w:color w:val="auto"/>
                <w:kern w:val="2"/>
                <w:u w:val="none"/>
              </w:rPr>
            </w:pPr>
          </w:p>
        </w:tc>
        <w:tc>
          <w:tcPr>
            <w:tcW w:w="433" w:type="pct"/>
            <w:vMerge w:val="continue"/>
            <w:vAlign w:val="center"/>
          </w:tcPr>
          <w:p w14:paraId="0B7E0111">
            <w:pPr>
              <w:pStyle w:val="41"/>
              <w:jc w:val="center"/>
              <w:rPr>
                <w:rFonts w:hint="default" w:ascii="Times New Roman" w:hAnsi="Times New Roman" w:cs="Times New Roman"/>
                <w:color w:val="auto"/>
                <w:kern w:val="2"/>
                <w:u w:val="none"/>
              </w:rPr>
            </w:pPr>
          </w:p>
        </w:tc>
        <w:tc>
          <w:tcPr>
            <w:tcW w:w="751" w:type="pct"/>
            <w:vAlign w:val="center"/>
          </w:tcPr>
          <w:p w14:paraId="0CFC33CF">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TVOC</w:t>
            </w:r>
          </w:p>
        </w:tc>
        <w:tc>
          <w:tcPr>
            <w:tcW w:w="622" w:type="pct"/>
            <w:vAlign w:val="center"/>
          </w:tcPr>
          <w:p w14:paraId="3DB302B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600</w:t>
            </w:r>
          </w:p>
        </w:tc>
        <w:tc>
          <w:tcPr>
            <w:tcW w:w="634" w:type="pct"/>
            <w:vAlign w:val="center"/>
          </w:tcPr>
          <w:p w14:paraId="501E297E">
            <w:pPr>
              <w:pStyle w:val="41"/>
              <w:jc w:val="center"/>
              <w:rPr>
                <w:rFonts w:hint="default" w:ascii="Times New Roman" w:hAnsi="Times New Roman" w:cs="Times New Roman"/>
                <w:color w:val="auto"/>
                <w:kern w:val="2"/>
                <w:u w:val="none"/>
              </w:rPr>
            </w:pPr>
            <w:r>
              <w:rPr>
                <w:rFonts w:hint="default" w:ascii="Times New Roman" w:hAnsi="Times New Roman" w:eastAsia="Times New Roman" w:cs="Times New Roman"/>
                <w:color w:val="auto"/>
                <w:spacing w:val="-3"/>
                <w:sz w:val="20"/>
                <w:szCs w:val="20"/>
                <w:u w:val="none"/>
              </w:rPr>
              <w:t>8</w:t>
            </w:r>
            <w:r>
              <w:rPr>
                <w:rFonts w:hint="default" w:ascii="Times New Roman" w:hAnsi="Times New Roman" w:eastAsia="Times New Roman" w:cs="Times New Roman"/>
                <w:color w:val="auto"/>
                <w:spacing w:val="-2"/>
                <w:sz w:val="20"/>
                <w:szCs w:val="20"/>
                <w:u w:val="none"/>
              </w:rPr>
              <w:t>5.9</w:t>
            </w:r>
            <w:r>
              <w:rPr>
                <w:rFonts w:hint="default" w:ascii="Times New Roman" w:hAnsi="Times New Roman" w:cs="Times New Roman"/>
                <w:color w:val="auto"/>
                <w:spacing w:val="-2"/>
                <w:sz w:val="20"/>
                <w:szCs w:val="20"/>
                <w:u w:val="none"/>
              </w:rPr>
              <w:t>-110</w:t>
            </w:r>
          </w:p>
        </w:tc>
        <w:tc>
          <w:tcPr>
            <w:tcW w:w="616" w:type="pct"/>
            <w:vAlign w:val="center"/>
          </w:tcPr>
          <w:p w14:paraId="6E2099EB">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7BB49643">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6338ADC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521E9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125C56C2">
            <w:pPr>
              <w:pStyle w:val="41"/>
              <w:jc w:val="center"/>
              <w:rPr>
                <w:rFonts w:hint="default" w:ascii="Times New Roman" w:hAnsi="Times New Roman" w:cs="Times New Roman"/>
                <w:color w:val="auto"/>
                <w:kern w:val="2"/>
                <w:u w:val="none"/>
              </w:rPr>
            </w:pPr>
          </w:p>
        </w:tc>
        <w:tc>
          <w:tcPr>
            <w:tcW w:w="432" w:type="pct"/>
            <w:vMerge w:val="continue"/>
            <w:vAlign w:val="center"/>
          </w:tcPr>
          <w:p w14:paraId="24635BF8">
            <w:pPr>
              <w:pStyle w:val="41"/>
              <w:jc w:val="center"/>
              <w:rPr>
                <w:rFonts w:hint="default" w:ascii="Times New Roman" w:hAnsi="Times New Roman" w:cs="Times New Roman"/>
                <w:color w:val="auto"/>
                <w:kern w:val="2"/>
                <w:u w:val="none"/>
              </w:rPr>
            </w:pPr>
          </w:p>
        </w:tc>
        <w:tc>
          <w:tcPr>
            <w:tcW w:w="433" w:type="pct"/>
            <w:vMerge w:val="continue"/>
            <w:vAlign w:val="center"/>
          </w:tcPr>
          <w:p w14:paraId="4DC4BE77">
            <w:pPr>
              <w:pStyle w:val="41"/>
              <w:jc w:val="center"/>
              <w:rPr>
                <w:rFonts w:hint="default" w:ascii="Times New Roman" w:hAnsi="Times New Roman" w:cs="Times New Roman"/>
                <w:color w:val="auto"/>
                <w:kern w:val="2"/>
                <w:u w:val="none"/>
              </w:rPr>
            </w:pPr>
          </w:p>
        </w:tc>
        <w:tc>
          <w:tcPr>
            <w:tcW w:w="751" w:type="pct"/>
            <w:vAlign w:val="center"/>
          </w:tcPr>
          <w:p w14:paraId="5A85B7B6">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TSP</w:t>
            </w:r>
          </w:p>
        </w:tc>
        <w:tc>
          <w:tcPr>
            <w:tcW w:w="622" w:type="pct"/>
            <w:vAlign w:val="center"/>
          </w:tcPr>
          <w:p w14:paraId="5F81622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634" w:type="pct"/>
            <w:vAlign w:val="center"/>
          </w:tcPr>
          <w:p w14:paraId="0352C55C">
            <w:pPr>
              <w:pStyle w:val="41"/>
              <w:jc w:val="center"/>
              <w:rPr>
                <w:rFonts w:hint="default" w:ascii="Times New Roman" w:hAnsi="Times New Roman" w:cs="Times New Roman"/>
                <w:color w:val="auto"/>
                <w:kern w:val="2"/>
                <w:u w:val="none"/>
              </w:rPr>
            </w:pPr>
            <w:r>
              <w:rPr>
                <w:rFonts w:hint="default" w:ascii="Times New Roman" w:hAnsi="Times New Roman" w:eastAsia="Times New Roman" w:cs="Times New Roman"/>
                <w:color w:val="auto"/>
                <w:spacing w:val="-11"/>
                <w:sz w:val="20"/>
                <w:szCs w:val="20"/>
                <w:u w:val="none"/>
              </w:rPr>
              <w:t>1</w:t>
            </w:r>
            <w:r>
              <w:rPr>
                <w:rFonts w:hint="default" w:ascii="Times New Roman" w:hAnsi="Times New Roman" w:eastAsia="Times New Roman" w:cs="Times New Roman"/>
                <w:color w:val="auto"/>
                <w:spacing w:val="-8"/>
                <w:sz w:val="20"/>
                <w:szCs w:val="20"/>
                <w:u w:val="none"/>
              </w:rPr>
              <w:t>11</w:t>
            </w:r>
            <w:r>
              <w:rPr>
                <w:rFonts w:hint="default" w:ascii="Times New Roman" w:hAnsi="Times New Roman" w:cs="Times New Roman"/>
                <w:color w:val="auto"/>
                <w:spacing w:val="-8"/>
                <w:sz w:val="20"/>
                <w:szCs w:val="20"/>
                <w:u w:val="none"/>
              </w:rPr>
              <w:t>-120</w:t>
            </w:r>
          </w:p>
        </w:tc>
        <w:tc>
          <w:tcPr>
            <w:tcW w:w="616" w:type="pct"/>
            <w:vAlign w:val="center"/>
          </w:tcPr>
          <w:p w14:paraId="5FF8F860">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3888ABDF">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3A140F26">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6B123D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7C152128">
            <w:pPr>
              <w:pStyle w:val="41"/>
              <w:jc w:val="center"/>
              <w:rPr>
                <w:rFonts w:hint="default" w:ascii="Times New Roman" w:hAnsi="Times New Roman" w:cs="Times New Roman"/>
                <w:color w:val="auto"/>
                <w:kern w:val="2"/>
                <w:u w:val="none"/>
              </w:rPr>
            </w:pPr>
          </w:p>
          <w:p w14:paraId="62F3372D">
            <w:pPr>
              <w:pStyle w:val="41"/>
              <w:jc w:val="center"/>
              <w:rPr>
                <w:rFonts w:hint="default" w:ascii="Times New Roman" w:hAnsi="Times New Roman" w:cs="Times New Roman"/>
                <w:color w:val="auto"/>
                <w:kern w:val="2"/>
                <w:u w:val="none"/>
              </w:rPr>
            </w:pPr>
          </w:p>
        </w:tc>
        <w:tc>
          <w:tcPr>
            <w:tcW w:w="432" w:type="pct"/>
            <w:vMerge w:val="continue"/>
            <w:vAlign w:val="center"/>
          </w:tcPr>
          <w:p w14:paraId="57ADE901">
            <w:pPr>
              <w:pStyle w:val="41"/>
              <w:jc w:val="center"/>
              <w:rPr>
                <w:rFonts w:hint="default" w:ascii="Times New Roman" w:hAnsi="Times New Roman" w:cs="Times New Roman"/>
                <w:color w:val="auto"/>
                <w:kern w:val="2"/>
                <w:u w:val="none"/>
              </w:rPr>
            </w:pPr>
          </w:p>
        </w:tc>
        <w:tc>
          <w:tcPr>
            <w:tcW w:w="433" w:type="pct"/>
            <w:vMerge w:val="continue"/>
            <w:vAlign w:val="center"/>
          </w:tcPr>
          <w:p w14:paraId="216D3009">
            <w:pPr>
              <w:pStyle w:val="41"/>
              <w:jc w:val="center"/>
              <w:rPr>
                <w:rFonts w:hint="default" w:ascii="Times New Roman" w:hAnsi="Times New Roman" w:cs="Times New Roman"/>
                <w:color w:val="auto"/>
                <w:kern w:val="2"/>
                <w:u w:val="none"/>
              </w:rPr>
            </w:pPr>
          </w:p>
        </w:tc>
        <w:tc>
          <w:tcPr>
            <w:tcW w:w="751" w:type="pct"/>
            <w:vAlign w:val="center"/>
          </w:tcPr>
          <w:p w14:paraId="03C4F83D">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非甲烷总烃</w:t>
            </w:r>
          </w:p>
        </w:tc>
        <w:tc>
          <w:tcPr>
            <w:tcW w:w="622" w:type="pct"/>
            <w:vAlign w:val="center"/>
          </w:tcPr>
          <w:p w14:paraId="55208E1C">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2000</w:t>
            </w:r>
          </w:p>
        </w:tc>
        <w:tc>
          <w:tcPr>
            <w:tcW w:w="634" w:type="pct"/>
            <w:vAlign w:val="center"/>
          </w:tcPr>
          <w:p w14:paraId="52DE787E">
            <w:pPr>
              <w:pStyle w:val="41"/>
              <w:jc w:val="center"/>
              <w:rPr>
                <w:rFonts w:hint="default" w:ascii="Times New Roman" w:hAnsi="Times New Roman" w:cs="Times New Roman"/>
                <w:color w:val="auto"/>
                <w:kern w:val="2"/>
                <w:u w:val="none"/>
              </w:rPr>
            </w:pPr>
            <w:r>
              <w:rPr>
                <w:rFonts w:hint="default" w:ascii="Times New Roman" w:hAnsi="Times New Roman" w:eastAsia="Times New Roman" w:cs="Times New Roman"/>
                <w:color w:val="auto"/>
                <w:spacing w:val="1"/>
                <w:sz w:val="20"/>
                <w:szCs w:val="20"/>
                <w:u w:val="none"/>
              </w:rPr>
              <w:t>220</w:t>
            </w:r>
            <w:r>
              <w:rPr>
                <w:rFonts w:hint="default" w:ascii="Times New Roman" w:hAnsi="Times New Roman" w:cs="Times New Roman"/>
                <w:color w:val="auto"/>
                <w:spacing w:val="1"/>
                <w:sz w:val="20"/>
                <w:szCs w:val="20"/>
                <w:u w:val="none"/>
              </w:rPr>
              <w:t>-300</w:t>
            </w:r>
          </w:p>
        </w:tc>
        <w:tc>
          <w:tcPr>
            <w:tcW w:w="616" w:type="pct"/>
            <w:vAlign w:val="center"/>
          </w:tcPr>
          <w:p w14:paraId="0BC7C1B1">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5535C61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7AE0B22C">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r w14:paraId="2F1C0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03" w:type="pct"/>
            <w:vMerge w:val="continue"/>
            <w:vAlign w:val="center"/>
          </w:tcPr>
          <w:p w14:paraId="11A2A170">
            <w:pPr>
              <w:pStyle w:val="41"/>
              <w:jc w:val="center"/>
              <w:rPr>
                <w:rFonts w:hint="default" w:ascii="Times New Roman" w:hAnsi="Times New Roman" w:cs="Times New Roman"/>
                <w:color w:val="auto"/>
                <w:kern w:val="2"/>
                <w:u w:val="none"/>
              </w:rPr>
            </w:pPr>
          </w:p>
        </w:tc>
        <w:tc>
          <w:tcPr>
            <w:tcW w:w="432" w:type="pct"/>
            <w:vMerge w:val="continue"/>
            <w:vAlign w:val="center"/>
          </w:tcPr>
          <w:p w14:paraId="2AE0C3AA">
            <w:pPr>
              <w:pStyle w:val="41"/>
              <w:jc w:val="center"/>
              <w:rPr>
                <w:rFonts w:hint="default" w:ascii="Times New Roman" w:hAnsi="Times New Roman" w:cs="Times New Roman"/>
                <w:color w:val="auto"/>
                <w:kern w:val="2"/>
                <w:u w:val="none"/>
              </w:rPr>
            </w:pPr>
          </w:p>
        </w:tc>
        <w:tc>
          <w:tcPr>
            <w:tcW w:w="433" w:type="pct"/>
            <w:vMerge w:val="continue"/>
            <w:vAlign w:val="center"/>
          </w:tcPr>
          <w:p w14:paraId="17AE3E3C">
            <w:pPr>
              <w:pStyle w:val="41"/>
              <w:jc w:val="center"/>
              <w:rPr>
                <w:rFonts w:hint="default" w:ascii="Times New Roman" w:hAnsi="Times New Roman" w:cs="Times New Roman"/>
                <w:color w:val="auto"/>
                <w:kern w:val="2"/>
                <w:u w:val="none"/>
              </w:rPr>
            </w:pPr>
          </w:p>
        </w:tc>
        <w:tc>
          <w:tcPr>
            <w:tcW w:w="751" w:type="pct"/>
            <w:vAlign w:val="center"/>
          </w:tcPr>
          <w:p w14:paraId="0F4194C8">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622" w:type="pct"/>
            <w:vAlign w:val="center"/>
          </w:tcPr>
          <w:p w14:paraId="4D7EF8A4">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300</w:t>
            </w:r>
          </w:p>
        </w:tc>
        <w:tc>
          <w:tcPr>
            <w:tcW w:w="634" w:type="pct"/>
            <w:vAlign w:val="center"/>
          </w:tcPr>
          <w:p w14:paraId="4F5AA749">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ND</w:t>
            </w:r>
          </w:p>
        </w:tc>
        <w:tc>
          <w:tcPr>
            <w:tcW w:w="616" w:type="pct"/>
            <w:vAlign w:val="center"/>
          </w:tcPr>
          <w:p w14:paraId="1963C1AA">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79" w:type="pct"/>
            <w:vAlign w:val="center"/>
          </w:tcPr>
          <w:p w14:paraId="3570B8E7">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w:t>
            </w:r>
          </w:p>
        </w:tc>
        <w:tc>
          <w:tcPr>
            <w:tcW w:w="425" w:type="pct"/>
            <w:vAlign w:val="center"/>
          </w:tcPr>
          <w:p w14:paraId="1DB535CE">
            <w:pPr>
              <w:pStyle w:val="41"/>
              <w:jc w:val="center"/>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达标</w:t>
            </w:r>
          </w:p>
        </w:tc>
      </w:tr>
    </w:tbl>
    <w:p w14:paraId="56C7BB20">
      <w:pPr>
        <w:ind w:firstLine="480"/>
        <w:rPr>
          <w:rFonts w:hint="default" w:ascii="Times New Roman" w:hAnsi="Times New Roman" w:cs="Times New Roman"/>
          <w:color w:val="auto"/>
          <w:u w:val="none"/>
        </w:rPr>
      </w:pPr>
      <w:r>
        <w:rPr>
          <w:rFonts w:hint="default" w:ascii="Times New Roman" w:hAnsi="Times New Roman" w:cs="Times New Roman"/>
          <w:color w:val="auto"/>
          <w:kern w:val="0"/>
          <w:u w:val="none"/>
        </w:rPr>
        <w:t>监测数据表明，</w:t>
      </w:r>
      <w:r>
        <w:rPr>
          <w:rFonts w:hint="default" w:ascii="Times New Roman" w:hAnsi="Times New Roman" w:cs="Times New Roman"/>
          <w:color w:val="auto"/>
          <w:u w:val="none"/>
        </w:rPr>
        <w:t>TSP满足《环境空气质量标准》（GB3095-2012）二级标准；硫酸雾、</w:t>
      </w:r>
      <w:r>
        <w:rPr>
          <w:rFonts w:hint="default" w:ascii="Times New Roman" w:hAnsi="Times New Roman" w:cs="Times New Roman"/>
          <w:color w:val="auto"/>
          <w:kern w:val="0"/>
          <w:u w:val="none"/>
        </w:rPr>
        <w:t>TVOC</w:t>
      </w:r>
      <w:r>
        <w:rPr>
          <w:rFonts w:hint="default" w:ascii="Times New Roman" w:hAnsi="Times New Roman" w:cs="Times New Roman"/>
          <w:color w:val="auto"/>
          <w:u w:val="none"/>
        </w:rPr>
        <w:t>满足《环境影响技术导则-大气环境》（TJ2.2-2018）附录D其他污染物空气质量浓度参考限值，非甲烷总烃满足《大气污染物综合排放标准详解》中的环境质量标准一次浓度2mg/m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。项目所在地环境空气质量良好。</w:t>
      </w:r>
    </w:p>
    <w:p w14:paraId="1D0F220D">
      <w:pPr>
        <w:pStyle w:val="5"/>
        <w:rPr>
          <w:rFonts w:hint="default" w:ascii="Times New Roman" w:hAnsi="Times New Roman" w:cs="Times New Roman"/>
          <w:color w:val="auto"/>
          <w:u w:val="none"/>
        </w:rPr>
      </w:pPr>
      <w:bookmarkStart w:id="113" w:name="_Toc25040"/>
      <w:r>
        <w:rPr>
          <w:rFonts w:hint="default" w:ascii="Times New Roman" w:hAnsi="Times New Roman" w:cs="Times New Roman"/>
          <w:color w:val="auto"/>
          <w:u w:val="none"/>
        </w:rPr>
        <w:t>地表水环境质量现状调查与评价</w:t>
      </w:r>
      <w:bookmarkEnd w:id="113"/>
    </w:p>
    <w:p w14:paraId="26A174C7">
      <w:pPr>
        <w:ind w:firstLine="48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项目所在区域地表水系为西侧的长江，湖南省岳阳生态环境监测中心在长江设置有例行监测断面，本次评价引用2022年的生态环境部门已公布的长江城陵矶、陆城断面水环境质量监测数据。城陵矶监测断面位于湖南城陵矶临港产业新区污水处理厂排水口上游，陆城监测断面位于湖南城陵矶临港产业新区污水处理厂排水口下游</w:t>
      </w:r>
      <w:r>
        <w:rPr>
          <w:rFonts w:hint="default" w:ascii="Times New Roman" w:hAnsi="Times New Roman" w:cs="Times New Roman"/>
          <w:color w:val="auto"/>
          <w:u w:val="none"/>
        </w:rPr>
        <w:t>，监测结果见下表。</w:t>
      </w:r>
    </w:p>
    <w:p w14:paraId="1ECEA35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 xml:space="preserve">表5.2-4 </w:t>
      </w:r>
      <w:r>
        <w:rPr>
          <w:rFonts w:hint="eastAsia" w:ascii="Times New Roman" w:hAnsi="Times New Roman" w:cs="Times New Roman"/>
          <w:b/>
          <w:bCs/>
          <w:color w:val="auto"/>
          <w:u w:val="none"/>
        </w:rPr>
        <w:t>长江城陵矶断面2022年主要常规因子监测结果评价表单位：mg/L</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98"/>
        <w:gridCol w:w="700"/>
        <w:gridCol w:w="618"/>
        <w:gridCol w:w="835"/>
        <w:gridCol w:w="1021"/>
        <w:gridCol w:w="1020"/>
        <w:gridCol w:w="937"/>
        <w:gridCol w:w="1005"/>
        <w:gridCol w:w="1211"/>
        <w:gridCol w:w="1026"/>
      </w:tblGrid>
      <w:tr w14:paraId="1F5D4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675" w:type="pct"/>
            <w:gridSpan w:val="2"/>
            <w:tcBorders>
              <w:tl2br w:val="nil"/>
              <w:tr2bl w:val="nil"/>
            </w:tcBorders>
            <w:noWrap w:val="0"/>
            <w:vAlign w:val="center"/>
          </w:tcPr>
          <w:p w14:paraId="7B2282C5">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指标</w:t>
            </w:r>
          </w:p>
        </w:tc>
        <w:tc>
          <w:tcPr>
            <w:tcW w:w="348" w:type="pct"/>
            <w:tcBorders>
              <w:tl2br w:val="nil"/>
              <w:tr2bl w:val="nil"/>
            </w:tcBorders>
            <w:noWrap w:val="0"/>
            <w:vAlign w:val="center"/>
          </w:tcPr>
          <w:p w14:paraId="6EB0737C">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pH</w:t>
            </w:r>
          </w:p>
        </w:tc>
        <w:tc>
          <w:tcPr>
            <w:tcW w:w="470" w:type="pct"/>
            <w:tcBorders>
              <w:tl2br w:val="nil"/>
              <w:tr2bl w:val="nil"/>
            </w:tcBorders>
            <w:noWrap w:val="0"/>
            <w:vAlign w:val="center"/>
          </w:tcPr>
          <w:p w14:paraId="69ED931D">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COD</w:t>
            </w:r>
          </w:p>
        </w:tc>
        <w:tc>
          <w:tcPr>
            <w:tcW w:w="575" w:type="pct"/>
            <w:tcBorders>
              <w:tl2br w:val="nil"/>
              <w:tr2bl w:val="nil"/>
            </w:tcBorders>
            <w:noWrap w:val="0"/>
            <w:vAlign w:val="center"/>
          </w:tcPr>
          <w:p w14:paraId="56B64804">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氨氮</w:t>
            </w:r>
          </w:p>
        </w:tc>
        <w:tc>
          <w:tcPr>
            <w:tcW w:w="574" w:type="pct"/>
            <w:tcBorders>
              <w:tl2br w:val="nil"/>
              <w:tr2bl w:val="nil"/>
            </w:tcBorders>
            <w:noWrap w:val="0"/>
            <w:vAlign w:val="center"/>
          </w:tcPr>
          <w:p w14:paraId="208A8220">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TP</w:t>
            </w:r>
          </w:p>
        </w:tc>
        <w:tc>
          <w:tcPr>
            <w:tcW w:w="528" w:type="pct"/>
            <w:tcBorders>
              <w:tl2br w:val="nil"/>
              <w:tr2bl w:val="nil"/>
            </w:tcBorders>
            <w:noWrap w:val="0"/>
            <w:vAlign w:val="center"/>
          </w:tcPr>
          <w:p w14:paraId="62C0AFA5">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BOD5</w:t>
            </w:r>
          </w:p>
        </w:tc>
        <w:tc>
          <w:tcPr>
            <w:tcW w:w="566" w:type="pct"/>
            <w:tcBorders>
              <w:tl2br w:val="nil"/>
              <w:tr2bl w:val="nil"/>
            </w:tcBorders>
            <w:noWrap w:val="0"/>
            <w:vAlign w:val="center"/>
          </w:tcPr>
          <w:p w14:paraId="024D093F">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LAS</w:t>
            </w:r>
          </w:p>
        </w:tc>
        <w:tc>
          <w:tcPr>
            <w:tcW w:w="682" w:type="pct"/>
            <w:tcBorders>
              <w:tl2br w:val="nil"/>
              <w:tr2bl w:val="nil"/>
            </w:tcBorders>
            <w:noWrap w:val="0"/>
            <w:vAlign w:val="center"/>
          </w:tcPr>
          <w:p w14:paraId="699D4749">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挥发酚</w:t>
            </w:r>
          </w:p>
        </w:tc>
        <w:tc>
          <w:tcPr>
            <w:tcW w:w="578" w:type="pct"/>
            <w:tcBorders>
              <w:tl2br w:val="nil"/>
              <w:tr2bl w:val="nil"/>
            </w:tcBorders>
            <w:noWrap w:val="0"/>
            <w:vAlign w:val="center"/>
          </w:tcPr>
          <w:p w14:paraId="4DCDC199">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石油类</w:t>
            </w:r>
          </w:p>
        </w:tc>
      </w:tr>
      <w:tr w14:paraId="265159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281" w:type="pct"/>
            <w:vMerge w:val="restart"/>
            <w:tcBorders>
              <w:tl2br w:val="nil"/>
              <w:tr2bl w:val="nil"/>
            </w:tcBorders>
            <w:noWrap w:val="0"/>
            <w:vAlign w:val="center"/>
          </w:tcPr>
          <w:p w14:paraId="1362FD40">
            <w:pPr>
              <w:pStyle w:val="41"/>
              <w:rPr>
                <w:rFonts w:hint="eastAsia" w:ascii="Times New Roman" w:hAnsi="Times New Roman" w:eastAsia="宋体" w:cs="Times New Roman"/>
                <w:color w:val="auto"/>
                <w:u w:val="none"/>
                <w:lang w:val="en-US" w:eastAsia="zh-CN"/>
              </w:rPr>
            </w:pPr>
          </w:p>
          <w:p w14:paraId="12E3B8B9">
            <w:pPr>
              <w:pStyle w:val="41"/>
              <w:rPr>
                <w:rFonts w:hint="eastAsia" w:ascii="Times New Roman" w:hAnsi="Times New Roman" w:eastAsia="宋体" w:cs="Times New Roman"/>
                <w:color w:val="auto"/>
                <w:u w:val="none"/>
                <w:lang w:val="en-US" w:eastAsia="zh-CN"/>
              </w:rPr>
            </w:pPr>
          </w:p>
          <w:p w14:paraId="46683E98">
            <w:pPr>
              <w:pStyle w:val="41"/>
              <w:rPr>
                <w:rFonts w:hint="eastAsia" w:ascii="Times New Roman" w:hAnsi="Times New Roman" w:eastAsia="宋体" w:cs="Times New Roman"/>
                <w:color w:val="auto"/>
                <w:u w:val="none"/>
                <w:lang w:val="en-US" w:eastAsia="zh-CN"/>
              </w:rPr>
            </w:pPr>
          </w:p>
          <w:p w14:paraId="54D04A03">
            <w:pPr>
              <w:pStyle w:val="41"/>
              <w:rPr>
                <w:rFonts w:hint="eastAsia" w:ascii="Times New Roman" w:hAnsi="Times New Roman" w:eastAsia="宋体" w:cs="Times New Roman"/>
                <w:color w:val="auto"/>
                <w:u w:val="none"/>
                <w:lang w:val="en-US" w:eastAsia="zh-CN"/>
              </w:rPr>
            </w:pPr>
          </w:p>
          <w:p w14:paraId="1DB72820">
            <w:pPr>
              <w:pStyle w:val="41"/>
              <w:rPr>
                <w:rFonts w:hint="eastAsia" w:ascii="Times New Roman" w:hAnsi="Times New Roman" w:eastAsia="宋体" w:cs="Times New Roman"/>
                <w:color w:val="auto"/>
                <w:u w:val="none"/>
                <w:lang w:val="en-US" w:eastAsia="zh-CN"/>
              </w:rPr>
            </w:pPr>
          </w:p>
          <w:p w14:paraId="3385DB32">
            <w:pPr>
              <w:pStyle w:val="41"/>
              <w:rPr>
                <w:rFonts w:hint="eastAsia" w:ascii="Times New Roman" w:hAnsi="Times New Roman" w:eastAsia="宋体" w:cs="Times New Roman"/>
                <w:color w:val="auto"/>
                <w:u w:val="none"/>
                <w:lang w:val="en-US" w:eastAsia="zh-CN"/>
              </w:rPr>
            </w:pPr>
          </w:p>
          <w:p w14:paraId="22B3D9D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2022</w:t>
            </w:r>
          </w:p>
          <w:p w14:paraId="2CA8AEA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年</w:t>
            </w:r>
          </w:p>
        </w:tc>
        <w:tc>
          <w:tcPr>
            <w:tcW w:w="393" w:type="pct"/>
            <w:tcBorders>
              <w:tl2br w:val="nil"/>
              <w:tr2bl w:val="nil"/>
            </w:tcBorders>
            <w:noWrap w:val="0"/>
            <w:vAlign w:val="center"/>
          </w:tcPr>
          <w:p w14:paraId="0D898E6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1月</w:t>
            </w:r>
          </w:p>
        </w:tc>
        <w:tc>
          <w:tcPr>
            <w:tcW w:w="348" w:type="pct"/>
            <w:tcBorders>
              <w:tl2br w:val="nil"/>
              <w:tr2bl w:val="nil"/>
            </w:tcBorders>
            <w:noWrap w:val="0"/>
            <w:vAlign w:val="center"/>
          </w:tcPr>
          <w:p w14:paraId="353933E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35458BF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8.0</w:t>
            </w:r>
          </w:p>
        </w:tc>
        <w:tc>
          <w:tcPr>
            <w:tcW w:w="575" w:type="pct"/>
            <w:tcBorders>
              <w:tl2br w:val="nil"/>
              <w:tr2bl w:val="nil"/>
            </w:tcBorders>
            <w:noWrap w:val="0"/>
            <w:vAlign w:val="center"/>
          </w:tcPr>
          <w:p w14:paraId="50ACF90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0.07</w:t>
            </w:r>
          </w:p>
        </w:tc>
        <w:tc>
          <w:tcPr>
            <w:tcW w:w="574" w:type="pct"/>
            <w:tcBorders>
              <w:tl2br w:val="nil"/>
              <w:tr2bl w:val="nil"/>
            </w:tcBorders>
            <w:noWrap w:val="0"/>
            <w:vAlign w:val="center"/>
          </w:tcPr>
          <w:p w14:paraId="42A664C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0.092</w:t>
            </w:r>
          </w:p>
        </w:tc>
        <w:tc>
          <w:tcPr>
            <w:tcW w:w="528" w:type="pct"/>
            <w:tcBorders>
              <w:tl2br w:val="nil"/>
              <w:tr2bl w:val="nil"/>
            </w:tcBorders>
            <w:noWrap w:val="0"/>
            <w:vAlign w:val="center"/>
          </w:tcPr>
          <w:p w14:paraId="0E9FAC3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0.9</w:t>
            </w:r>
          </w:p>
        </w:tc>
        <w:tc>
          <w:tcPr>
            <w:tcW w:w="566" w:type="pct"/>
            <w:tcBorders>
              <w:tl2br w:val="nil"/>
              <w:tr2bl w:val="nil"/>
            </w:tcBorders>
            <w:noWrap w:val="0"/>
            <w:vAlign w:val="center"/>
          </w:tcPr>
          <w:p w14:paraId="3D029E9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6A557ED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7B08023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5B49CE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281" w:type="pct"/>
            <w:vMerge w:val="continue"/>
            <w:tcBorders>
              <w:tl2br w:val="nil"/>
              <w:tr2bl w:val="nil"/>
            </w:tcBorders>
            <w:noWrap w:val="0"/>
            <w:vAlign w:val="center"/>
          </w:tcPr>
          <w:p w14:paraId="1EC9C587">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3BAC3EC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2月</w:t>
            </w:r>
          </w:p>
        </w:tc>
        <w:tc>
          <w:tcPr>
            <w:tcW w:w="348" w:type="pct"/>
            <w:tcBorders>
              <w:tl2br w:val="nil"/>
              <w:tr2bl w:val="nil"/>
            </w:tcBorders>
            <w:noWrap w:val="0"/>
            <w:vAlign w:val="center"/>
          </w:tcPr>
          <w:p w14:paraId="78411DD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10B4D43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66BAADF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0.13</w:t>
            </w:r>
          </w:p>
        </w:tc>
        <w:tc>
          <w:tcPr>
            <w:tcW w:w="574" w:type="pct"/>
            <w:tcBorders>
              <w:tl2br w:val="nil"/>
              <w:tr2bl w:val="nil"/>
            </w:tcBorders>
            <w:noWrap w:val="0"/>
            <w:vAlign w:val="center"/>
          </w:tcPr>
          <w:p w14:paraId="3AB7E86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0.047</w:t>
            </w:r>
          </w:p>
        </w:tc>
        <w:tc>
          <w:tcPr>
            <w:tcW w:w="528" w:type="pct"/>
            <w:tcBorders>
              <w:tl2br w:val="nil"/>
              <w:tr2bl w:val="nil"/>
            </w:tcBorders>
            <w:noWrap w:val="0"/>
            <w:vAlign w:val="center"/>
          </w:tcPr>
          <w:p w14:paraId="2E8DA2C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5774C03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0F6552D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5E48BF5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1B8D6B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81" w:type="pct"/>
            <w:vMerge w:val="continue"/>
            <w:tcBorders>
              <w:tl2br w:val="nil"/>
              <w:tr2bl w:val="nil"/>
            </w:tcBorders>
            <w:noWrap w:val="0"/>
            <w:vAlign w:val="center"/>
          </w:tcPr>
          <w:p w14:paraId="19DBAE52">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17101A0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3月</w:t>
            </w:r>
          </w:p>
        </w:tc>
        <w:tc>
          <w:tcPr>
            <w:tcW w:w="348" w:type="pct"/>
            <w:tcBorders>
              <w:tl2br w:val="nil"/>
              <w:tr2bl w:val="nil"/>
            </w:tcBorders>
            <w:noWrap w:val="0"/>
            <w:vAlign w:val="center"/>
          </w:tcPr>
          <w:p w14:paraId="53293F5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7665C2A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46DB992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w:t>
            </w:r>
          </w:p>
        </w:tc>
        <w:tc>
          <w:tcPr>
            <w:tcW w:w="574" w:type="pct"/>
            <w:tcBorders>
              <w:tl2br w:val="nil"/>
              <w:tr2bl w:val="nil"/>
            </w:tcBorders>
            <w:noWrap w:val="0"/>
            <w:vAlign w:val="center"/>
          </w:tcPr>
          <w:p w14:paraId="70EA85C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0.058</w:t>
            </w:r>
          </w:p>
        </w:tc>
        <w:tc>
          <w:tcPr>
            <w:tcW w:w="528" w:type="pct"/>
            <w:tcBorders>
              <w:tl2br w:val="nil"/>
              <w:tr2bl w:val="nil"/>
            </w:tcBorders>
            <w:noWrap w:val="0"/>
            <w:vAlign w:val="center"/>
          </w:tcPr>
          <w:p w14:paraId="1683F25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6B9C17D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193611E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37A9AB9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6E391E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281" w:type="pct"/>
            <w:vMerge w:val="continue"/>
            <w:tcBorders>
              <w:tl2br w:val="nil"/>
              <w:tr2bl w:val="nil"/>
            </w:tcBorders>
            <w:noWrap w:val="0"/>
            <w:vAlign w:val="center"/>
          </w:tcPr>
          <w:p w14:paraId="369D0F0A">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79E83E4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4月</w:t>
            </w:r>
          </w:p>
        </w:tc>
        <w:tc>
          <w:tcPr>
            <w:tcW w:w="348" w:type="pct"/>
            <w:tcBorders>
              <w:tl2br w:val="nil"/>
              <w:tr2bl w:val="nil"/>
            </w:tcBorders>
            <w:noWrap w:val="0"/>
            <w:vAlign w:val="center"/>
          </w:tcPr>
          <w:p w14:paraId="5AEFBB0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65FF879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5.0</w:t>
            </w:r>
          </w:p>
        </w:tc>
        <w:tc>
          <w:tcPr>
            <w:tcW w:w="575" w:type="pct"/>
            <w:tcBorders>
              <w:tl2br w:val="nil"/>
              <w:tr2bl w:val="nil"/>
            </w:tcBorders>
            <w:noWrap w:val="0"/>
            <w:vAlign w:val="center"/>
          </w:tcPr>
          <w:p w14:paraId="01B68EA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0.03</w:t>
            </w:r>
          </w:p>
        </w:tc>
        <w:tc>
          <w:tcPr>
            <w:tcW w:w="574" w:type="pct"/>
            <w:tcBorders>
              <w:tl2br w:val="nil"/>
              <w:tr2bl w:val="nil"/>
            </w:tcBorders>
            <w:noWrap w:val="0"/>
            <w:vAlign w:val="center"/>
          </w:tcPr>
          <w:p w14:paraId="3FA9378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0.056</w:t>
            </w:r>
          </w:p>
        </w:tc>
        <w:tc>
          <w:tcPr>
            <w:tcW w:w="528" w:type="pct"/>
            <w:tcBorders>
              <w:tl2br w:val="nil"/>
              <w:tr2bl w:val="nil"/>
            </w:tcBorders>
            <w:noWrap w:val="0"/>
            <w:vAlign w:val="center"/>
          </w:tcPr>
          <w:p w14:paraId="38666AA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1.0</w:t>
            </w:r>
          </w:p>
        </w:tc>
        <w:tc>
          <w:tcPr>
            <w:tcW w:w="566" w:type="pct"/>
            <w:tcBorders>
              <w:tl2br w:val="nil"/>
              <w:tr2bl w:val="nil"/>
            </w:tcBorders>
            <w:noWrap w:val="0"/>
            <w:vAlign w:val="center"/>
          </w:tcPr>
          <w:p w14:paraId="3B41407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650578F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1C080AA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40B1AC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281" w:type="pct"/>
            <w:vMerge w:val="continue"/>
            <w:tcBorders>
              <w:tl2br w:val="nil"/>
              <w:tr2bl w:val="nil"/>
            </w:tcBorders>
            <w:noWrap w:val="0"/>
            <w:vAlign w:val="center"/>
          </w:tcPr>
          <w:p w14:paraId="388D6736">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0A4BAD0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5月</w:t>
            </w:r>
          </w:p>
        </w:tc>
        <w:tc>
          <w:tcPr>
            <w:tcW w:w="348" w:type="pct"/>
            <w:tcBorders>
              <w:tl2br w:val="nil"/>
              <w:tr2bl w:val="nil"/>
            </w:tcBorders>
            <w:noWrap w:val="0"/>
            <w:vAlign w:val="center"/>
          </w:tcPr>
          <w:p w14:paraId="07D47B6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3100FCC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25E97CF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08D17D3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0.048</w:t>
            </w:r>
          </w:p>
        </w:tc>
        <w:tc>
          <w:tcPr>
            <w:tcW w:w="528" w:type="pct"/>
            <w:tcBorders>
              <w:tl2br w:val="nil"/>
              <w:tr2bl w:val="nil"/>
            </w:tcBorders>
            <w:noWrap w:val="0"/>
            <w:vAlign w:val="center"/>
          </w:tcPr>
          <w:p w14:paraId="173B49C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0D1707A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113EAE3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2CF54F7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246DC3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281" w:type="pct"/>
            <w:vMerge w:val="continue"/>
            <w:tcBorders>
              <w:tl2br w:val="nil"/>
              <w:tr2bl w:val="nil"/>
            </w:tcBorders>
            <w:noWrap w:val="0"/>
            <w:vAlign w:val="center"/>
          </w:tcPr>
          <w:p w14:paraId="1AF34576">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6AAF5BB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6月</w:t>
            </w:r>
          </w:p>
        </w:tc>
        <w:tc>
          <w:tcPr>
            <w:tcW w:w="348" w:type="pct"/>
            <w:tcBorders>
              <w:tl2br w:val="nil"/>
              <w:tr2bl w:val="nil"/>
            </w:tcBorders>
            <w:noWrap w:val="0"/>
            <w:vAlign w:val="center"/>
          </w:tcPr>
          <w:p w14:paraId="0D75DE8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w:t>
            </w:r>
          </w:p>
        </w:tc>
        <w:tc>
          <w:tcPr>
            <w:tcW w:w="470" w:type="pct"/>
            <w:tcBorders>
              <w:tl2br w:val="nil"/>
              <w:tr2bl w:val="nil"/>
            </w:tcBorders>
            <w:noWrap w:val="0"/>
            <w:vAlign w:val="center"/>
          </w:tcPr>
          <w:p w14:paraId="7B4F837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0D46908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1C04099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0.049</w:t>
            </w:r>
          </w:p>
        </w:tc>
        <w:tc>
          <w:tcPr>
            <w:tcW w:w="528" w:type="pct"/>
            <w:tcBorders>
              <w:tl2br w:val="nil"/>
              <w:tr2bl w:val="nil"/>
            </w:tcBorders>
            <w:noWrap w:val="0"/>
            <w:vAlign w:val="center"/>
          </w:tcPr>
          <w:p w14:paraId="2E41F03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12FEE9C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5AA4E3E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6D92617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399B7A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4265ABB2">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213AFE4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7月</w:t>
            </w:r>
          </w:p>
        </w:tc>
        <w:tc>
          <w:tcPr>
            <w:tcW w:w="348" w:type="pct"/>
            <w:tcBorders>
              <w:tl2br w:val="nil"/>
              <w:tr2bl w:val="nil"/>
            </w:tcBorders>
            <w:noWrap w:val="0"/>
            <w:vAlign w:val="center"/>
          </w:tcPr>
          <w:p w14:paraId="2757AA2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0D6DC78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8.0</w:t>
            </w:r>
          </w:p>
        </w:tc>
        <w:tc>
          <w:tcPr>
            <w:tcW w:w="575" w:type="pct"/>
            <w:tcBorders>
              <w:tl2br w:val="nil"/>
              <w:tr2bl w:val="nil"/>
            </w:tcBorders>
            <w:noWrap w:val="0"/>
            <w:vAlign w:val="center"/>
          </w:tcPr>
          <w:p w14:paraId="0154AAA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5D70C8E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0.053</w:t>
            </w:r>
          </w:p>
        </w:tc>
        <w:tc>
          <w:tcPr>
            <w:tcW w:w="528" w:type="pct"/>
            <w:tcBorders>
              <w:tl2br w:val="nil"/>
              <w:tr2bl w:val="nil"/>
            </w:tcBorders>
            <w:noWrap w:val="0"/>
            <w:vAlign w:val="center"/>
          </w:tcPr>
          <w:p w14:paraId="13F3007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1.3</w:t>
            </w:r>
          </w:p>
        </w:tc>
        <w:tc>
          <w:tcPr>
            <w:tcW w:w="566" w:type="pct"/>
            <w:tcBorders>
              <w:tl2br w:val="nil"/>
              <w:tr2bl w:val="nil"/>
            </w:tcBorders>
            <w:noWrap w:val="0"/>
            <w:vAlign w:val="center"/>
          </w:tcPr>
          <w:p w14:paraId="44D4BF8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54F72A7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4F81DCD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1C9030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281" w:type="pct"/>
            <w:vMerge w:val="continue"/>
            <w:tcBorders>
              <w:tl2br w:val="nil"/>
              <w:tr2bl w:val="nil"/>
            </w:tcBorders>
            <w:noWrap w:val="0"/>
            <w:vAlign w:val="center"/>
          </w:tcPr>
          <w:p w14:paraId="57F0C7B4">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53F092B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8月</w:t>
            </w:r>
          </w:p>
        </w:tc>
        <w:tc>
          <w:tcPr>
            <w:tcW w:w="348" w:type="pct"/>
            <w:tcBorders>
              <w:tl2br w:val="nil"/>
              <w:tr2bl w:val="nil"/>
            </w:tcBorders>
            <w:noWrap w:val="0"/>
            <w:vAlign w:val="center"/>
          </w:tcPr>
          <w:p w14:paraId="3E9B00A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485AD87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75530B6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217AF71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0.060</w:t>
            </w:r>
          </w:p>
        </w:tc>
        <w:tc>
          <w:tcPr>
            <w:tcW w:w="528" w:type="pct"/>
            <w:tcBorders>
              <w:tl2br w:val="nil"/>
              <w:tr2bl w:val="nil"/>
            </w:tcBorders>
            <w:noWrap w:val="0"/>
            <w:vAlign w:val="center"/>
          </w:tcPr>
          <w:p w14:paraId="77719F6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6C640EF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2302C17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1B988DC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6D3F10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6C0F8CE6">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043762E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9月</w:t>
            </w:r>
          </w:p>
        </w:tc>
        <w:tc>
          <w:tcPr>
            <w:tcW w:w="348" w:type="pct"/>
            <w:tcBorders>
              <w:tl2br w:val="nil"/>
              <w:tr2bl w:val="nil"/>
            </w:tcBorders>
            <w:noWrap w:val="0"/>
            <w:vAlign w:val="center"/>
          </w:tcPr>
          <w:p w14:paraId="2A13CC0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45E6F1F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1AA7369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3EFCAF4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0.066</w:t>
            </w:r>
          </w:p>
        </w:tc>
        <w:tc>
          <w:tcPr>
            <w:tcW w:w="528" w:type="pct"/>
            <w:tcBorders>
              <w:tl2br w:val="nil"/>
              <w:tr2bl w:val="nil"/>
            </w:tcBorders>
            <w:noWrap w:val="0"/>
            <w:vAlign w:val="center"/>
          </w:tcPr>
          <w:p w14:paraId="4F01ADE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3B65D95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572795B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39F7785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7BAD75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281" w:type="pct"/>
            <w:vMerge w:val="continue"/>
            <w:tcBorders>
              <w:tl2br w:val="nil"/>
              <w:tr2bl w:val="nil"/>
            </w:tcBorders>
            <w:noWrap w:val="0"/>
            <w:vAlign w:val="center"/>
          </w:tcPr>
          <w:p w14:paraId="7CC00898">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2D8654D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10月</w:t>
            </w:r>
          </w:p>
        </w:tc>
        <w:tc>
          <w:tcPr>
            <w:tcW w:w="348" w:type="pct"/>
            <w:tcBorders>
              <w:tl2br w:val="nil"/>
              <w:tr2bl w:val="nil"/>
            </w:tcBorders>
            <w:noWrap w:val="0"/>
            <w:vAlign w:val="center"/>
          </w:tcPr>
          <w:p w14:paraId="7CE6961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709776A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7.5</w:t>
            </w:r>
          </w:p>
        </w:tc>
        <w:tc>
          <w:tcPr>
            <w:tcW w:w="575" w:type="pct"/>
            <w:tcBorders>
              <w:tl2br w:val="nil"/>
              <w:tr2bl w:val="nil"/>
            </w:tcBorders>
            <w:noWrap w:val="0"/>
            <w:vAlign w:val="center"/>
          </w:tcPr>
          <w:p w14:paraId="0D92BED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179F328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0.063</w:t>
            </w:r>
          </w:p>
        </w:tc>
        <w:tc>
          <w:tcPr>
            <w:tcW w:w="528" w:type="pct"/>
            <w:tcBorders>
              <w:tl2br w:val="nil"/>
              <w:tr2bl w:val="nil"/>
            </w:tcBorders>
            <w:noWrap w:val="0"/>
            <w:vAlign w:val="center"/>
          </w:tcPr>
          <w:p w14:paraId="470AC7D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0.7</w:t>
            </w:r>
          </w:p>
        </w:tc>
        <w:tc>
          <w:tcPr>
            <w:tcW w:w="566" w:type="pct"/>
            <w:tcBorders>
              <w:tl2br w:val="nil"/>
              <w:tr2bl w:val="nil"/>
            </w:tcBorders>
            <w:noWrap w:val="0"/>
            <w:vAlign w:val="center"/>
          </w:tcPr>
          <w:p w14:paraId="3A41A3F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1512A07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69C63F2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52FED6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5B40311F">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0447BE0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11月</w:t>
            </w:r>
          </w:p>
        </w:tc>
        <w:tc>
          <w:tcPr>
            <w:tcW w:w="348" w:type="pct"/>
            <w:tcBorders>
              <w:tl2br w:val="nil"/>
              <w:tr2bl w:val="nil"/>
            </w:tcBorders>
            <w:noWrap w:val="0"/>
            <w:vAlign w:val="center"/>
          </w:tcPr>
          <w:p w14:paraId="7DDB864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6EE4F11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448305C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574" w:type="pct"/>
            <w:tcBorders>
              <w:tl2br w:val="nil"/>
              <w:tr2bl w:val="nil"/>
            </w:tcBorders>
            <w:noWrap w:val="0"/>
            <w:vAlign w:val="center"/>
          </w:tcPr>
          <w:p w14:paraId="54B629E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0.084</w:t>
            </w:r>
          </w:p>
        </w:tc>
        <w:tc>
          <w:tcPr>
            <w:tcW w:w="528" w:type="pct"/>
            <w:tcBorders>
              <w:tl2br w:val="nil"/>
              <w:tr2bl w:val="nil"/>
            </w:tcBorders>
            <w:noWrap w:val="0"/>
            <w:vAlign w:val="center"/>
          </w:tcPr>
          <w:p w14:paraId="6EB4DD1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183A2CA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5920E89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535F783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2515D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26ED5196">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2F7B819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12月</w:t>
            </w:r>
          </w:p>
        </w:tc>
        <w:tc>
          <w:tcPr>
            <w:tcW w:w="348" w:type="pct"/>
            <w:tcBorders>
              <w:tl2br w:val="nil"/>
              <w:tr2bl w:val="nil"/>
            </w:tcBorders>
            <w:noWrap w:val="0"/>
            <w:vAlign w:val="center"/>
          </w:tcPr>
          <w:p w14:paraId="482415C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3E54BAD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5" w:type="pct"/>
            <w:tcBorders>
              <w:tl2br w:val="nil"/>
              <w:tr2bl w:val="nil"/>
            </w:tcBorders>
            <w:noWrap w:val="0"/>
            <w:vAlign w:val="center"/>
          </w:tcPr>
          <w:p w14:paraId="4EF0754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0.03</w:t>
            </w:r>
          </w:p>
        </w:tc>
        <w:tc>
          <w:tcPr>
            <w:tcW w:w="574" w:type="pct"/>
            <w:tcBorders>
              <w:tl2br w:val="nil"/>
              <w:tr2bl w:val="nil"/>
            </w:tcBorders>
            <w:noWrap w:val="0"/>
            <w:vAlign w:val="center"/>
          </w:tcPr>
          <w:p w14:paraId="16D8C8F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0.089</w:t>
            </w:r>
          </w:p>
        </w:tc>
        <w:tc>
          <w:tcPr>
            <w:tcW w:w="528" w:type="pct"/>
            <w:tcBorders>
              <w:tl2br w:val="nil"/>
              <w:tr2bl w:val="nil"/>
            </w:tcBorders>
            <w:noWrap w:val="0"/>
            <w:vAlign w:val="center"/>
          </w:tcPr>
          <w:p w14:paraId="49AAAC0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66" w:type="pct"/>
            <w:tcBorders>
              <w:tl2br w:val="nil"/>
              <w:tr2bl w:val="nil"/>
            </w:tcBorders>
            <w:noWrap w:val="0"/>
            <w:vAlign w:val="center"/>
          </w:tcPr>
          <w:p w14:paraId="1A7CCC5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682" w:type="pct"/>
            <w:tcBorders>
              <w:tl2br w:val="nil"/>
              <w:tr2bl w:val="nil"/>
            </w:tcBorders>
            <w:noWrap w:val="0"/>
            <w:vAlign w:val="center"/>
          </w:tcPr>
          <w:p w14:paraId="0112B53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c>
          <w:tcPr>
            <w:tcW w:w="578" w:type="pct"/>
            <w:tcBorders>
              <w:tl2br w:val="nil"/>
              <w:tr2bl w:val="nil"/>
            </w:tcBorders>
            <w:noWrap w:val="0"/>
            <w:vAlign w:val="center"/>
          </w:tcPr>
          <w:p w14:paraId="1482A54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w:t>
            </w:r>
          </w:p>
        </w:tc>
      </w:tr>
      <w:tr w14:paraId="037FEC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675" w:type="pct"/>
            <w:gridSpan w:val="2"/>
            <w:tcBorders>
              <w:tl2br w:val="nil"/>
              <w:tr2bl w:val="nil"/>
            </w:tcBorders>
            <w:noWrap w:val="0"/>
            <w:vAlign w:val="center"/>
          </w:tcPr>
          <w:p w14:paraId="115576A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执行标准</w:t>
            </w:r>
          </w:p>
        </w:tc>
        <w:tc>
          <w:tcPr>
            <w:tcW w:w="348" w:type="pct"/>
            <w:tcBorders>
              <w:tl2br w:val="nil"/>
              <w:tr2bl w:val="nil"/>
            </w:tcBorders>
            <w:noWrap w:val="0"/>
            <w:vAlign w:val="center"/>
          </w:tcPr>
          <w:p w14:paraId="2F8BE46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6~9</w:t>
            </w:r>
          </w:p>
        </w:tc>
        <w:tc>
          <w:tcPr>
            <w:tcW w:w="470" w:type="pct"/>
            <w:tcBorders>
              <w:tl2br w:val="nil"/>
              <w:tr2bl w:val="nil"/>
            </w:tcBorders>
            <w:noWrap w:val="0"/>
            <w:vAlign w:val="center"/>
          </w:tcPr>
          <w:p w14:paraId="07E1A8F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≤20</w:t>
            </w:r>
          </w:p>
        </w:tc>
        <w:tc>
          <w:tcPr>
            <w:tcW w:w="575" w:type="pct"/>
            <w:tcBorders>
              <w:tl2br w:val="nil"/>
              <w:tr2bl w:val="nil"/>
            </w:tcBorders>
            <w:noWrap w:val="0"/>
            <w:vAlign w:val="center"/>
          </w:tcPr>
          <w:p w14:paraId="5045C38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≤1.0</w:t>
            </w:r>
          </w:p>
        </w:tc>
        <w:tc>
          <w:tcPr>
            <w:tcW w:w="574" w:type="pct"/>
            <w:tcBorders>
              <w:tl2br w:val="nil"/>
              <w:tr2bl w:val="nil"/>
            </w:tcBorders>
            <w:noWrap w:val="0"/>
            <w:vAlign w:val="center"/>
          </w:tcPr>
          <w:p w14:paraId="5D10F0E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≤0.2</w:t>
            </w:r>
          </w:p>
        </w:tc>
        <w:tc>
          <w:tcPr>
            <w:tcW w:w="528" w:type="pct"/>
            <w:tcBorders>
              <w:tl2br w:val="nil"/>
              <w:tr2bl w:val="nil"/>
            </w:tcBorders>
            <w:noWrap w:val="0"/>
            <w:vAlign w:val="center"/>
          </w:tcPr>
          <w:p w14:paraId="1B2985A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w:t>
            </w:r>
          </w:p>
        </w:tc>
        <w:tc>
          <w:tcPr>
            <w:tcW w:w="566" w:type="pct"/>
            <w:tcBorders>
              <w:tl2br w:val="nil"/>
              <w:tr2bl w:val="nil"/>
            </w:tcBorders>
            <w:noWrap w:val="0"/>
            <w:vAlign w:val="center"/>
          </w:tcPr>
          <w:p w14:paraId="7C4EF59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≤0.2</w:t>
            </w:r>
          </w:p>
        </w:tc>
        <w:tc>
          <w:tcPr>
            <w:tcW w:w="682" w:type="pct"/>
            <w:tcBorders>
              <w:tl2br w:val="nil"/>
              <w:tr2bl w:val="nil"/>
            </w:tcBorders>
            <w:noWrap w:val="0"/>
            <w:vAlign w:val="center"/>
          </w:tcPr>
          <w:p w14:paraId="7798AEA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c>
          <w:tcPr>
            <w:tcW w:w="578" w:type="pct"/>
            <w:tcBorders>
              <w:tl2br w:val="nil"/>
              <w:tr2bl w:val="nil"/>
            </w:tcBorders>
            <w:noWrap w:val="0"/>
            <w:vAlign w:val="center"/>
          </w:tcPr>
          <w:p w14:paraId="4192599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w:t>
            </w:r>
          </w:p>
        </w:tc>
      </w:tr>
    </w:tbl>
    <w:p w14:paraId="6C4780F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cs="Times New Roman"/>
          <w:b/>
          <w:bCs/>
          <w:color w:val="auto"/>
          <w:u w:val="none"/>
        </w:rPr>
      </w:pPr>
      <w:r>
        <w:rPr>
          <w:rFonts w:hint="eastAsia" w:ascii="Times New Roman" w:hAnsi="Times New Roman" w:cs="Times New Roman"/>
          <w:b/>
          <w:bCs/>
          <w:color w:val="auto"/>
          <w:u w:val="none"/>
        </w:rPr>
        <w:t>表</w:t>
      </w:r>
      <w:r>
        <w:rPr>
          <w:rFonts w:hint="eastAsia" w:ascii="Times New Roman" w:hAnsi="Times New Roman" w:cs="Times New Roman"/>
          <w:b/>
          <w:bCs/>
          <w:color w:val="auto"/>
          <w:u w:val="none"/>
          <w:lang w:val="en-US" w:eastAsia="zh-CN"/>
        </w:rPr>
        <w:t xml:space="preserve">5.2-5   </w:t>
      </w:r>
      <w:r>
        <w:rPr>
          <w:rFonts w:hint="eastAsia" w:ascii="Times New Roman" w:hAnsi="Times New Roman" w:cs="Times New Roman"/>
          <w:b/>
          <w:bCs/>
          <w:color w:val="auto"/>
          <w:u w:val="none"/>
        </w:rPr>
        <w:t>陆城断面2022年主要常规因子监测结果评价表单位：mg/L</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98"/>
        <w:gridCol w:w="700"/>
        <w:gridCol w:w="618"/>
        <w:gridCol w:w="835"/>
        <w:gridCol w:w="1021"/>
        <w:gridCol w:w="1020"/>
        <w:gridCol w:w="937"/>
        <w:gridCol w:w="1005"/>
        <w:gridCol w:w="1211"/>
        <w:gridCol w:w="1026"/>
      </w:tblGrid>
      <w:tr w14:paraId="342138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675" w:type="pct"/>
            <w:gridSpan w:val="2"/>
            <w:tcBorders>
              <w:tl2br w:val="nil"/>
              <w:tr2bl w:val="nil"/>
            </w:tcBorders>
            <w:noWrap w:val="0"/>
            <w:vAlign w:val="center"/>
          </w:tcPr>
          <w:p w14:paraId="7DB493FE">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指标</w:t>
            </w:r>
          </w:p>
        </w:tc>
        <w:tc>
          <w:tcPr>
            <w:tcW w:w="348" w:type="pct"/>
            <w:tcBorders>
              <w:tl2br w:val="nil"/>
              <w:tr2bl w:val="nil"/>
            </w:tcBorders>
            <w:noWrap w:val="0"/>
            <w:vAlign w:val="center"/>
          </w:tcPr>
          <w:p w14:paraId="1240CEA0">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pH</w:t>
            </w:r>
          </w:p>
        </w:tc>
        <w:tc>
          <w:tcPr>
            <w:tcW w:w="470" w:type="pct"/>
            <w:tcBorders>
              <w:tl2br w:val="nil"/>
              <w:tr2bl w:val="nil"/>
            </w:tcBorders>
            <w:noWrap w:val="0"/>
            <w:vAlign w:val="center"/>
          </w:tcPr>
          <w:p w14:paraId="06270BB1">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COD</w:t>
            </w:r>
          </w:p>
        </w:tc>
        <w:tc>
          <w:tcPr>
            <w:tcW w:w="575" w:type="pct"/>
            <w:tcBorders>
              <w:tl2br w:val="nil"/>
              <w:tr2bl w:val="nil"/>
            </w:tcBorders>
            <w:noWrap w:val="0"/>
            <w:vAlign w:val="center"/>
          </w:tcPr>
          <w:p w14:paraId="687913BD">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氨氮</w:t>
            </w:r>
          </w:p>
        </w:tc>
        <w:tc>
          <w:tcPr>
            <w:tcW w:w="574" w:type="pct"/>
            <w:tcBorders>
              <w:tl2br w:val="nil"/>
              <w:tr2bl w:val="nil"/>
            </w:tcBorders>
            <w:noWrap w:val="0"/>
            <w:vAlign w:val="center"/>
          </w:tcPr>
          <w:p w14:paraId="4358BD39">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TP</w:t>
            </w:r>
          </w:p>
        </w:tc>
        <w:tc>
          <w:tcPr>
            <w:tcW w:w="528" w:type="pct"/>
            <w:tcBorders>
              <w:tl2br w:val="nil"/>
              <w:tr2bl w:val="nil"/>
            </w:tcBorders>
            <w:noWrap w:val="0"/>
            <w:vAlign w:val="center"/>
          </w:tcPr>
          <w:p w14:paraId="213D3619">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BOD5</w:t>
            </w:r>
          </w:p>
        </w:tc>
        <w:tc>
          <w:tcPr>
            <w:tcW w:w="566" w:type="pct"/>
            <w:tcBorders>
              <w:tl2br w:val="nil"/>
              <w:tr2bl w:val="nil"/>
            </w:tcBorders>
            <w:noWrap w:val="0"/>
            <w:vAlign w:val="center"/>
          </w:tcPr>
          <w:p w14:paraId="18B9975A">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LAS</w:t>
            </w:r>
          </w:p>
        </w:tc>
        <w:tc>
          <w:tcPr>
            <w:tcW w:w="682" w:type="pct"/>
            <w:tcBorders>
              <w:tl2br w:val="nil"/>
              <w:tr2bl w:val="nil"/>
            </w:tcBorders>
            <w:noWrap w:val="0"/>
            <w:vAlign w:val="center"/>
          </w:tcPr>
          <w:p w14:paraId="69BD0776">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挥发酚</w:t>
            </w:r>
          </w:p>
        </w:tc>
        <w:tc>
          <w:tcPr>
            <w:tcW w:w="578" w:type="pct"/>
            <w:tcBorders>
              <w:tl2br w:val="nil"/>
              <w:tr2bl w:val="nil"/>
            </w:tcBorders>
            <w:noWrap w:val="0"/>
            <w:vAlign w:val="center"/>
          </w:tcPr>
          <w:p w14:paraId="63B8034E">
            <w:pPr>
              <w:pStyle w:val="41"/>
              <w:rPr>
                <w:rFonts w:hint="eastAsia" w:ascii="Times New Roman" w:hAnsi="Times New Roman" w:eastAsia="宋体" w:cs="Times New Roman"/>
                <w:b/>
                <w:bCs/>
                <w:color w:val="auto"/>
                <w:u w:val="none"/>
                <w:lang w:val="en-US" w:eastAsia="zh-CN"/>
              </w:rPr>
            </w:pPr>
            <w:r>
              <w:rPr>
                <w:rFonts w:hint="eastAsia" w:ascii="Times New Roman" w:hAnsi="Times New Roman" w:eastAsia="宋体" w:cs="Times New Roman"/>
                <w:b/>
                <w:bCs/>
                <w:color w:val="auto"/>
                <w:u w:val="none"/>
                <w:lang w:val="en-US" w:eastAsia="zh-CN"/>
              </w:rPr>
              <w:t>石油类</w:t>
            </w:r>
          </w:p>
        </w:tc>
      </w:tr>
      <w:tr w14:paraId="5C42B8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281" w:type="pct"/>
            <w:vMerge w:val="restart"/>
            <w:tcBorders>
              <w:tl2br w:val="nil"/>
              <w:tr2bl w:val="nil"/>
            </w:tcBorders>
            <w:noWrap w:val="0"/>
            <w:vAlign w:val="center"/>
          </w:tcPr>
          <w:p w14:paraId="79311F8F">
            <w:pPr>
              <w:pStyle w:val="41"/>
              <w:rPr>
                <w:rFonts w:hint="eastAsia" w:ascii="Times New Roman" w:hAnsi="Times New Roman" w:eastAsia="宋体" w:cs="Times New Roman"/>
                <w:color w:val="auto"/>
                <w:u w:val="none"/>
                <w:lang w:val="en-US" w:eastAsia="zh-CN"/>
              </w:rPr>
            </w:pPr>
          </w:p>
          <w:p w14:paraId="19323A1E">
            <w:pPr>
              <w:pStyle w:val="41"/>
              <w:rPr>
                <w:rFonts w:hint="eastAsia" w:ascii="Times New Roman" w:hAnsi="Times New Roman" w:eastAsia="宋体" w:cs="Times New Roman"/>
                <w:color w:val="auto"/>
                <w:u w:val="none"/>
                <w:lang w:val="en-US" w:eastAsia="zh-CN"/>
              </w:rPr>
            </w:pPr>
          </w:p>
          <w:p w14:paraId="213BCFC7">
            <w:pPr>
              <w:pStyle w:val="41"/>
              <w:rPr>
                <w:rFonts w:hint="eastAsia" w:ascii="Times New Roman" w:hAnsi="Times New Roman" w:eastAsia="宋体" w:cs="Times New Roman"/>
                <w:color w:val="auto"/>
                <w:u w:val="none"/>
                <w:lang w:val="en-US" w:eastAsia="zh-CN"/>
              </w:rPr>
            </w:pPr>
          </w:p>
          <w:p w14:paraId="39009128">
            <w:pPr>
              <w:pStyle w:val="41"/>
              <w:rPr>
                <w:rFonts w:hint="eastAsia" w:ascii="Times New Roman" w:hAnsi="Times New Roman" w:eastAsia="宋体" w:cs="Times New Roman"/>
                <w:color w:val="auto"/>
                <w:u w:val="none"/>
                <w:lang w:val="en-US" w:eastAsia="zh-CN"/>
              </w:rPr>
            </w:pPr>
          </w:p>
          <w:p w14:paraId="08152F88">
            <w:pPr>
              <w:pStyle w:val="41"/>
              <w:rPr>
                <w:rFonts w:hint="eastAsia" w:ascii="Times New Roman" w:hAnsi="Times New Roman" w:eastAsia="宋体" w:cs="Times New Roman"/>
                <w:color w:val="auto"/>
                <w:u w:val="none"/>
                <w:lang w:val="en-US" w:eastAsia="zh-CN"/>
              </w:rPr>
            </w:pPr>
          </w:p>
          <w:p w14:paraId="46786054">
            <w:pPr>
              <w:pStyle w:val="41"/>
              <w:rPr>
                <w:rFonts w:hint="eastAsia" w:ascii="Times New Roman" w:hAnsi="Times New Roman" w:eastAsia="宋体" w:cs="Times New Roman"/>
                <w:color w:val="auto"/>
                <w:u w:val="none"/>
                <w:lang w:val="en-US" w:eastAsia="zh-CN"/>
              </w:rPr>
            </w:pPr>
          </w:p>
          <w:p w14:paraId="73CF7DA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2022</w:t>
            </w:r>
          </w:p>
          <w:p w14:paraId="74DB602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年</w:t>
            </w:r>
          </w:p>
        </w:tc>
        <w:tc>
          <w:tcPr>
            <w:tcW w:w="393" w:type="pct"/>
            <w:tcBorders>
              <w:tl2br w:val="nil"/>
              <w:tr2bl w:val="nil"/>
            </w:tcBorders>
            <w:noWrap w:val="0"/>
            <w:vAlign w:val="center"/>
          </w:tcPr>
          <w:p w14:paraId="7AB8126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1月</w:t>
            </w:r>
          </w:p>
        </w:tc>
        <w:tc>
          <w:tcPr>
            <w:tcW w:w="348" w:type="pct"/>
            <w:tcBorders>
              <w:tl2br w:val="nil"/>
              <w:tr2bl w:val="nil"/>
            </w:tcBorders>
            <w:noWrap w:val="0"/>
            <w:vAlign w:val="center"/>
          </w:tcPr>
          <w:p w14:paraId="37CD186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w:t>
            </w:r>
          </w:p>
        </w:tc>
        <w:tc>
          <w:tcPr>
            <w:tcW w:w="470" w:type="pct"/>
            <w:tcBorders>
              <w:tl2br w:val="nil"/>
              <w:tr2bl w:val="nil"/>
            </w:tcBorders>
            <w:noWrap w:val="0"/>
            <w:vAlign w:val="center"/>
          </w:tcPr>
          <w:p w14:paraId="7EF834B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4.7</w:t>
            </w:r>
          </w:p>
        </w:tc>
        <w:tc>
          <w:tcPr>
            <w:tcW w:w="575" w:type="pct"/>
            <w:tcBorders>
              <w:tl2br w:val="nil"/>
              <w:tr2bl w:val="nil"/>
            </w:tcBorders>
            <w:noWrap w:val="0"/>
            <w:vAlign w:val="center"/>
          </w:tcPr>
          <w:p w14:paraId="26A7C3B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0.03</w:t>
            </w:r>
          </w:p>
        </w:tc>
        <w:tc>
          <w:tcPr>
            <w:tcW w:w="574" w:type="pct"/>
            <w:tcBorders>
              <w:tl2br w:val="nil"/>
              <w:tr2bl w:val="nil"/>
            </w:tcBorders>
            <w:noWrap w:val="0"/>
            <w:vAlign w:val="center"/>
          </w:tcPr>
          <w:p w14:paraId="503FF4E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0.080</w:t>
            </w:r>
          </w:p>
        </w:tc>
        <w:tc>
          <w:tcPr>
            <w:tcW w:w="528" w:type="pct"/>
            <w:tcBorders>
              <w:tl2br w:val="nil"/>
              <w:tr2bl w:val="nil"/>
            </w:tcBorders>
            <w:noWrap w:val="0"/>
            <w:vAlign w:val="center"/>
          </w:tcPr>
          <w:p w14:paraId="00ED823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0.8</w:t>
            </w:r>
          </w:p>
        </w:tc>
        <w:tc>
          <w:tcPr>
            <w:tcW w:w="566" w:type="pct"/>
            <w:tcBorders>
              <w:tl2br w:val="nil"/>
              <w:tr2bl w:val="nil"/>
            </w:tcBorders>
            <w:noWrap w:val="0"/>
            <w:vAlign w:val="center"/>
          </w:tcPr>
          <w:p w14:paraId="5D50A27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334F28F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2110705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4A3BEB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281" w:type="pct"/>
            <w:vMerge w:val="continue"/>
            <w:tcBorders>
              <w:tl2br w:val="nil"/>
              <w:tr2bl w:val="nil"/>
            </w:tcBorders>
            <w:noWrap w:val="0"/>
            <w:vAlign w:val="center"/>
          </w:tcPr>
          <w:p w14:paraId="6766BBCD">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2C8D949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2月</w:t>
            </w:r>
          </w:p>
        </w:tc>
        <w:tc>
          <w:tcPr>
            <w:tcW w:w="348" w:type="pct"/>
            <w:tcBorders>
              <w:tl2br w:val="nil"/>
              <w:tr2bl w:val="nil"/>
            </w:tcBorders>
            <w:noWrap w:val="0"/>
            <w:vAlign w:val="center"/>
          </w:tcPr>
          <w:p w14:paraId="4F064F3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0938214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8.7</w:t>
            </w:r>
          </w:p>
        </w:tc>
        <w:tc>
          <w:tcPr>
            <w:tcW w:w="575" w:type="pct"/>
            <w:tcBorders>
              <w:tl2br w:val="nil"/>
              <w:tr2bl w:val="nil"/>
            </w:tcBorders>
            <w:noWrap w:val="0"/>
            <w:vAlign w:val="center"/>
          </w:tcPr>
          <w:p w14:paraId="2F5C819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w:t>
            </w:r>
          </w:p>
        </w:tc>
        <w:tc>
          <w:tcPr>
            <w:tcW w:w="574" w:type="pct"/>
            <w:tcBorders>
              <w:tl2br w:val="nil"/>
              <w:tr2bl w:val="nil"/>
            </w:tcBorders>
            <w:noWrap w:val="0"/>
            <w:vAlign w:val="center"/>
          </w:tcPr>
          <w:p w14:paraId="67D1742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0.060</w:t>
            </w:r>
          </w:p>
        </w:tc>
        <w:tc>
          <w:tcPr>
            <w:tcW w:w="528" w:type="pct"/>
            <w:tcBorders>
              <w:tl2br w:val="nil"/>
              <w:tr2bl w:val="nil"/>
            </w:tcBorders>
            <w:noWrap w:val="0"/>
            <w:vAlign w:val="center"/>
          </w:tcPr>
          <w:p w14:paraId="39F9A60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0.6</w:t>
            </w:r>
          </w:p>
        </w:tc>
        <w:tc>
          <w:tcPr>
            <w:tcW w:w="566" w:type="pct"/>
            <w:tcBorders>
              <w:tl2br w:val="nil"/>
              <w:tr2bl w:val="nil"/>
            </w:tcBorders>
            <w:noWrap w:val="0"/>
            <w:vAlign w:val="center"/>
          </w:tcPr>
          <w:p w14:paraId="647B522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24B0F1C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43877F4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6E75B5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281" w:type="pct"/>
            <w:vMerge w:val="continue"/>
            <w:tcBorders>
              <w:tl2br w:val="nil"/>
              <w:tr2bl w:val="nil"/>
            </w:tcBorders>
            <w:noWrap w:val="0"/>
            <w:vAlign w:val="center"/>
          </w:tcPr>
          <w:p w14:paraId="44922ABC">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34EDCA8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3月</w:t>
            </w:r>
          </w:p>
        </w:tc>
        <w:tc>
          <w:tcPr>
            <w:tcW w:w="348" w:type="pct"/>
            <w:tcBorders>
              <w:tl2br w:val="nil"/>
              <w:tr2bl w:val="nil"/>
            </w:tcBorders>
            <w:noWrap w:val="0"/>
            <w:vAlign w:val="center"/>
          </w:tcPr>
          <w:p w14:paraId="77DF4E3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57ADFD5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5.3</w:t>
            </w:r>
          </w:p>
        </w:tc>
        <w:tc>
          <w:tcPr>
            <w:tcW w:w="575" w:type="pct"/>
            <w:tcBorders>
              <w:tl2br w:val="nil"/>
              <w:tr2bl w:val="nil"/>
            </w:tcBorders>
            <w:noWrap w:val="0"/>
            <w:vAlign w:val="center"/>
          </w:tcPr>
          <w:p w14:paraId="0474C75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0.08</w:t>
            </w:r>
          </w:p>
        </w:tc>
        <w:tc>
          <w:tcPr>
            <w:tcW w:w="574" w:type="pct"/>
            <w:tcBorders>
              <w:tl2br w:val="nil"/>
              <w:tr2bl w:val="nil"/>
            </w:tcBorders>
            <w:noWrap w:val="0"/>
            <w:vAlign w:val="center"/>
          </w:tcPr>
          <w:p w14:paraId="136A980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0.100</w:t>
            </w:r>
          </w:p>
        </w:tc>
        <w:tc>
          <w:tcPr>
            <w:tcW w:w="528" w:type="pct"/>
            <w:tcBorders>
              <w:tl2br w:val="nil"/>
              <w:tr2bl w:val="nil"/>
            </w:tcBorders>
            <w:noWrap w:val="0"/>
            <w:vAlign w:val="center"/>
          </w:tcPr>
          <w:p w14:paraId="22A7324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0.8</w:t>
            </w:r>
          </w:p>
        </w:tc>
        <w:tc>
          <w:tcPr>
            <w:tcW w:w="566" w:type="pct"/>
            <w:tcBorders>
              <w:tl2br w:val="nil"/>
              <w:tr2bl w:val="nil"/>
            </w:tcBorders>
            <w:noWrap w:val="0"/>
            <w:vAlign w:val="center"/>
          </w:tcPr>
          <w:p w14:paraId="4A9E8BF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03AE4AD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5B5C3E3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46CE79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281" w:type="pct"/>
            <w:vMerge w:val="continue"/>
            <w:tcBorders>
              <w:tl2br w:val="nil"/>
              <w:tr2bl w:val="nil"/>
            </w:tcBorders>
            <w:noWrap w:val="0"/>
            <w:vAlign w:val="center"/>
          </w:tcPr>
          <w:p w14:paraId="67B38B7C">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4858B87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4月</w:t>
            </w:r>
          </w:p>
        </w:tc>
        <w:tc>
          <w:tcPr>
            <w:tcW w:w="348" w:type="pct"/>
            <w:tcBorders>
              <w:tl2br w:val="nil"/>
              <w:tr2bl w:val="nil"/>
            </w:tcBorders>
            <w:noWrap w:val="0"/>
            <w:vAlign w:val="center"/>
          </w:tcPr>
          <w:p w14:paraId="391C1C7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7422C61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7.0</w:t>
            </w:r>
          </w:p>
        </w:tc>
        <w:tc>
          <w:tcPr>
            <w:tcW w:w="575" w:type="pct"/>
            <w:tcBorders>
              <w:tl2br w:val="nil"/>
              <w:tr2bl w:val="nil"/>
            </w:tcBorders>
            <w:noWrap w:val="0"/>
            <w:vAlign w:val="center"/>
          </w:tcPr>
          <w:p w14:paraId="7AC6E0A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w:t>
            </w:r>
          </w:p>
        </w:tc>
        <w:tc>
          <w:tcPr>
            <w:tcW w:w="574" w:type="pct"/>
            <w:tcBorders>
              <w:tl2br w:val="nil"/>
              <w:tr2bl w:val="nil"/>
            </w:tcBorders>
            <w:noWrap w:val="0"/>
            <w:vAlign w:val="center"/>
          </w:tcPr>
          <w:p w14:paraId="001251B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0.077</w:t>
            </w:r>
          </w:p>
        </w:tc>
        <w:tc>
          <w:tcPr>
            <w:tcW w:w="528" w:type="pct"/>
            <w:tcBorders>
              <w:tl2br w:val="nil"/>
              <w:tr2bl w:val="nil"/>
            </w:tcBorders>
            <w:noWrap w:val="0"/>
            <w:vAlign w:val="center"/>
          </w:tcPr>
          <w:p w14:paraId="000DC3A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0.7</w:t>
            </w:r>
          </w:p>
        </w:tc>
        <w:tc>
          <w:tcPr>
            <w:tcW w:w="566" w:type="pct"/>
            <w:tcBorders>
              <w:tl2br w:val="nil"/>
              <w:tr2bl w:val="nil"/>
            </w:tcBorders>
            <w:noWrap w:val="0"/>
            <w:vAlign w:val="center"/>
          </w:tcPr>
          <w:p w14:paraId="3E59DFC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039E024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3C946D1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269F52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281" w:type="pct"/>
            <w:vMerge w:val="continue"/>
            <w:tcBorders>
              <w:tl2br w:val="nil"/>
              <w:tr2bl w:val="nil"/>
            </w:tcBorders>
            <w:noWrap w:val="0"/>
            <w:vAlign w:val="center"/>
          </w:tcPr>
          <w:p w14:paraId="28FA7DCC">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0035CD6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5月</w:t>
            </w:r>
          </w:p>
        </w:tc>
        <w:tc>
          <w:tcPr>
            <w:tcW w:w="348" w:type="pct"/>
            <w:tcBorders>
              <w:tl2br w:val="nil"/>
              <w:tr2bl w:val="nil"/>
            </w:tcBorders>
            <w:noWrap w:val="0"/>
            <w:vAlign w:val="center"/>
          </w:tcPr>
          <w:p w14:paraId="1EDA5B1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69D62E9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6.0</w:t>
            </w:r>
          </w:p>
        </w:tc>
        <w:tc>
          <w:tcPr>
            <w:tcW w:w="575" w:type="pct"/>
            <w:tcBorders>
              <w:tl2br w:val="nil"/>
              <w:tr2bl w:val="nil"/>
            </w:tcBorders>
            <w:noWrap w:val="0"/>
            <w:vAlign w:val="center"/>
          </w:tcPr>
          <w:p w14:paraId="6185E70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0.09</w:t>
            </w:r>
          </w:p>
        </w:tc>
        <w:tc>
          <w:tcPr>
            <w:tcW w:w="574" w:type="pct"/>
            <w:tcBorders>
              <w:tl2br w:val="nil"/>
              <w:tr2bl w:val="nil"/>
            </w:tcBorders>
            <w:noWrap w:val="0"/>
            <w:vAlign w:val="center"/>
          </w:tcPr>
          <w:p w14:paraId="4407161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0.080</w:t>
            </w:r>
          </w:p>
        </w:tc>
        <w:tc>
          <w:tcPr>
            <w:tcW w:w="528" w:type="pct"/>
            <w:tcBorders>
              <w:tl2br w:val="nil"/>
              <w:tr2bl w:val="nil"/>
            </w:tcBorders>
            <w:noWrap w:val="0"/>
            <w:vAlign w:val="center"/>
          </w:tcPr>
          <w:p w14:paraId="6D587A0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0.6</w:t>
            </w:r>
          </w:p>
        </w:tc>
        <w:tc>
          <w:tcPr>
            <w:tcW w:w="566" w:type="pct"/>
            <w:tcBorders>
              <w:tl2br w:val="nil"/>
              <w:tr2bl w:val="nil"/>
            </w:tcBorders>
            <w:noWrap w:val="0"/>
            <w:vAlign w:val="center"/>
          </w:tcPr>
          <w:p w14:paraId="7DCD3BF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2C74D21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497D5C9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43E874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281" w:type="pct"/>
            <w:vMerge w:val="continue"/>
            <w:tcBorders>
              <w:tl2br w:val="nil"/>
              <w:tr2bl w:val="nil"/>
            </w:tcBorders>
            <w:noWrap w:val="0"/>
            <w:vAlign w:val="center"/>
          </w:tcPr>
          <w:p w14:paraId="0797B645">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3BD4795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6月</w:t>
            </w:r>
          </w:p>
        </w:tc>
        <w:tc>
          <w:tcPr>
            <w:tcW w:w="348" w:type="pct"/>
            <w:tcBorders>
              <w:tl2br w:val="nil"/>
              <w:tr2bl w:val="nil"/>
            </w:tcBorders>
            <w:noWrap w:val="0"/>
            <w:vAlign w:val="center"/>
          </w:tcPr>
          <w:p w14:paraId="6FA3F1F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w:t>
            </w:r>
          </w:p>
        </w:tc>
        <w:tc>
          <w:tcPr>
            <w:tcW w:w="470" w:type="pct"/>
            <w:tcBorders>
              <w:tl2br w:val="nil"/>
              <w:tr2bl w:val="nil"/>
            </w:tcBorders>
            <w:noWrap w:val="0"/>
            <w:vAlign w:val="center"/>
          </w:tcPr>
          <w:p w14:paraId="291B86E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11.7</w:t>
            </w:r>
          </w:p>
        </w:tc>
        <w:tc>
          <w:tcPr>
            <w:tcW w:w="575" w:type="pct"/>
            <w:tcBorders>
              <w:tl2br w:val="nil"/>
              <w:tr2bl w:val="nil"/>
            </w:tcBorders>
            <w:noWrap w:val="0"/>
            <w:vAlign w:val="center"/>
          </w:tcPr>
          <w:p w14:paraId="14B5CB0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0.19</w:t>
            </w:r>
          </w:p>
        </w:tc>
        <w:tc>
          <w:tcPr>
            <w:tcW w:w="574" w:type="pct"/>
            <w:tcBorders>
              <w:tl2br w:val="nil"/>
              <w:tr2bl w:val="nil"/>
            </w:tcBorders>
            <w:noWrap w:val="0"/>
            <w:vAlign w:val="center"/>
          </w:tcPr>
          <w:p w14:paraId="2A21D03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0.073</w:t>
            </w:r>
          </w:p>
        </w:tc>
        <w:tc>
          <w:tcPr>
            <w:tcW w:w="528" w:type="pct"/>
            <w:tcBorders>
              <w:tl2br w:val="nil"/>
              <w:tr2bl w:val="nil"/>
            </w:tcBorders>
            <w:noWrap w:val="0"/>
            <w:vAlign w:val="center"/>
          </w:tcPr>
          <w:p w14:paraId="12AAFA2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0.6</w:t>
            </w:r>
          </w:p>
        </w:tc>
        <w:tc>
          <w:tcPr>
            <w:tcW w:w="566" w:type="pct"/>
            <w:tcBorders>
              <w:tl2br w:val="nil"/>
              <w:tr2bl w:val="nil"/>
            </w:tcBorders>
            <w:noWrap w:val="0"/>
            <w:vAlign w:val="center"/>
          </w:tcPr>
          <w:p w14:paraId="532FCDF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0D3CD8F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0DF85A7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16B9DB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3737ABAF">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150DCC5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7月</w:t>
            </w:r>
          </w:p>
        </w:tc>
        <w:tc>
          <w:tcPr>
            <w:tcW w:w="348" w:type="pct"/>
            <w:tcBorders>
              <w:tl2br w:val="nil"/>
              <w:tr2bl w:val="nil"/>
            </w:tcBorders>
            <w:noWrap w:val="0"/>
            <w:vAlign w:val="center"/>
          </w:tcPr>
          <w:p w14:paraId="1481932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w:t>
            </w:r>
          </w:p>
        </w:tc>
        <w:tc>
          <w:tcPr>
            <w:tcW w:w="470" w:type="pct"/>
            <w:tcBorders>
              <w:tl2br w:val="nil"/>
              <w:tr2bl w:val="nil"/>
            </w:tcBorders>
            <w:noWrap w:val="0"/>
            <w:vAlign w:val="center"/>
          </w:tcPr>
          <w:p w14:paraId="7AF795A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6.3</w:t>
            </w:r>
          </w:p>
        </w:tc>
        <w:tc>
          <w:tcPr>
            <w:tcW w:w="575" w:type="pct"/>
            <w:tcBorders>
              <w:tl2br w:val="nil"/>
              <w:tr2bl w:val="nil"/>
            </w:tcBorders>
            <w:noWrap w:val="0"/>
            <w:vAlign w:val="center"/>
          </w:tcPr>
          <w:p w14:paraId="351E777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0.15</w:t>
            </w:r>
          </w:p>
        </w:tc>
        <w:tc>
          <w:tcPr>
            <w:tcW w:w="574" w:type="pct"/>
            <w:tcBorders>
              <w:tl2br w:val="nil"/>
              <w:tr2bl w:val="nil"/>
            </w:tcBorders>
            <w:noWrap w:val="0"/>
            <w:vAlign w:val="center"/>
          </w:tcPr>
          <w:p w14:paraId="7F2D6E9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0.067</w:t>
            </w:r>
          </w:p>
        </w:tc>
        <w:tc>
          <w:tcPr>
            <w:tcW w:w="528" w:type="pct"/>
            <w:tcBorders>
              <w:tl2br w:val="nil"/>
              <w:tr2bl w:val="nil"/>
            </w:tcBorders>
            <w:noWrap w:val="0"/>
            <w:vAlign w:val="center"/>
          </w:tcPr>
          <w:p w14:paraId="5040DF5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1.6</w:t>
            </w:r>
          </w:p>
        </w:tc>
        <w:tc>
          <w:tcPr>
            <w:tcW w:w="566" w:type="pct"/>
            <w:tcBorders>
              <w:tl2br w:val="nil"/>
              <w:tr2bl w:val="nil"/>
            </w:tcBorders>
            <w:noWrap w:val="0"/>
            <w:vAlign w:val="center"/>
          </w:tcPr>
          <w:p w14:paraId="537F1E5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4465F9B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51F8F3F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367475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281" w:type="pct"/>
            <w:vMerge w:val="continue"/>
            <w:tcBorders>
              <w:tl2br w:val="nil"/>
              <w:tr2bl w:val="nil"/>
            </w:tcBorders>
            <w:noWrap w:val="0"/>
            <w:vAlign w:val="center"/>
          </w:tcPr>
          <w:p w14:paraId="09548682">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32083A4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8月</w:t>
            </w:r>
          </w:p>
        </w:tc>
        <w:tc>
          <w:tcPr>
            <w:tcW w:w="348" w:type="pct"/>
            <w:tcBorders>
              <w:tl2br w:val="nil"/>
              <w:tr2bl w:val="nil"/>
            </w:tcBorders>
            <w:noWrap w:val="0"/>
            <w:vAlign w:val="center"/>
          </w:tcPr>
          <w:p w14:paraId="3871689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5FB5D01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7.7</w:t>
            </w:r>
          </w:p>
        </w:tc>
        <w:tc>
          <w:tcPr>
            <w:tcW w:w="575" w:type="pct"/>
            <w:tcBorders>
              <w:tl2br w:val="nil"/>
              <w:tr2bl w:val="nil"/>
            </w:tcBorders>
            <w:noWrap w:val="0"/>
            <w:vAlign w:val="center"/>
          </w:tcPr>
          <w:p w14:paraId="3FB5C76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0.04</w:t>
            </w:r>
          </w:p>
        </w:tc>
        <w:tc>
          <w:tcPr>
            <w:tcW w:w="574" w:type="pct"/>
            <w:tcBorders>
              <w:tl2br w:val="nil"/>
              <w:tr2bl w:val="nil"/>
            </w:tcBorders>
            <w:noWrap w:val="0"/>
            <w:vAlign w:val="center"/>
          </w:tcPr>
          <w:p w14:paraId="3F474CE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0.057</w:t>
            </w:r>
          </w:p>
        </w:tc>
        <w:tc>
          <w:tcPr>
            <w:tcW w:w="528" w:type="pct"/>
            <w:tcBorders>
              <w:tl2br w:val="nil"/>
              <w:tr2bl w:val="nil"/>
            </w:tcBorders>
            <w:noWrap w:val="0"/>
            <w:vAlign w:val="center"/>
          </w:tcPr>
          <w:p w14:paraId="25685AF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2.1</w:t>
            </w:r>
          </w:p>
        </w:tc>
        <w:tc>
          <w:tcPr>
            <w:tcW w:w="566" w:type="pct"/>
            <w:tcBorders>
              <w:tl2br w:val="nil"/>
              <w:tr2bl w:val="nil"/>
            </w:tcBorders>
            <w:noWrap w:val="0"/>
            <w:vAlign w:val="center"/>
          </w:tcPr>
          <w:p w14:paraId="2814BA1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768CA0B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61A8FCD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2FF852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00EC2A41">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74A84C0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9月</w:t>
            </w:r>
          </w:p>
        </w:tc>
        <w:tc>
          <w:tcPr>
            <w:tcW w:w="348" w:type="pct"/>
            <w:tcBorders>
              <w:tl2br w:val="nil"/>
              <w:tr2bl w:val="nil"/>
            </w:tcBorders>
            <w:noWrap w:val="0"/>
            <w:vAlign w:val="center"/>
          </w:tcPr>
          <w:p w14:paraId="439612E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7913650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7.0</w:t>
            </w:r>
          </w:p>
        </w:tc>
        <w:tc>
          <w:tcPr>
            <w:tcW w:w="575" w:type="pct"/>
            <w:tcBorders>
              <w:tl2br w:val="nil"/>
              <w:tr2bl w:val="nil"/>
            </w:tcBorders>
            <w:noWrap w:val="0"/>
            <w:vAlign w:val="center"/>
          </w:tcPr>
          <w:p w14:paraId="70BFA94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0.03</w:t>
            </w:r>
          </w:p>
        </w:tc>
        <w:tc>
          <w:tcPr>
            <w:tcW w:w="574" w:type="pct"/>
            <w:tcBorders>
              <w:tl2br w:val="nil"/>
              <w:tr2bl w:val="nil"/>
            </w:tcBorders>
            <w:noWrap w:val="0"/>
            <w:vAlign w:val="center"/>
          </w:tcPr>
          <w:p w14:paraId="68CE5BA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0.063</w:t>
            </w:r>
          </w:p>
        </w:tc>
        <w:tc>
          <w:tcPr>
            <w:tcW w:w="528" w:type="pct"/>
            <w:tcBorders>
              <w:tl2br w:val="nil"/>
              <w:tr2bl w:val="nil"/>
            </w:tcBorders>
            <w:noWrap w:val="0"/>
            <w:vAlign w:val="center"/>
          </w:tcPr>
          <w:p w14:paraId="6236DE4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2.1</w:t>
            </w:r>
          </w:p>
        </w:tc>
        <w:tc>
          <w:tcPr>
            <w:tcW w:w="566" w:type="pct"/>
            <w:tcBorders>
              <w:tl2br w:val="nil"/>
              <w:tr2bl w:val="nil"/>
            </w:tcBorders>
            <w:noWrap w:val="0"/>
            <w:vAlign w:val="center"/>
          </w:tcPr>
          <w:p w14:paraId="7396932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467EFCC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243D966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52F8919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8" w:hRule="atLeast"/>
          <w:jc w:val="center"/>
        </w:trPr>
        <w:tc>
          <w:tcPr>
            <w:tcW w:w="281" w:type="pct"/>
            <w:vMerge w:val="continue"/>
            <w:tcBorders>
              <w:tl2br w:val="nil"/>
              <w:tr2bl w:val="nil"/>
            </w:tcBorders>
            <w:noWrap w:val="0"/>
            <w:vAlign w:val="center"/>
          </w:tcPr>
          <w:p w14:paraId="32EB077C">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15B7807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10月</w:t>
            </w:r>
          </w:p>
        </w:tc>
        <w:tc>
          <w:tcPr>
            <w:tcW w:w="348" w:type="pct"/>
            <w:tcBorders>
              <w:tl2br w:val="nil"/>
              <w:tr2bl w:val="nil"/>
            </w:tcBorders>
            <w:noWrap w:val="0"/>
            <w:vAlign w:val="center"/>
          </w:tcPr>
          <w:p w14:paraId="2F4A169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0FD997B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9.0</w:t>
            </w:r>
          </w:p>
        </w:tc>
        <w:tc>
          <w:tcPr>
            <w:tcW w:w="575" w:type="pct"/>
            <w:tcBorders>
              <w:tl2br w:val="nil"/>
              <w:tr2bl w:val="nil"/>
            </w:tcBorders>
            <w:noWrap w:val="0"/>
            <w:vAlign w:val="center"/>
          </w:tcPr>
          <w:p w14:paraId="5ED9AC0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0.31</w:t>
            </w:r>
          </w:p>
        </w:tc>
        <w:tc>
          <w:tcPr>
            <w:tcW w:w="574" w:type="pct"/>
            <w:tcBorders>
              <w:tl2br w:val="nil"/>
              <w:tr2bl w:val="nil"/>
            </w:tcBorders>
            <w:noWrap w:val="0"/>
            <w:vAlign w:val="center"/>
          </w:tcPr>
          <w:p w14:paraId="7A633E2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0.050</w:t>
            </w:r>
          </w:p>
        </w:tc>
        <w:tc>
          <w:tcPr>
            <w:tcW w:w="528" w:type="pct"/>
            <w:tcBorders>
              <w:tl2br w:val="nil"/>
              <w:tr2bl w:val="nil"/>
            </w:tcBorders>
            <w:noWrap w:val="0"/>
            <w:vAlign w:val="center"/>
          </w:tcPr>
          <w:p w14:paraId="24D3BFEA">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2.2</w:t>
            </w:r>
          </w:p>
        </w:tc>
        <w:tc>
          <w:tcPr>
            <w:tcW w:w="566" w:type="pct"/>
            <w:tcBorders>
              <w:tl2br w:val="nil"/>
              <w:tr2bl w:val="nil"/>
            </w:tcBorders>
            <w:noWrap w:val="0"/>
            <w:vAlign w:val="center"/>
          </w:tcPr>
          <w:p w14:paraId="0F54073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3FE9C050">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1AF0365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164BF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58761F27">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6C0B979B">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11月</w:t>
            </w:r>
          </w:p>
        </w:tc>
        <w:tc>
          <w:tcPr>
            <w:tcW w:w="348" w:type="pct"/>
            <w:tcBorders>
              <w:tl2br w:val="nil"/>
              <w:tr2bl w:val="nil"/>
            </w:tcBorders>
            <w:noWrap w:val="0"/>
            <w:vAlign w:val="center"/>
          </w:tcPr>
          <w:p w14:paraId="7E9BCCA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7</w:t>
            </w:r>
          </w:p>
        </w:tc>
        <w:tc>
          <w:tcPr>
            <w:tcW w:w="470" w:type="pct"/>
            <w:tcBorders>
              <w:tl2br w:val="nil"/>
              <w:tr2bl w:val="nil"/>
            </w:tcBorders>
            <w:noWrap w:val="0"/>
            <w:vAlign w:val="center"/>
          </w:tcPr>
          <w:p w14:paraId="674866D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8.0</w:t>
            </w:r>
          </w:p>
        </w:tc>
        <w:tc>
          <w:tcPr>
            <w:tcW w:w="575" w:type="pct"/>
            <w:tcBorders>
              <w:tl2br w:val="nil"/>
              <w:tr2bl w:val="nil"/>
            </w:tcBorders>
            <w:noWrap w:val="0"/>
            <w:vAlign w:val="center"/>
          </w:tcPr>
          <w:p w14:paraId="701BF96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0.07</w:t>
            </w:r>
          </w:p>
        </w:tc>
        <w:tc>
          <w:tcPr>
            <w:tcW w:w="574" w:type="pct"/>
            <w:tcBorders>
              <w:tl2br w:val="nil"/>
              <w:tr2bl w:val="nil"/>
            </w:tcBorders>
            <w:noWrap w:val="0"/>
            <w:vAlign w:val="center"/>
          </w:tcPr>
          <w:p w14:paraId="7406CF5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0.050</w:t>
            </w:r>
          </w:p>
        </w:tc>
        <w:tc>
          <w:tcPr>
            <w:tcW w:w="528" w:type="pct"/>
            <w:tcBorders>
              <w:tl2br w:val="nil"/>
              <w:tr2bl w:val="nil"/>
            </w:tcBorders>
            <w:noWrap w:val="0"/>
            <w:vAlign w:val="center"/>
          </w:tcPr>
          <w:p w14:paraId="41F054FC">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1.6</w:t>
            </w:r>
          </w:p>
        </w:tc>
        <w:tc>
          <w:tcPr>
            <w:tcW w:w="566" w:type="pct"/>
            <w:tcBorders>
              <w:tl2br w:val="nil"/>
              <w:tr2bl w:val="nil"/>
            </w:tcBorders>
            <w:noWrap w:val="0"/>
            <w:vAlign w:val="center"/>
          </w:tcPr>
          <w:p w14:paraId="363B56F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372C8E54">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5BC9244E">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13F2C0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281" w:type="pct"/>
            <w:vMerge w:val="continue"/>
            <w:tcBorders>
              <w:tl2br w:val="nil"/>
              <w:tr2bl w:val="nil"/>
            </w:tcBorders>
            <w:noWrap w:val="0"/>
            <w:vAlign w:val="center"/>
          </w:tcPr>
          <w:p w14:paraId="39B3AB32">
            <w:pPr>
              <w:pStyle w:val="41"/>
              <w:rPr>
                <w:rFonts w:hint="eastAsia" w:ascii="Times New Roman" w:hAnsi="Times New Roman" w:eastAsia="宋体" w:cs="Times New Roman"/>
                <w:color w:val="auto"/>
                <w:u w:val="none"/>
                <w:lang w:val="en-US" w:eastAsia="zh-CN"/>
              </w:rPr>
            </w:pPr>
          </w:p>
        </w:tc>
        <w:tc>
          <w:tcPr>
            <w:tcW w:w="393" w:type="pct"/>
            <w:tcBorders>
              <w:tl2br w:val="nil"/>
              <w:tr2bl w:val="nil"/>
            </w:tcBorders>
            <w:noWrap w:val="0"/>
            <w:vAlign w:val="center"/>
          </w:tcPr>
          <w:p w14:paraId="28F15E6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12月</w:t>
            </w:r>
          </w:p>
        </w:tc>
        <w:tc>
          <w:tcPr>
            <w:tcW w:w="348" w:type="pct"/>
            <w:tcBorders>
              <w:tl2br w:val="nil"/>
              <w:tr2bl w:val="nil"/>
            </w:tcBorders>
            <w:noWrap w:val="0"/>
            <w:vAlign w:val="center"/>
          </w:tcPr>
          <w:p w14:paraId="32A80CBF">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8</w:t>
            </w:r>
          </w:p>
        </w:tc>
        <w:tc>
          <w:tcPr>
            <w:tcW w:w="470" w:type="pct"/>
            <w:tcBorders>
              <w:tl2br w:val="nil"/>
              <w:tr2bl w:val="nil"/>
            </w:tcBorders>
            <w:noWrap w:val="0"/>
            <w:vAlign w:val="center"/>
          </w:tcPr>
          <w:p w14:paraId="592AA52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9.0</w:t>
            </w:r>
          </w:p>
        </w:tc>
        <w:tc>
          <w:tcPr>
            <w:tcW w:w="575" w:type="pct"/>
            <w:tcBorders>
              <w:tl2br w:val="nil"/>
              <w:tr2bl w:val="nil"/>
            </w:tcBorders>
            <w:noWrap w:val="0"/>
            <w:vAlign w:val="center"/>
          </w:tcPr>
          <w:p w14:paraId="13BC3C0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0.08</w:t>
            </w:r>
          </w:p>
        </w:tc>
        <w:tc>
          <w:tcPr>
            <w:tcW w:w="574" w:type="pct"/>
            <w:tcBorders>
              <w:tl2br w:val="nil"/>
              <w:tr2bl w:val="nil"/>
            </w:tcBorders>
            <w:noWrap w:val="0"/>
            <w:vAlign w:val="center"/>
          </w:tcPr>
          <w:p w14:paraId="0B7DA141">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0.050</w:t>
            </w:r>
          </w:p>
        </w:tc>
        <w:tc>
          <w:tcPr>
            <w:tcW w:w="528" w:type="pct"/>
            <w:tcBorders>
              <w:tl2br w:val="nil"/>
              <w:tr2bl w:val="nil"/>
            </w:tcBorders>
            <w:noWrap w:val="0"/>
            <w:vAlign w:val="center"/>
          </w:tcPr>
          <w:p w14:paraId="00BC181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1.5</w:t>
            </w:r>
          </w:p>
        </w:tc>
        <w:tc>
          <w:tcPr>
            <w:tcW w:w="566" w:type="pct"/>
            <w:tcBorders>
              <w:tl2br w:val="nil"/>
              <w:tr2bl w:val="nil"/>
            </w:tcBorders>
            <w:noWrap w:val="0"/>
            <w:vAlign w:val="center"/>
          </w:tcPr>
          <w:p w14:paraId="6B15FBE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0.02</w:t>
            </w:r>
          </w:p>
        </w:tc>
        <w:tc>
          <w:tcPr>
            <w:tcW w:w="682" w:type="pct"/>
            <w:tcBorders>
              <w:tl2br w:val="nil"/>
              <w:tr2bl w:val="nil"/>
            </w:tcBorders>
            <w:noWrap w:val="0"/>
            <w:vAlign w:val="center"/>
          </w:tcPr>
          <w:p w14:paraId="0AC1185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0.0002</w:t>
            </w:r>
          </w:p>
        </w:tc>
        <w:tc>
          <w:tcPr>
            <w:tcW w:w="578" w:type="pct"/>
            <w:tcBorders>
              <w:tl2br w:val="nil"/>
              <w:tr2bl w:val="nil"/>
            </w:tcBorders>
            <w:noWrap w:val="0"/>
            <w:vAlign w:val="center"/>
          </w:tcPr>
          <w:p w14:paraId="0FE6AFCD">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r>
      <w:tr w14:paraId="3D8FF2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675" w:type="pct"/>
            <w:gridSpan w:val="2"/>
            <w:tcBorders>
              <w:tl2br w:val="nil"/>
              <w:tr2bl w:val="nil"/>
            </w:tcBorders>
            <w:noWrap w:val="0"/>
            <w:vAlign w:val="center"/>
          </w:tcPr>
          <w:p w14:paraId="386D1B6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执行标准</w:t>
            </w:r>
          </w:p>
        </w:tc>
        <w:tc>
          <w:tcPr>
            <w:tcW w:w="348" w:type="pct"/>
            <w:tcBorders>
              <w:tl2br w:val="nil"/>
              <w:tr2bl w:val="nil"/>
            </w:tcBorders>
            <w:noWrap w:val="0"/>
            <w:vAlign w:val="center"/>
          </w:tcPr>
          <w:p w14:paraId="502163E7">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6~9</w:t>
            </w:r>
          </w:p>
        </w:tc>
        <w:tc>
          <w:tcPr>
            <w:tcW w:w="470" w:type="pct"/>
            <w:tcBorders>
              <w:tl2br w:val="nil"/>
              <w:tr2bl w:val="nil"/>
            </w:tcBorders>
            <w:noWrap w:val="0"/>
            <w:vAlign w:val="center"/>
          </w:tcPr>
          <w:p w14:paraId="418E0BE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≤20</w:t>
            </w:r>
          </w:p>
        </w:tc>
        <w:tc>
          <w:tcPr>
            <w:tcW w:w="575" w:type="pct"/>
            <w:tcBorders>
              <w:tl2br w:val="nil"/>
              <w:tr2bl w:val="nil"/>
            </w:tcBorders>
            <w:noWrap w:val="0"/>
            <w:vAlign w:val="center"/>
          </w:tcPr>
          <w:p w14:paraId="41D48CA9">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≤1.0</w:t>
            </w:r>
          </w:p>
        </w:tc>
        <w:tc>
          <w:tcPr>
            <w:tcW w:w="574" w:type="pct"/>
            <w:tcBorders>
              <w:tl2br w:val="nil"/>
              <w:tr2bl w:val="nil"/>
            </w:tcBorders>
            <w:noWrap w:val="0"/>
            <w:vAlign w:val="center"/>
          </w:tcPr>
          <w:p w14:paraId="694EAC16">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≤0.2</w:t>
            </w:r>
          </w:p>
        </w:tc>
        <w:tc>
          <w:tcPr>
            <w:tcW w:w="528" w:type="pct"/>
            <w:tcBorders>
              <w:tl2br w:val="nil"/>
              <w:tr2bl w:val="nil"/>
            </w:tcBorders>
            <w:noWrap w:val="0"/>
            <w:vAlign w:val="center"/>
          </w:tcPr>
          <w:p w14:paraId="575B1538">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≤4</w:t>
            </w:r>
          </w:p>
        </w:tc>
        <w:tc>
          <w:tcPr>
            <w:tcW w:w="566" w:type="pct"/>
            <w:tcBorders>
              <w:tl2br w:val="nil"/>
              <w:tr2bl w:val="nil"/>
            </w:tcBorders>
            <w:noWrap w:val="0"/>
            <w:vAlign w:val="center"/>
          </w:tcPr>
          <w:p w14:paraId="72D5DED5">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≤0.2</w:t>
            </w:r>
          </w:p>
        </w:tc>
        <w:tc>
          <w:tcPr>
            <w:tcW w:w="682" w:type="pct"/>
            <w:tcBorders>
              <w:tl2br w:val="nil"/>
              <w:tr2bl w:val="nil"/>
            </w:tcBorders>
            <w:noWrap w:val="0"/>
            <w:vAlign w:val="center"/>
          </w:tcPr>
          <w:p w14:paraId="68FEE512">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≤0.005</w:t>
            </w:r>
          </w:p>
        </w:tc>
        <w:tc>
          <w:tcPr>
            <w:tcW w:w="578" w:type="pct"/>
            <w:tcBorders>
              <w:tl2br w:val="nil"/>
              <w:tr2bl w:val="nil"/>
            </w:tcBorders>
            <w:noWrap w:val="0"/>
            <w:vAlign w:val="center"/>
          </w:tcPr>
          <w:p w14:paraId="439D9823">
            <w:pPr>
              <w:pStyle w:val="41"/>
              <w:rPr>
                <w:rFonts w:hint="eastAsia" w:ascii="Times New Roman" w:hAnsi="Times New Roman" w:eastAsia="宋体" w:cs="Times New Roman"/>
                <w:color w:val="auto"/>
                <w:u w:val="none"/>
                <w:lang w:val="en-US" w:eastAsia="zh-CN"/>
              </w:rPr>
            </w:pPr>
            <w:r>
              <w:rPr>
                <w:rFonts w:hint="eastAsia" w:ascii="Times New Roman" w:hAnsi="Times New Roman" w:eastAsia="宋体" w:cs="Times New Roman"/>
                <w:color w:val="auto"/>
                <w:u w:val="none"/>
                <w:lang w:val="en-US" w:eastAsia="zh-CN"/>
              </w:rPr>
              <w:t>≤0.05</w:t>
            </w:r>
          </w:p>
        </w:tc>
      </w:tr>
    </w:tbl>
    <w:p w14:paraId="6EC7DA14">
      <w:pPr>
        <w:overflowPunct w:val="0"/>
        <w:autoSpaceDE w:val="0"/>
        <w:autoSpaceDN w:val="0"/>
        <w:spacing w:line="360" w:lineRule="auto"/>
        <w:ind w:firstLine="480" w:firstLineChars="200"/>
        <w:rPr>
          <w:rFonts w:hint="default" w:ascii="Times New Roman" w:hAnsi="Times New Roman" w:eastAsia="宋体" w:cs="Times New Roman"/>
          <w:color w:val="auto"/>
          <w:sz w:val="24"/>
          <w:szCs w:val="20"/>
          <w:lang w:val="en-US"/>
        </w:rPr>
      </w:pPr>
      <w:r>
        <w:rPr>
          <w:rFonts w:hint="default" w:ascii="Times New Roman" w:hAnsi="Times New Roman" w:eastAsia="宋体" w:cs="Times New Roman"/>
          <w:color w:val="auto"/>
          <w:sz w:val="24"/>
          <w:szCs w:val="20"/>
          <w:lang w:val="en-US"/>
        </w:rPr>
        <w:t>根据监测统计结果可知，2022年长江城陵矶、陆城断面的监测因子均全年达到《地表水环境质量标准》（GB3838-2002）表1中Ⅲ类标准限值，地表水环境质量良好。</w:t>
      </w:r>
    </w:p>
    <w:p w14:paraId="4DF212B6">
      <w:pPr>
        <w:pStyle w:val="5"/>
        <w:rPr>
          <w:rFonts w:hint="default" w:ascii="Times New Roman" w:hAnsi="Times New Roman" w:cs="Times New Roman"/>
          <w:color w:val="auto"/>
          <w:u w:val="none"/>
        </w:rPr>
      </w:pPr>
      <w:bookmarkStart w:id="114" w:name="_Toc2664"/>
      <w:r>
        <w:rPr>
          <w:rFonts w:hint="default" w:ascii="Times New Roman" w:hAnsi="Times New Roman" w:cs="Times New Roman"/>
          <w:color w:val="auto"/>
          <w:u w:val="none"/>
        </w:rPr>
        <w:t>地下水环境质量</w:t>
      </w:r>
      <w:bookmarkEnd w:id="114"/>
    </w:p>
    <w:p w14:paraId="530B389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本次</w:t>
      </w:r>
      <w:r>
        <w:rPr>
          <w:rFonts w:hint="eastAsia" w:ascii="Times New Roman" w:hAnsi="Times New Roman" w:cs="Times New Roman"/>
          <w:color w:val="auto"/>
          <w:u w:val="none"/>
          <w:lang w:val="en-US" w:eastAsia="zh-CN"/>
        </w:rPr>
        <w:t>地下水</w:t>
      </w:r>
      <w:r>
        <w:rPr>
          <w:rFonts w:hint="default" w:ascii="Times New Roman" w:hAnsi="Times New Roman" w:cs="Times New Roman"/>
          <w:color w:val="auto"/>
          <w:u w:val="none"/>
        </w:rPr>
        <w:t>评价引用《易亲工业科技（岳阳）有限公司年产1500万件消费类电子精密金属结构件和核心模组生产线(一期)项目</w:t>
      </w:r>
      <w:r>
        <w:rPr>
          <w:rFonts w:hint="default" w:ascii="Times New Roman" w:hAnsi="Times New Roman" w:cs="Times New Roman"/>
          <w:color w:val="auto"/>
          <w:u w:val="none"/>
          <w:lang w:val="en-US" w:eastAsia="zh-CN"/>
        </w:rPr>
        <w:t>环境影响报告书</w:t>
      </w:r>
      <w:r>
        <w:rPr>
          <w:rFonts w:hint="default" w:ascii="Times New Roman" w:hAnsi="Times New Roman" w:cs="Times New Roman"/>
          <w:color w:val="auto"/>
          <w:u w:val="none"/>
        </w:rPr>
        <w:t>》中厂区周边地下水水位监测情况：</w:t>
      </w:r>
    </w:p>
    <w:p w14:paraId="48422DF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易亲工业科技（岳阳）有限公司委托湖南谱实检测技术有限公司于2022年6月20日~22日对周边区域地下水进行监测：</w:t>
      </w:r>
    </w:p>
    <w:p w14:paraId="6F72072E">
      <w:pPr>
        <w:numPr>
          <w:ilvl w:val="0"/>
          <w:numId w:val="8"/>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监测布点</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共布设四个监测点位（D1 、D2 、D3、D4），具体信息详见下表</w:t>
      </w:r>
    </w:p>
    <w:p w14:paraId="768FD79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表5.2-6   地下水环境质量监测布点信息表</w:t>
      </w:r>
    </w:p>
    <w:tbl>
      <w:tblPr>
        <w:tblStyle w:val="30"/>
        <w:tblW w:w="492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855"/>
        <w:gridCol w:w="2080"/>
        <w:gridCol w:w="1798"/>
        <w:gridCol w:w="1499"/>
        <w:gridCol w:w="1071"/>
      </w:tblGrid>
      <w:tr w14:paraId="78E38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tcBorders>
              <w:tl2br w:val="nil"/>
              <w:tr2bl w:val="nil"/>
            </w:tcBorders>
            <w:vAlign w:val="center"/>
          </w:tcPr>
          <w:p w14:paraId="7297F9F6">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点位编号</w:t>
            </w:r>
          </w:p>
        </w:tc>
        <w:tc>
          <w:tcPr>
            <w:tcW w:w="1038" w:type="pct"/>
            <w:tcBorders>
              <w:tl2br w:val="nil"/>
              <w:tr2bl w:val="nil"/>
            </w:tcBorders>
            <w:vAlign w:val="center"/>
          </w:tcPr>
          <w:p w14:paraId="1D1B7DED">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监测时间</w:t>
            </w:r>
          </w:p>
        </w:tc>
        <w:tc>
          <w:tcPr>
            <w:tcW w:w="1164" w:type="pct"/>
            <w:tcBorders>
              <w:tl2br w:val="nil"/>
              <w:tr2bl w:val="nil"/>
            </w:tcBorders>
            <w:vAlign w:val="center"/>
          </w:tcPr>
          <w:p w14:paraId="630F76FE">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点位位置</w:t>
            </w:r>
          </w:p>
        </w:tc>
        <w:tc>
          <w:tcPr>
            <w:tcW w:w="1006" w:type="pct"/>
            <w:tcBorders>
              <w:tl2br w:val="nil"/>
              <w:tr2bl w:val="nil"/>
            </w:tcBorders>
            <w:vAlign w:val="center"/>
          </w:tcPr>
          <w:p w14:paraId="32A38F62">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E</w:t>
            </w:r>
          </w:p>
        </w:tc>
        <w:tc>
          <w:tcPr>
            <w:tcW w:w="839" w:type="pct"/>
            <w:tcBorders>
              <w:tl2br w:val="nil"/>
              <w:tr2bl w:val="nil"/>
            </w:tcBorders>
            <w:vAlign w:val="center"/>
          </w:tcPr>
          <w:p w14:paraId="20F6C948">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N</w:t>
            </w:r>
          </w:p>
        </w:tc>
        <w:tc>
          <w:tcPr>
            <w:tcW w:w="599" w:type="pct"/>
            <w:tcBorders>
              <w:tl2br w:val="nil"/>
              <w:tr2bl w:val="nil"/>
            </w:tcBorders>
            <w:vAlign w:val="center"/>
          </w:tcPr>
          <w:p w14:paraId="39743EDC">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水位/m</w:t>
            </w:r>
          </w:p>
        </w:tc>
      </w:tr>
      <w:tr w14:paraId="0D0E3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tcBorders>
              <w:tl2br w:val="nil"/>
              <w:tr2bl w:val="nil"/>
            </w:tcBorders>
            <w:vAlign w:val="center"/>
          </w:tcPr>
          <w:p w14:paraId="3A945BA3">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1#</w:t>
            </w:r>
          </w:p>
        </w:tc>
        <w:tc>
          <w:tcPr>
            <w:tcW w:w="1038" w:type="pct"/>
            <w:vMerge w:val="restart"/>
            <w:tcBorders>
              <w:tl2br w:val="nil"/>
              <w:tr2bl w:val="nil"/>
            </w:tcBorders>
            <w:vAlign w:val="center"/>
          </w:tcPr>
          <w:p w14:paraId="7BD18863">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2022年6月20日～22日</w:t>
            </w:r>
          </w:p>
        </w:tc>
        <w:tc>
          <w:tcPr>
            <w:tcW w:w="1164" w:type="pct"/>
            <w:tcBorders>
              <w:tl2br w:val="nil"/>
              <w:tr2bl w:val="nil"/>
            </w:tcBorders>
            <w:vAlign w:val="center"/>
          </w:tcPr>
          <w:p w14:paraId="5579B854">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D1 厂界外上游水井</w:t>
            </w:r>
          </w:p>
        </w:tc>
        <w:tc>
          <w:tcPr>
            <w:tcW w:w="1006" w:type="pct"/>
            <w:tcBorders>
              <w:tl2br w:val="nil"/>
              <w:tr2bl w:val="nil"/>
            </w:tcBorders>
            <w:vAlign w:val="center"/>
          </w:tcPr>
          <w:p w14:paraId="55437958">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113°10′6. 14″</w:t>
            </w:r>
          </w:p>
        </w:tc>
        <w:tc>
          <w:tcPr>
            <w:tcW w:w="839" w:type="pct"/>
            <w:tcBorders>
              <w:tl2br w:val="nil"/>
              <w:tr2bl w:val="nil"/>
            </w:tcBorders>
            <w:vAlign w:val="center"/>
          </w:tcPr>
          <w:p w14:paraId="77238294">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29°26′6.70″</w:t>
            </w:r>
          </w:p>
        </w:tc>
        <w:tc>
          <w:tcPr>
            <w:tcW w:w="599" w:type="pct"/>
            <w:tcBorders>
              <w:tl2br w:val="nil"/>
              <w:tr2bl w:val="nil"/>
            </w:tcBorders>
            <w:vAlign w:val="center"/>
          </w:tcPr>
          <w:p w14:paraId="2E174C82">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7.0</w:t>
            </w:r>
          </w:p>
        </w:tc>
      </w:tr>
      <w:tr w14:paraId="016FD4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tcBorders>
              <w:tl2br w:val="nil"/>
              <w:tr2bl w:val="nil"/>
            </w:tcBorders>
            <w:vAlign w:val="center"/>
          </w:tcPr>
          <w:p w14:paraId="61C8DC78">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2#</w:t>
            </w:r>
          </w:p>
        </w:tc>
        <w:tc>
          <w:tcPr>
            <w:tcW w:w="1038" w:type="pct"/>
            <w:vMerge w:val="continue"/>
            <w:tcBorders>
              <w:tl2br w:val="nil"/>
              <w:tr2bl w:val="nil"/>
            </w:tcBorders>
            <w:vAlign w:val="center"/>
          </w:tcPr>
          <w:p w14:paraId="3D1620AF">
            <w:pPr>
              <w:pStyle w:val="41"/>
              <w:rPr>
                <w:rFonts w:hint="default" w:ascii="Times New Roman" w:hAnsi="Times New Roman" w:eastAsia="Times New Roman" w:cs="Times New Roman"/>
                <w:color w:val="auto"/>
                <w:spacing w:val="-3"/>
                <w:sz w:val="21"/>
                <w:szCs w:val="21"/>
                <w:u w:val="none"/>
              </w:rPr>
            </w:pPr>
          </w:p>
        </w:tc>
        <w:tc>
          <w:tcPr>
            <w:tcW w:w="1164" w:type="pct"/>
            <w:tcBorders>
              <w:tl2br w:val="nil"/>
              <w:tr2bl w:val="nil"/>
            </w:tcBorders>
            <w:vAlign w:val="center"/>
          </w:tcPr>
          <w:p w14:paraId="54400505">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D2 厂界外下游水井</w:t>
            </w:r>
          </w:p>
        </w:tc>
        <w:tc>
          <w:tcPr>
            <w:tcW w:w="1006" w:type="pct"/>
            <w:tcBorders>
              <w:tl2br w:val="nil"/>
              <w:tr2bl w:val="nil"/>
            </w:tcBorders>
            <w:vAlign w:val="center"/>
          </w:tcPr>
          <w:p w14:paraId="0F616857">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113°12′57.16″</w:t>
            </w:r>
          </w:p>
        </w:tc>
        <w:tc>
          <w:tcPr>
            <w:tcW w:w="839" w:type="pct"/>
            <w:tcBorders>
              <w:tl2br w:val="nil"/>
              <w:tr2bl w:val="nil"/>
            </w:tcBorders>
            <w:vAlign w:val="center"/>
          </w:tcPr>
          <w:p w14:paraId="7909CB0F">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29°28′26.28″</w:t>
            </w:r>
          </w:p>
        </w:tc>
        <w:tc>
          <w:tcPr>
            <w:tcW w:w="599" w:type="pct"/>
            <w:tcBorders>
              <w:tl2br w:val="nil"/>
              <w:tr2bl w:val="nil"/>
            </w:tcBorders>
            <w:vAlign w:val="center"/>
          </w:tcPr>
          <w:p w14:paraId="3F8F94B4">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6.5</w:t>
            </w:r>
          </w:p>
        </w:tc>
      </w:tr>
      <w:tr w14:paraId="67C08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tcBorders>
              <w:tl2br w:val="nil"/>
              <w:tr2bl w:val="nil"/>
            </w:tcBorders>
            <w:vAlign w:val="center"/>
          </w:tcPr>
          <w:p w14:paraId="362308B4">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cs="Times New Roman"/>
                <w:color w:val="auto"/>
                <w:spacing w:val="-3"/>
                <w:sz w:val="21"/>
                <w:szCs w:val="21"/>
                <w:u w:val="none"/>
              </w:rPr>
              <w:t>3</w:t>
            </w:r>
            <w:r>
              <w:rPr>
                <w:rFonts w:hint="default" w:ascii="Times New Roman" w:hAnsi="Times New Roman" w:eastAsia="Times New Roman" w:cs="Times New Roman"/>
                <w:color w:val="auto"/>
                <w:spacing w:val="-3"/>
                <w:sz w:val="21"/>
                <w:szCs w:val="21"/>
                <w:u w:val="none"/>
              </w:rPr>
              <w:t>#</w:t>
            </w:r>
          </w:p>
        </w:tc>
        <w:tc>
          <w:tcPr>
            <w:tcW w:w="1038" w:type="pct"/>
            <w:vMerge w:val="continue"/>
            <w:tcBorders>
              <w:tl2br w:val="nil"/>
              <w:tr2bl w:val="nil"/>
            </w:tcBorders>
            <w:vAlign w:val="center"/>
          </w:tcPr>
          <w:p w14:paraId="28C31325">
            <w:pPr>
              <w:pStyle w:val="41"/>
              <w:rPr>
                <w:rFonts w:hint="default" w:ascii="Times New Roman" w:hAnsi="Times New Roman" w:eastAsia="Times New Roman" w:cs="Times New Roman"/>
                <w:color w:val="auto"/>
                <w:spacing w:val="-3"/>
                <w:sz w:val="21"/>
                <w:szCs w:val="21"/>
                <w:u w:val="none"/>
              </w:rPr>
            </w:pPr>
          </w:p>
        </w:tc>
        <w:tc>
          <w:tcPr>
            <w:tcW w:w="1164" w:type="pct"/>
            <w:tcBorders>
              <w:tl2br w:val="nil"/>
              <w:tr2bl w:val="nil"/>
            </w:tcBorders>
            <w:vAlign w:val="center"/>
          </w:tcPr>
          <w:p w14:paraId="7126C458">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D3 厂界外北侧水井</w:t>
            </w:r>
          </w:p>
        </w:tc>
        <w:tc>
          <w:tcPr>
            <w:tcW w:w="1006" w:type="pct"/>
            <w:tcBorders>
              <w:tl2br w:val="nil"/>
              <w:tr2bl w:val="nil"/>
            </w:tcBorders>
            <w:vAlign w:val="center"/>
          </w:tcPr>
          <w:p w14:paraId="08F4CE94">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113°10′48.01″</w:t>
            </w:r>
          </w:p>
        </w:tc>
        <w:tc>
          <w:tcPr>
            <w:tcW w:w="839" w:type="pct"/>
            <w:tcBorders>
              <w:tl2br w:val="nil"/>
              <w:tr2bl w:val="nil"/>
            </w:tcBorders>
            <w:vAlign w:val="center"/>
          </w:tcPr>
          <w:p w14:paraId="09BF3649">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29°27′46.68″</w:t>
            </w:r>
          </w:p>
        </w:tc>
        <w:tc>
          <w:tcPr>
            <w:tcW w:w="599" w:type="pct"/>
            <w:tcBorders>
              <w:tl2br w:val="nil"/>
              <w:tr2bl w:val="nil"/>
            </w:tcBorders>
            <w:vAlign w:val="center"/>
          </w:tcPr>
          <w:p w14:paraId="06F86CE7">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8.0</w:t>
            </w:r>
          </w:p>
        </w:tc>
      </w:tr>
      <w:tr w14:paraId="14095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0" w:type="pct"/>
            <w:tcBorders>
              <w:tl2br w:val="nil"/>
              <w:tr2bl w:val="nil"/>
            </w:tcBorders>
            <w:vAlign w:val="center"/>
          </w:tcPr>
          <w:p w14:paraId="4A8D64F9">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cs="Times New Roman"/>
                <w:color w:val="auto"/>
                <w:spacing w:val="-3"/>
                <w:sz w:val="21"/>
                <w:szCs w:val="21"/>
                <w:u w:val="none"/>
              </w:rPr>
              <w:t>4</w:t>
            </w:r>
            <w:r>
              <w:rPr>
                <w:rFonts w:hint="default" w:ascii="Times New Roman" w:hAnsi="Times New Roman" w:eastAsia="Times New Roman" w:cs="Times New Roman"/>
                <w:color w:val="auto"/>
                <w:spacing w:val="-3"/>
                <w:sz w:val="21"/>
                <w:szCs w:val="21"/>
                <w:u w:val="none"/>
              </w:rPr>
              <w:t>#</w:t>
            </w:r>
          </w:p>
        </w:tc>
        <w:tc>
          <w:tcPr>
            <w:tcW w:w="1038" w:type="pct"/>
            <w:vMerge w:val="continue"/>
            <w:tcBorders>
              <w:tl2br w:val="nil"/>
              <w:tr2bl w:val="nil"/>
            </w:tcBorders>
            <w:vAlign w:val="center"/>
          </w:tcPr>
          <w:p w14:paraId="5C2303E9">
            <w:pPr>
              <w:pStyle w:val="41"/>
              <w:rPr>
                <w:rFonts w:hint="default" w:ascii="Times New Roman" w:hAnsi="Times New Roman" w:eastAsia="Times New Roman" w:cs="Times New Roman"/>
                <w:color w:val="auto"/>
                <w:spacing w:val="-3"/>
                <w:sz w:val="21"/>
                <w:szCs w:val="21"/>
                <w:u w:val="none"/>
              </w:rPr>
            </w:pPr>
          </w:p>
        </w:tc>
        <w:tc>
          <w:tcPr>
            <w:tcW w:w="1164" w:type="pct"/>
            <w:tcBorders>
              <w:tl2br w:val="nil"/>
              <w:tr2bl w:val="nil"/>
            </w:tcBorders>
            <w:vAlign w:val="center"/>
          </w:tcPr>
          <w:p w14:paraId="6470B7F2">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D4 厂界外东侧水井</w:t>
            </w:r>
          </w:p>
        </w:tc>
        <w:tc>
          <w:tcPr>
            <w:tcW w:w="1006" w:type="pct"/>
            <w:tcBorders>
              <w:tl2br w:val="nil"/>
              <w:tr2bl w:val="nil"/>
            </w:tcBorders>
            <w:vAlign w:val="center"/>
          </w:tcPr>
          <w:p w14:paraId="6203CB4A">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113°12′55.39″</w:t>
            </w:r>
          </w:p>
        </w:tc>
        <w:tc>
          <w:tcPr>
            <w:tcW w:w="839" w:type="pct"/>
            <w:tcBorders>
              <w:tl2br w:val="nil"/>
              <w:tr2bl w:val="nil"/>
            </w:tcBorders>
            <w:vAlign w:val="center"/>
          </w:tcPr>
          <w:p w14:paraId="720F6419">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29°27′43.33″</w:t>
            </w:r>
          </w:p>
        </w:tc>
        <w:tc>
          <w:tcPr>
            <w:tcW w:w="599" w:type="pct"/>
            <w:tcBorders>
              <w:tl2br w:val="nil"/>
              <w:tr2bl w:val="nil"/>
            </w:tcBorders>
            <w:vAlign w:val="center"/>
          </w:tcPr>
          <w:p w14:paraId="354FB96D">
            <w:pPr>
              <w:pStyle w:val="41"/>
              <w:rPr>
                <w:rFonts w:hint="default" w:ascii="Times New Roman" w:hAnsi="Times New Roman" w:eastAsia="Times New Roman" w:cs="Times New Roman"/>
                <w:color w:val="auto"/>
                <w:spacing w:val="-3"/>
                <w:sz w:val="21"/>
                <w:szCs w:val="21"/>
                <w:u w:val="none"/>
              </w:rPr>
            </w:pPr>
            <w:r>
              <w:rPr>
                <w:rFonts w:hint="default" w:ascii="Times New Roman" w:hAnsi="Times New Roman" w:eastAsia="Times New Roman" w:cs="Times New Roman"/>
                <w:color w:val="auto"/>
                <w:spacing w:val="-3"/>
                <w:sz w:val="21"/>
                <w:szCs w:val="21"/>
                <w:u w:val="none"/>
              </w:rPr>
              <w:t>6.8</w:t>
            </w:r>
          </w:p>
        </w:tc>
      </w:tr>
    </w:tbl>
    <w:p w14:paraId="1F1B931B">
      <w:pPr>
        <w:ind w:firstLine="480"/>
        <w:rPr>
          <w:rFonts w:hint="default" w:ascii="Times New Roman" w:hAnsi="Times New Roman" w:cs="Times New Roman"/>
          <w:color w:val="auto"/>
          <w:u w:val="none"/>
        </w:rPr>
      </w:pPr>
      <w:r>
        <w:rPr>
          <w:rFonts w:hint="default" w:ascii="Times New Roman" w:hAnsi="Times New Roman" w:cs="Times New Roman"/>
          <w:snapToGrid w:val="0"/>
          <w:color w:val="auto"/>
          <w:kern w:val="0"/>
          <w:u w:val="none"/>
        </w:rPr>
        <w:t>2、监测项目</w:t>
      </w:r>
      <w:r>
        <w:rPr>
          <w:rFonts w:hint="eastAsia" w:ascii="Times New Roman" w:hAnsi="Times New Roman" w:cs="Times New Roman"/>
          <w:snapToGrid w:val="0"/>
          <w:color w:val="auto"/>
          <w:kern w:val="0"/>
          <w:u w:val="none"/>
          <w:lang w:eastAsia="zh-CN"/>
        </w:rPr>
        <w:t>：</w:t>
      </w:r>
      <w:r>
        <w:rPr>
          <w:rFonts w:hint="default" w:ascii="Times New Roman" w:hAnsi="Times New Roman" w:cs="Times New Roman"/>
          <w:snapToGrid w:val="0"/>
          <w:color w:val="auto"/>
          <w:kern w:val="0"/>
          <w:u w:val="none"/>
        </w:rPr>
        <w:t>监测因子：</w:t>
      </w:r>
      <w:r>
        <w:rPr>
          <w:rFonts w:hint="default" w:ascii="Times New Roman" w:hAnsi="Times New Roman" w:cs="Times New Roman"/>
          <w:color w:val="auto"/>
          <w:u w:val="none"/>
        </w:rPr>
        <w:t>pH、K</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(钾)、Na</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(钠)、Ca</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 xml:space="preserve"> (钙)、Mg</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(镁)、CO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(碳酸根)、HCO</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（重碳酸根）、Cl</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(氯化物)、SO</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(硫酸盐)、氨氮、高锰酸盐指数、硝酸盐、亚硝酸盐、铝、铜、铁、六价铬、镍、氟化物、溶解性总固体、总大肠菌群、细菌总数。</w:t>
      </w:r>
    </w:p>
    <w:p w14:paraId="7BDC4CF6">
      <w:pPr>
        <w:ind w:firstLine="480"/>
        <w:rPr>
          <w:rFonts w:hint="default" w:ascii="Times New Roman" w:hAnsi="Times New Roman" w:cs="Times New Roman"/>
          <w:snapToGrid w:val="0"/>
          <w:color w:val="auto"/>
          <w:kern w:val="0"/>
          <w:u w:val="none"/>
        </w:rPr>
      </w:pPr>
      <w:r>
        <w:rPr>
          <w:rFonts w:hint="default" w:ascii="Times New Roman" w:hAnsi="Times New Roman" w:cs="Times New Roman"/>
          <w:color w:val="auto"/>
          <w:u w:val="none"/>
        </w:rPr>
        <w:t>3、监测时间与频率</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湖南谱实检测技术有限公司于2022年6月20日至22日</w:t>
      </w:r>
      <w:r>
        <w:rPr>
          <w:rFonts w:hint="default" w:ascii="Times New Roman" w:hAnsi="Times New Roman" w:cs="Times New Roman"/>
          <w:snapToGrid w:val="0"/>
          <w:color w:val="auto"/>
          <w:kern w:val="0"/>
          <w:u w:val="none"/>
        </w:rPr>
        <w:t>进行连续3天的现场监测，每天采样一次。</w:t>
      </w:r>
    </w:p>
    <w:p w14:paraId="60711772">
      <w:pPr>
        <w:tabs>
          <w:tab w:val="left" w:pos="2100"/>
        </w:tabs>
        <w:adjustRightInd w:val="0"/>
        <w:snapToGrid w:val="0"/>
        <w:ind w:firstLine="480"/>
        <w:jc w:val="left"/>
        <w:rPr>
          <w:rFonts w:hint="default" w:ascii="Times New Roman" w:hAnsi="Times New Roman" w:cs="Times New Roman"/>
          <w:snapToGrid w:val="0"/>
          <w:color w:val="auto"/>
          <w:kern w:val="0"/>
          <w:u w:val="none"/>
        </w:rPr>
      </w:pPr>
      <w:r>
        <w:rPr>
          <w:rFonts w:hint="default" w:ascii="Times New Roman" w:hAnsi="Times New Roman" w:cs="Times New Roman"/>
          <w:snapToGrid w:val="0"/>
          <w:color w:val="auto"/>
          <w:kern w:val="0"/>
          <w:u w:val="none"/>
        </w:rPr>
        <w:t>4、监测分析方法</w:t>
      </w:r>
    </w:p>
    <w:p w14:paraId="21D7A18B">
      <w:pPr>
        <w:tabs>
          <w:tab w:val="left" w:pos="2100"/>
        </w:tabs>
        <w:adjustRightInd w:val="0"/>
        <w:snapToGrid w:val="0"/>
        <w:ind w:firstLine="480"/>
        <w:jc w:val="left"/>
        <w:rPr>
          <w:rFonts w:hint="default" w:ascii="Times New Roman" w:hAnsi="Times New Roman" w:cs="Times New Roman"/>
          <w:snapToGrid w:val="0"/>
          <w:color w:val="auto"/>
          <w:kern w:val="0"/>
          <w:u w:val="none"/>
        </w:rPr>
      </w:pPr>
      <w:r>
        <w:rPr>
          <w:rFonts w:hint="default" w:ascii="Times New Roman" w:hAnsi="Times New Roman" w:cs="Times New Roman"/>
          <w:snapToGrid w:val="0"/>
          <w:color w:val="auto"/>
          <w:kern w:val="0"/>
          <w:u w:val="none"/>
        </w:rPr>
        <w:t>按《</w:t>
      </w:r>
      <w:r>
        <w:rPr>
          <w:rFonts w:hint="default" w:ascii="Times New Roman" w:hAnsi="Times New Roman" w:cs="Times New Roman"/>
          <w:color w:val="auto"/>
          <w:u w:val="none"/>
        </w:rPr>
        <w:t>地下水环境监测技术规范</w:t>
      </w:r>
      <w:r>
        <w:rPr>
          <w:rFonts w:hint="default" w:ascii="Times New Roman" w:hAnsi="Times New Roman" w:cs="Times New Roman"/>
          <w:snapToGrid w:val="0"/>
          <w:color w:val="auto"/>
          <w:kern w:val="0"/>
          <w:u w:val="none"/>
        </w:rPr>
        <w:t>》的有关规定和要求进行。</w:t>
      </w:r>
    </w:p>
    <w:p w14:paraId="205DE0AE">
      <w:pPr>
        <w:ind w:firstLine="0" w:firstLineChars="0"/>
        <w:rPr>
          <w:rFonts w:hint="default" w:ascii="Times New Roman" w:hAnsi="Times New Roman" w:cs="Times New Roman"/>
          <w:color w:val="auto"/>
          <w:sz w:val="28"/>
          <w:szCs w:val="28"/>
          <w:u w:val="none"/>
        </w:rPr>
        <w:sectPr>
          <w:pgSz w:w="11907" w:h="16840"/>
          <w:pgMar w:top="1361" w:right="1474" w:bottom="1588"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17DA1844">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监测评价结果</w:t>
      </w:r>
    </w:p>
    <w:p w14:paraId="763717A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项目区域周边地下水监测结果分析见下表。</w:t>
      </w:r>
    </w:p>
    <w:p w14:paraId="253ABC5B">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w:t>
      </w:r>
      <w:r>
        <w:rPr>
          <w:rFonts w:hint="eastAsia" w:cs="Times New Roman"/>
          <w:b/>
          <w:bCs/>
          <w:color w:val="auto"/>
          <w:u w:val="none"/>
          <w:lang w:val="en-US" w:eastAsia="zh-CN"/>
        </w:rPr>
        <w:t xml:space="preserve">7  </w:t>
      </w:r>
      <w:r>
        <w:rPr>
          <w:rFonts w:hint="default" w:ascii="Times New Roman" w:hAnsi="Times New Roman" w:cs="Times New Roman"/>
          <w:b/>
          <w:bCs/>
          <w:color w:val="auto"/>
          <w:u w:val="none"/>
        </w:rPr>
        <w:t>区域地下水水质监测结果一览表</w:t>
      </w:r>
    </w:p>
    <w:tbl>
      <w:tblPr>
        <w:tblStyle w:val="30"/>
        <w:tblW w:w="160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0"/>
        <w:gridCol w:w="770"/>
        <w:gridCol w:w="584"/>
        <w:gridCol w:w="590"/>
        <w:gridCol w:w="590"/>
        <w:gridCol w:w="601"/>
        <w:gridCol w:w="660"/>
        <w:gridCol w:w="526"/>
        <w:gridCol w:w="601"/>
        <w:gridCol w:w="707"/>
        <w:gridCol w:w="601"/>
        <w:gridCol w:w="698"/>
        <w:gridCol w:w="782"/>
        <w:gridCol w:w="654"/>
        <w:gridCol w:w="673"/>
        <w:gridCol w:w="703"/>
        <w:gridCol w:w="823"/>
        <w:gridCol w:w="697"/>
        <w:gridCol w:w="611"/>
        <w:gridCol w:w="707"/>
        <w:gridCol w:w="611"/>
        <w:gridCol w:w="789"/>
        <w:gridCol w:w="785"/>
        <w:gridCol w:w="834"/>
      </w:tblGrid>
      <w:tr w14:paraId="79152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4" w:hRule="atLeast"/>
          <w:tblHeader/>
          <w:jc w:val="center"/>
        </w:trPr>
        <w:tc>
          <w:tcPr>
            <w:tcW w:w="1200" w:type="dxa"/>
            <w:gridSpan w:val="2"/>
            <w:tcBorders>
              <w:tl2br w:val="nil"/>
              <w:tr2bl w:val="nil"/>
            </w:tcBorders>
            <w:vAlign w:val="center"/>
          </w:tcPr>
          <w:p w14:paraId="287D1BB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检测因子点位</w:t>
            </w:r>
          </w:p>
        </w:tc>
        <w:tc>
          <w:tcPr>
            <w:tcW w:w="584" w:type="dxa"/>
            <w:tcBorders>
              <w:tl2br w:val="nil"/>
              <w:tr2bl w:val="nil"/>
            </w:tcBorders>
            <w:vAlign w:val="center"/>
          </w:tcPr>
          <w:p w14:paraId="53030DF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590" w:type="dxa"/>
            <w:tcBorders>
              <w:tl2br w:val="nil"/>
              <w:tr2bl w:val="nil"/>
            </w:tcBorders>
            <w:vAlign w:val="center"/>
          </w:tcPr>
          <w:p w14:paraId="03BCE19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Na</w:t>
            </w:r>
            <w:r>
              <w:rPr>
                <w:rFonts w:hint="default" w:ascii="Times New Roman" w:hAnsi="Times New Roman" w:cs="Times New Roman"/>
                <w:color w:val="auto"/>
                <w:u w:val="none"/>
                <w:vertAlign w:val="superscript"/>
              </w:rPr>
              <w:t>+</w:t>
            </w:r>
          </w:p>
        </w:tc>
        <w:tc>
          <w:tcPr>
            <w:tcW w:w="590" w:type="dxa"/>
            <w:tcBorders>
              <w:tl2br w:val="nil"/>
              <w:tr2bl w:val="nil"/>
            </w:tcBorders>
            <w:vAlign w:val="center"/>
          </w:tcPr>
          <w:p w14:paraId="534D6AB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K</w:t>
            </w:r>
            <w:r>
              <w:rPr>
                <w:rFonts w:hint="default" w:ascii="Times New Roman" w:hAnsi="Times New Roman" w:cs="Times New Roman"/>
                <w:color w:val="auto"/>
                <w:u w:val="none"/>
                <w:vertAlign w:val="superscript"/>
              </w:rPr>
              <w:t>+</w:t>
            </w:r>
          </w:p>
        </w:tc>
        <w:tc>
          <w:tcPr>
            <w:tcW w:w="601" w:type="dxa"/>
            <w:tcBorders>
              <w:tl2br w:val="nil"/>
              <w:tr2bl w:val="nil"/>
            </w:tcBorders>
            <w:vAlign w:val="center"/>
          </w:tcPr>
          <w:p w14:paraId="617E40C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Ca</w:t>
            </w:r>
            <w:r>
              <w:rPr>
                <w:rFonts w:hint="default" w:ascii="Times New Roman" w:hAnsi="Times New Roman" w:cs="Times New Roman"/>
                <w:color w:val="auto"/>
                <w:u w:val="none"/>
                <w:vertAlign w:val="superscript"/>
              </w:rPr>
              <w:t>2+</w:t>
            </w:r>
          </w:p>
        </w:tc>
        <w:tc>
          <w:tcPr>
            <w:tcW w:w="660" w:type="dxa"/>
            <w:tcBorders>
              <w:tl2br w:val="nil"/>
              <w:tr2bl w:val="nil"/>
            </w:tcBorders>
            <w:vAlign w:val="center"/>
          </w:tcPr>
          <w:p w14:paraId="1C82F3B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Mg</w:t>
            </w:r>
            <w:r>
              <w:rPr>
                <w:rFonts w:hint="default" w:ascii="Times New Roman" w:hAnsi="Times New Roman" w:cs="Times New Roman"/>
                <w:color w:val="auto"/>
                <w:u w:val="none"/>
                <w:vertAlign w:val="superscript"/>
              </w:rPr>
              <w:t>2+</w:t>
            </w:r>
          </w:p>
        </w:tc>
        <w:tc>
          <w:tcPr>
            <w:tcW w:w="526" w:type="dxa"/>
            <w:tcBorders>
              <w:tl2br w:val="nil"/>
              <w:tr2bl w:val="nil"/>
            </w:tcBorders>
            <w:vAlign w:val="center"/>
          </w:tcPr>
          <w:p w14:paraId="74F6B3D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铝</w:t>
            </w:r>
          </w:p>
        </w:tc>
        <w:tc>
          <w:tcPr>
            <w:tcW w:w="601" w:type="dxa"/>
            <w:tcBorders>
              <w:tl2br w:val="nil"/>
              <w:tr2bl w:val="nil"/>
            </w:tcBorders>
            <w:vAlign w:val="center"/>
          </w:tcPr>
          <w:p w14:paraId="541FDE3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707" w:type="dxa"/>
            <w:tcBorders>
              <w:tl2br w:val="nil"/>
              <w:tr2bl w:val="nil"/>
            </w:tcBorders>
            <w:vAlign w:val="center"/>
          </w:tcPr>
          <w:p w14:paraId="6D7564B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601" w:type="dxa"/>
            <w:tcBorders>
              <w:tl2br w:val="nil"/>
              <w:tr2bl w:val="nil"/>
            </w:tcBorders>
            <w:vAlign w:val="center"/>
          </w:tcPr>
          <w:p w14:paraId="7F388ED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铁</w:t>
            </w:r>
          </w:p>
        </w:tc>
        <w:tc>
          <w:tcPr>
            <w:tcW w:w="698" w:type="dxa"/>
            <w:tcBorders>
              <w:tl2br w:val="nil"/>
              <w:tr2bl w:val="nil"/>
            </w:tcBorders>
            <w:vAlign w:val="center"/>
          </w:tcPr>
          <w:p w14:paraId="72526B1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CO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vertAlign w:val="superscript"/>
              </w:rPr>
              <w:t>2-</w:t>
            </w:r>
          </w:p>
        </w:tc>
        <w:tc>
          <w:tcPr>
            <w:tcW w:w="782" w:type="dxa"/>
            <w:tcBorders>
              <w:tl2br w:val="nil"/>
              <w:tr2bl w:val="nil"/>
            </w:tcBorders>
            <w:vAlign w:val="center"/>
          </w:tcPr>
          <w:p w14:paraId="0CE5497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HCO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vertAlign w:val="superscript"/>
              </w:rPr>
              <w:t>-</w:t>
            </w:r>
          </w:p>
        </w:tc>
        <w:tc>
          <w:tcPr>
            <w:tcW w:w="654" w:type="dxa"/>
            <w:tcBorders>
              <w:tl2br w:val="nil"/>
              <w:tr2bl w:val="nil"/>
            </w:tcBorders>
            <w:vAlign w:val="center"/>
          </w:tcPr>
          <w:p w14:paraId="10F7499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Cl</w:t>
            </w:r>
            <w:r>
              <w:rPr>
                <w:rFonts w:hint="default" w:ascii="Times New Roman" w:hAnsi="Times New Roman" w:cs="Times New Roman"/>
                <w:color w:val="auto"/>
                <w:u w:val="none"/>
                <w:vertAlign w:val="superscript"/>
              </w:rPr>
              <w:t>-</w:t>
            </w:r>
          </w:p>
        </w:tc>
        <w:tc>
          <w:tcPr>
            <w:tcW w:w="673" w:type="dxa"/>
            <w:tcBorders>
              <w:tl2br w:val="nil"/>
              <w:tr2bl w:val="nil"/>
            </w:tcBorders>
            <w:vAlign w:val="center"/>
          </w:tcPr>
          <w:p w14:paraId="2D78AEE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vertAlign w:val="superscript"/>
              </w:rPr>
              <w:t>2-</w:t>
            </w:r>
          </w:p>
        </w:tc>
        <w:tc>
          <w:tcPr>
            <w:tcW w:w="703" w:type="dxa"/>
            <w:tcBorders>
              <w:tl2br w:val="nil"/>
              <w:tr2bl w:val="nil"/>
            </w:tcBorders>
            <w:vAlign w:val="center"/>
          </w:tcPr>
          <w:p w14:paraId="2EE4725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硝酸盐</w:t>
            </w:r>
          </w:p>
        </w:tc>
        <w:tc>
          <w:tcPr>
            <w:tcW w:w="823" w:type="dxa"/>
            <w:tcBorders>
              <w:tl2br w:val="nil"/>
              <w:tr2bl w:val="nil"/>
            </w:tcBorders>
            <w:vAlign w:val="center"/>
          </w:tcPr>
          <w:p w14:paraId="4407637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亚硝酸盐</w:t>
            </w:r>
          </w:p>
        </w:tc>
        <w:tc>
          <w:tcPr>
            <w:tcW w:w="697" w:type="dxa"/>
            <w:tcBorders>
              <w:tl2br w:val="nil"/>
              <w:tr2bl w:val="nil"/>
            </w:tcBorders>
            <w:vAlign w:val="center"/>
          </w:tcPr>
          <w:p w14:paraId="515B2C8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氨氮</w:t>
            </w:r>
          </w:p>
        </w:tc>
        <w:tc>
          <w:tcPr>
            <w:tcW w:w="611" w:type="dxa"/>
            <w:tcBorders>
              <w:tl2br w:val="nil"/>
              <w:tr2bl w:val="nil"/>
            </w:tcBorders>
            <w:vAlign w:val="center"/>
          </w:tcPr>
          <w:p w14:paraId="70337AB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耗氧量</w:t>
            </w:r>
          </w:p>
        </w:tc>
        <w:tc>
          <w:tcPr>
            <w:tcW w:w="707" w:type="dxa"/>
            <w:tcBorders>
              <w:tl2br w:val="nil"/>
              <w:tr2bl w:val="nil"/>
            </w:tcBorders>
            <w:vAlign w:val="center"/>
          </w:tcPr>
          <w:p w14:paraId="1C98D8F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611" w:type="dxa"/>
            <w:tcBorders>
              <w:tl2br w:val="nil"/>
              <w:tr2bl w:val="nil"/>
            </w:tcBorders>
            <w:vAlign w:val="center"/>
          </w:tcPr>
          <w:p w14:paraId="36695A3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氟化物</w:t>
            </w:r>
          </w:p>
        </w:tc>
        <w:tc>
          <w:tcPr>
            <w:tcW w:w="789" w:type="dxa"/>
            <w:tcBorders>
              <w:tl2br w:val="nil"/>
              <w:tr2bl w:val="nil"/>
            </w:tcBorders>
            <w:vAlign w:val="center"/>
          </w:tcPr>
          <w:p w14:paraId="4ABF0C3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溶解性总固体</w:t>
            </w:r>
          </w:p>
        </w:tc>
        <w:tc>
          <w:tcPr>
            <w:tcW w:w="785" w:type="dxa"/>
            <w:tcBorders>
              <w:tl2br w:val="nil"/>
              <w:tr2bl w:val="nil"/>
            </w:tcBorders>
            <w:vAlign w:val="center"/>
          </w:tcPr>
          <w:p w14:paraId="2EE5D68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总大肠菌群</w:t>
            </w:r>
          </w:p>
        </w:tc>
        <w:tc>
          <w:tcPr>
            <w:tcW w:w="834" w:type="dxa"/>
            <w:tcBorders>
              <w:tl2br w:val="nil"/>
              <w:tr2bl w:val="nil"/>
            </w:tcBorders>
            <w:vAlign w:val="center"/>
          </w:tcPr>
          <w:p w14:paraId="50E3DD0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菌落总数</w:t>
            </w:r>
          </w:p>
        </w:tc>
      </w:tr>
      <w:tr w14:paraId="3AE4B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dxa"/>
            <w:vMerge w:val="restart"/>
            <w:tcBorders>
              <w:tl2br w:val="nil"/>
              <w:tr2bl w:val="nil"/>
            </w:tcBorders>
            <w:vAlign w:val="center"/>
          </w:tcPr>
          <w:p w14:paraId="1BF150E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770" w:type="dxa"/>
            <w:tcBorders>
              <w:tl2br w:val="nil"/>
              <w:tr2bl w:val="nil"/>
            </w:tcBorders>
            <w:vAlign w:val="center"/>
          </w:tcPr>
          <w:p w14:paraId="5541C45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最小值</w:t>
            </w:r>
          </w:p>
        </w:tc>
        <w:tc>
          <w:tcPr>
            <w:tcW w:w="584" w:type="dxa"/>
            <w:tcBorders>
              <w:tl2br w:val="nil"/>
              <w:tr2bl w:val="nil"/>
            </w:tcBorders>
            <w:vAlign w:val="center"/>
          </w:tcPr>
          <w:p w14:paraId="5B3DA10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590" w:type="dxa"/>
            <w:tcBorders>
              <w:tl2br w:val="nil"/>
              <w:tr2bl w:val="nil"/>
            </w:tcBorders>
            <w:vAlign w:val="center"/>
          </w:tcPr>
          <w:p w14:paraId="143A521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6.35</w:t>
            </w:r>
          </w:p>
        </w:tc>
        <w:tc>
          <w:tcPr>
            <w:tcW w:w="590" w:type="dxa"/>
            <w:tcBorders>
              <w:tl2br w:val="nil"/>
              <w:tr2bl w:val="nil"/>
            </w:tcBorders>
            <w:vAlign w:val="center"/>
          </w:tcPr>
          <w:p w14:paraId="32AD10B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3.24</w:t>
            </w:r>
          </w:p>
        </w:tc>
        <w:tc>
          <w:tcPr>
            <w:tcW w:w="601" w:type="dxa"/>
            <w:tcBorders>
              <w:tl2br w:val="nil"/>
              <w:tr2bl w:val="nil"/>
            </w:tcBorders>
            <w:vAlign w:val="center"/>
          </w:tcPr>
          <w:p w14:paraId="0D9D2F1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10.6</w:t>
            </w:r>
          </w:p>
        </w:tc>
        <w:tc>
          <w:tcPr>
            <w:tcW w:w="660" w:type="dxa"/>
            <w:tcBorders>
              <w:tl2br w:val="nil"/>
              <w:tr2bl w:val="nil"/>
            </w:tcBorders>
            <w:vAlign w:val="center"/>
          </w:tcPr>
          <w:p w14:paraId="0B3F7E7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8.53</w:t>
            </w:r>
          </w:p>
        </w:tc>
        <w:tc>
          <w:tcPr>
            <w:tcW w:w="526" w:type="dxa"/>
            <w:tcBorders>
              <w:tl2br w:val="nil"/>
              <w:tr2bl w:val="nil"/>
            </w:tcBorders>
            <w:vAlign w:val="center"/>
          </w:tcPr>
          <w:p w14:paraId="42B4E3AF">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4D29FE7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21673B5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52898CF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6CEF666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73051D6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83</w:t>
            </w:r>
          </w:p>
        </w:tc>
        <w:tc>
          <w:tcPr>
            <w:tcW w:w="654" w:type="dxa"/>
            <w:tcBorders>
              <w:tl2br w:val="nil"/>
              <w:tr2bl w:val="nil"/>
            </w:tcBorders>
            <w:vAlign w:val="center"/>
          </w:tcPr>
          <w:p w14:paraId="3BE619C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5.94</w:t>
            </w:r>
          </w:p>
        </w:tc>
        <w:tc>
          <w:tcPr>
            <w:tcW w:w="673" w:type="dxa"/>
            <w:tcBorders>
              <w:tl2br w:val="nil"/>
              <w:tr2bl w:val="nil"/>
            </w:tcBorders>
            <w:vAlign w:val="center"/>
          </w:tcPr>
          <w:p w14:paraId="1587B4D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3.28</w:t>
            </w:r>
          </w:p>
        </w:tc>
        <w:tc>
          <w:tcPr>
            <w:tcW w:w="703" w:type="dxa"/>
            <w:tcBorders>
              <w:tl2br w:val="nil"/>
              <w:tr2bl w:val="nil"/>
            </w:tcBorders>
            <w:vAlign w:val="center"/>
          </w:tcPr>
          <w:p w14:paraId="1B338E6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0.452</w:t>
            </w:r>
          </w:p>
        </w:tc>
        <w:tc>
          <w:tcPr>
            <w:tcW w:w="823" w:type="dxa"/>
            <w:tcBorders>
              <w:tl2br w:val="nil"/>
              <w:tr2bl w:val="nil"/>
            </w:tcBorders>
            <w:vAlign w:val="center"/>
          </w:tcPr>
          <w:p w14:paraId="63AA725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2AB3362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0.084</w:t>
            </w:r>
          </w:p>
        </w:tc>
        <w:tc>
          <w:tcPr>
            <w:tcW w:w="611" w:type="dxa"/>
            <w:tcBorders>
              <w:tl2br w:val="nil"/>
              <w:tr2bl w:val="nil"/>
            </w:tcBorders>
            <w:vAlign w:val="center"/>
          </w:tcPr>
          <w:p w14:paraId="37BA0AA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2.4</w:t>
            </w:r>
          </w:p>
        </w:tc>
        <w:tc>
          <w:tcPr>
            <w:tcW w:w="707" w:type="dxa"/>
            <w:tcBorders>
              <w:tl2br w:val="nil"/>
              <w:tr2bl w:val="nil"/>
            </w:tcBorders>
            <w:vAlign w:val="center"/>
          </w:tcPr>
          <w:p w14:paraId="4DCDBE1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0C61E79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0.19</w:t>
            </w:r>
          </w:p>
        </w:tc>
        <w:tc>
          <w:tcPr>
            <w:tcW w:w="789" w:type="dxa"/>
            <w:tcBorders>
              <w:tl2br w:val="nil"/>
              <w:tr2bl w:val="nil"/>
            </w:tcBorders>
            <w:vAlign w:val="center"/>
          </w:tcPr>
          <w:p w14:paraId="3F5E08D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223</w:t>
            </w:r>
          </w:p>
        </w:tc>
        <w:tc>
          <w:tcPr>
            <w:tcW w:w="785" w:type="dxa"/>
            <w:tcBorders>
              <w:tl2br w:val="nil"/>
              <w:tr2bl w:val="nil"/>
            </w:tcBorders>
            <w:vAlign w:val="center"/>
          </w:tcPr>
          <w:p w14:paraId="6671BB3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4BBAD75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25</w:t>
            </w:r>
          </w:p>
        </w:tc>
      </w:tr>
      <w:tr w14:paraId="5423B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7" w:hRule="atLeast"/>
          <w:tblHeader/>
          <w:jc w:val="center"/>
        </w:trPr>
        <w:tc>
          <w:tcPr>
            <w:tcW w:w="430" w:type="dxa"/>
            <w:vMerge w:val="continue"/>
            <w:tcBorders>
              <w:tl2br w:val="nil"/>
              <w:tr2bl w:val="nil"/>
            </w:tcBorders>
            <w:vAlign w:val="center"/>
          </w:tcPr>
          <w:p w14:paraId="04DC3580">
            <w:pPr>
              <w:pStyle w:val="41"/>
              <w:adjustRightInd w:val="0"/>
              <w:snapToGrid w:val="0"/>
              <w:spacing w:line="312" w:lineRule="auto"/>
              <w:rPr>
                <w:rFonts w:hint="default" w:ascii="Times New Roman" w:hAnsi="Times New Roman" w:cs="Times New Roman"/>
                <w:color w:val="auto"/>
                <w:u w:val="none"/>
              </w:rPr>
            </w:pPr>
          </w:p>
        </w:tc>
        <w:tc>
          <w:tcPr>
            <w:tcW w:w="770" w:type="dxa"/>
            <w:tcBorders>
              <w:tl2br w:val="nil"/>
              <w:tr2bl w:val="nil"/>
            </w:tcBorders>
            <w:vAlign w:val="center"/>
          </w:tcPr>
          <w:p w14:paraId="1782A03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最大值</w:t>
            </w:r>
          </w:p>
        </w:tc>
        <w:tc>
          <w:tcPr>
            <w:tcW w:w="584" w:type="dxa"/>
            <w:tcBorders>
              <w:tl2br w:val="nil"/>
              <w:tr2bl w:val="nil"/>
            </w:tcBorders>
            <w:vAlign w:val="center"/>
          </w:tcPr>
          <w:p w14:paraId="13DE48B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7.0</w:t>
            </w:r>
          </w:p>
        </w:tc>
        <w:tc>
          <w:tcPr>
            <w:tcW w:w="590" w:type="dxa"/>
            <w:tcBorders>
              <w:tl2br w:val="nil"/>
              <w:tr2bl w:val="nil"/>
            </w:tcBorders>
            <w:vAlign w:val="center"/>
          </w:tcPr>
          <w:p w14:paraId="6103E71F">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6.68</w:t>
            </w:r>
          </w:p>
        </w:tc>
        <w:tc>
          <w:tcPr>
            <w:tcW w:w="590" w:type="dxa"/>
            <w:tcBorders>
              <w:tl2br w:val="nil"/>
              <w:tr2bl w:val="nil"/>
            </w:tcBorders>
            <w:vAlign w:val="center"/>
          </w:tcPr>
          <w:p w14:paraId="2042AD7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3.55</w:t>
            </w:r>
          </w:p>
        </w:tc>
        <w:tc>
          <w:tcPr>
            <w:tcW w:w="601" w:type="dxa"/>
            <w:tcBorders>
              <w:tl2br w:val="nil"/>
              <w:tr2bl w:val="nil"/>
            </w:tcBorders>
            <w:vAlign w:val="center"/>
          </w:tcPr>
          <w:p w14:paraId="049DD49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12.5</w:t>
            </w:r>
          </w:p>
        </w:tc>
        <w:tc>
          <w:tcPr>
            <w:tcW w:w="660" w:type="dxa"/>
            <w:tcBorders>
              <w:tl2br w:val="nil"/>
              <w:tr2bl w:val="nil"/>
            </w:tcBorders>
            <w:vAlign w:val="center"/>
          </w:tcPr>
          <w:p w14:paraId="2475868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8.71</w:t>
            </w:r>
          </w:p>
        </w:tc>
        <w:tc>
          <w:tcPr>
            <w:tcW w:w="526" w:type="dxa"/>
            <w:tcBorders>
              <w:tl2br w:val="nil"/>
              <w:tr2bl w:val="nil"/>
            </w:tcBorders>
            <w:vAlign w:val="center"/>
          </w:tcPr>
          <w:p w14:paraId="66872BB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4F11698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5D3EE62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137701C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5A73EA5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74D5E9E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96</w:t>
            </w:r>
          </w:p>
        </w:tc>
        <w:tc>
          <w:tcPr>
            <w:tcW w:w="654" w:type="dxa"/>
            <w:tcBorders>
              <w:tl2br w:val="nil"/>
              <w:tr2bl w:val="nil"/>
            </w:tcBorders>
            <w:vAlign w:val="center"/>
          </w:tcPr>
          <w:p w14:paraId="3BE2127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9.79</w:t>
            </w:r>
          </w:p>
        </w:tc>
        <w:tc>
          <w:tcPr>
            <w:tcW w:w="673" w:type="dxa"/>
            <w:tcBorders>
              <w:tl2br w:val="nil"/>
              <w:tr2bl w:val="nil"/>
            </w:tcBorders>
            <w:vAlign w:val="center"/>
          </w:tcPr>
          <w:p w14:paraId="524B725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4.08</w:t>
            </w:r>
          </w:p>
        </w:tc>
        <w:tc>
          <w:tcPr>
            <w:tcW w:w="703" w:type="dxa"/>
            <w:tcBorders>
              <w:tl2br w:val="nil"/>
              <w:tr2bl w:val="nil"/>
            </w:tcBorders>
            <w:vAlign w:val="center"/>
          </w:tcPr>
          <w:p w14:paraId="1A53C79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0.495</w:t>
            </w:r>
          </w:p>
        </w:tc>
        <w:tc>
          <w:tcPr>
            <w:tcW w:w="823" w:type="dxa"/>
            <w:tcBorders>
              <w:tl2br w:val="nil"/>
              <w:tr2bl w:val="nil"/>
            </w:tcBorders>
            <w:vAlign w:val="center"/>
          </w:tcPr>
          <w:p w14:paraId="66E2031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4A2CFCF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0.088</w:t>
            </w:r>
          </w:p>
        </w:tc>
        <w:tc>
          <w:tcPr>
            <w:tcW w:w="611" w:type="dxa"/>
            <w:tcBorders>
              <w:tl2br w:val="nil"/>
              <w:tr2bl w:val="nil"/>
            </w:tcBorders>
            <w:vAlign w:val="center"/>
          </w:tcPr>
          <w:p w14:paraId="026AF51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2.4</w:t>
            </w:r>
          </w:p>
        </w:tc>
        <w:tc>
          <w:tcPr>
            <w:tcW w:w="707" w:type="dxa"/>
            <w:tcBorders>
              <w:tl2br w:val="nil"/>
              <w:tr2bl w:val="nil"/>
            </w:tcBorders>
            <w:vAlign w:val="center"/>
          </w:tcPr>
          <w:p w14:paraId="1A76712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3683D42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0.24</w:t>
            </w:r>
          </w:p>
        </w:tc>
        <w:tc>
          <w:tcPr>
            <w:tcW w:w="789" w:type="dxa"/>
            <w:tcBorders>
              <w:tl2br w:val="nil"/>
              <w:tr2bl w:val="nil"/>
            </w:tcBorders>
            <w:vAlign w:val="center"/>
          </w:tcPr>
          <w:p w14:paraId="6A4F3B7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228</w:t>
            </w:r>
          </w:p>
        </w:tc>
        <w:tc>
          <w:tcPr>
            <w:tcW w:w="785" w:type="dxa"/>
            <w:tcBorders>
              <w:tl2br w:val="nil"/>
              <w:tr2bl w:val="nil"/>
            </w:tcBorders>
            <w:vAlign w:val="center"/>
          </w:tcPr>
          <w:p w14:paraId="1493026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186270A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26</w:t>
            </w:r>
          </w:p>
        </w:tc>
      </w:tr>
      <w:tr w14:paraId="1A64E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dxa"/>
            <w:vMerge w:val="restart"/>
            <w:tcBorders>
              <w:tl2br w:val="nil"/>
              <w:tr2bl w:val="nil"/>
            </w:tcBorders>
            <w:vAlign w:val="center"/>
          </w:tcPr>
          <w:p w14:paraId="5AF280A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770" w:type="dxa"/>
            <w:tcBorders>
              <w:tl2br w:val="nil"/>
              <w:tr2bl w:val="nil"/>
            </w:tcBorders>
            <w:vAlign w:val="center"/>
          </w:tcPr>
          <w:p w14:paraId="4B7AC9A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最小值</w:t>
            </w:r>
          </w:p>
        </w:tc>
        <w:tc>
          <w:tcPr>
            <w:tcW w:w="584" w:type="dxa"/>
            <w:tcBorders>
              <w:tl2br w:val="nil"/>
              <w:tr2bl w:val="nil"/>
            </w:tcBorders>
            <w:vAlign w:val="center"/>
          </w:tcPr>
          <w:p w14:paraId="3EA0781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6.8</w:t>
            </w:r>
          </w:p>
        </w:tc>
        <w:tc>
          <w:tcPr>
            <w:tcW w:w="590" w:type="dxa"/>
            <w:tcBorders>
              <w:tl2br w:val="nil"/>
              <w:tr2bl w:val="nil"/>
            </w:tcBorders>
            <w:vAlign w:val="center"/>
          </w:tcPr>
          <w:p w14:paraId="4DE54EF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3.34</w:t>
            </w:r>
          </w:p>
        </w:tc>
        <w:tc>
          <w:tcPr>
            <w:tcW w:w="590" w:type="dxa"/>
            <w:tcBorders>
              <w:tl2br w:val="nil"/>
              <w:tr2bl w:val="nil"/>
            </w:tcBorders>
            <w:vAlign w:val="center"/>
          </w:tcPr>
          <w:p w14:paraId="7671034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1.05</w:t>
            </w:r>
          </w:p>
        </w:tc>
        <w:tc>
          <w:tcPr>
            <w:tcW w:w="601" w:type="dxa"/>
            <w:tcBorders>
              <w:tl2br w:val="nil"/>
              <w:tr2bl w:val="nil"/>
            </w:tcBorders>
            <w:vAlign w:val="center"/>
          </w:tcPr>
          <w:p w14:paraId="67A8EE0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10.2</w:t>
            </w:r>
          </w:p>
        </w:tc>
        <w:tc>
          <w:tcPr>
            <w:tcW w:w="660" w:type="dxa"/>
            <w:tcBorders>
              <w:tl2br w:val="nil"/>
              <w:tr2bl w:val="nil"/>
            </w:tcBorders>
            <w:vAlign w:val="center"/>
          </w:tcPr>
          <w:p w14:paraId="722B76B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3.02</w:t>
            </w:r>
          </w:p>
        </w:tc>
        <w:tc>
          <w:tcPr>
            <w:tcW w:w="526" w:type="dxa"/>
            <w:tcBorders>
              <w:tl2br w:val="nil"/>
              <w:tr2bl w:val="nil"/>
            </w:tcBorders>
            <w:vAlign w:val="center"/>
          </w:tcPr>
          <w:p w14:paraId="6114EAA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7256391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4E9FB95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56CCB95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4D33FE0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0AAFC5B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45</w:t>
            </w:r>
          </w:p>
        </w:tc>
        <w:tc>
          <w:tcPr>
            <w:tcW w:w="654" w:type="dxa"/>
            <w:tcBorders>
              <w:tl2br w:val="nil"/>
              <w:tr2bl w:val="nil"/>
            </w:tcBorders>
            <w:vAlign w:val="center"/>
          </w:tcPr>
          <w:p w14:paraId="26F37D7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5.69</w:t>
            </w:r>
          </w:p>
        </w:tc>
        <w:tc>
          <w:tcPr>
            <w:tcW w:w="673" w:type="dxa"/>
            <w:tcBorders>
              <w:tl2br w:val="nil"/>
              <w:tr2bl w:val="nil"/>
            </w:tcBorders>
            <w:vAlign w:val="center"/>
          </w:tcPr>
          <w:p w14:paraId="1AEB5AF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3.40</w:t>
            </w:r>
          </w:p>
        </w:tc>
        <w:tc>
          <w:tcPr>
            <w:tcW w:w="703" w:type="dxa"/>
            <w:tcBorders>
              <w:tl2br w:val="nil"/>
              <w:tr2bl w:val="nil"/>
            </w:tcBorders>
            <w:vAlign w:val="center"/>
          </w:tcPr>
          <w:p w14:paraId="055DDEF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0.540</w:t>
            </w:r>
          </w:p>
        </w:tc>
        <w:tc>
          <w:tcPr>
            <w:tcW w:w="823" w:type="dxa"/>
            <w:tcBorders>
              <w:tl2br w:val="nil"/>
              <w:tr2bl w:val="nil"/>
            </w:tcBorders>
            <w:vAlign w:val="center"/>
          </w:tcPr>
          <w:p w14:paraId="7BA79D0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6D46DC3F">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0.092</w:t>
            </w:r>
          </w:p>
        </w:tc>
        <w:tc>
          <w:tcPr>
            <w:tcW w:w="611" w:type="dxa"/>
            <w:tcBorders>
              <w:tl2br w:val="nil"/>
              <w:tr2bl w:val="nil"/>
            </w:tcBorders>
            <w:vAlign w:val="center"/>
          </w:tcPr>
          <w:p w14:paraId="30542B0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2.3</w:t>
            </w:r>
          </w:p>
        </w:tc>
        <w:tc>
          <w:tcPr>
            <w:tcW w:w="707" w:type="dxa"/>
            <w:tcBorders>
              <w:tl2br w:val="nil"/>
              <w:tr2bl w:val="nil"/>
            </w:tcBorders>
            <w:vAlign w:val="center"/>
          </w:tcPr>
          <w:p w14:paraId="45C9792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6A81C06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0.20</w:t>
            </w:r>
          </w:p>
        </w:tc>
        <w:tc>
          <w:tcPr>
            <w:tcW w:w="789" w:type="dxa"/>
            <w:tcBorders>
              <w:tl2br w:val="nil"/>
              <w:tr2bl w:val="nil"/>
            </w:tcBorders>
            <w:vAlign w:val="center"/>
          </w:tcPr>
          <w:p w14:paraId="3847A5D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230</w:t>
            </w:r>
          </w:p>
        </w:tc>
        <w:tc>
          <w:tcPr>
            <w:tcW w:w="785" w:type="dxa"/>
            <w:tcBorders>
              <w:tl2br w:val="nil"/>
              <w:tr2bl w:val="nil"/>
            </w:tcBorders>
            <w:vAlign w:val="center"/>
          </w:tcPr>
          <w:p w14:paraId="17B0416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002572AF">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27</w:t>
            </w:r>
          </w:p>
        </w:tc>
      </w:tr>
      <w:tr w14:paraId="16FE6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6" w:hRule="atLeast"/>
          <w:tblHeader/>
          <w:jc w:val="center"/>
        </w:trPr>
        <w:tc>
          <w:tcPr>
            <w:tcW w:w="430" w:type="dxa"/>
            <w:vMerge w:val="continue"/>
            <w:tcBorders>
              <w:tl2br w:val="nil"/>
              <w:tr2bl w:val="nil"/>
            </w:tcBorders>
            <w:vAlign w:val="center"/>
          </w:tcPr>
          <w:p w14:paraId="713EBD65">
            <w:pPr>
              <w:pStyle w:val="41"/>
              <w:adjustRightInd w:val="0"/>
              <w:snapToGrid w:val="0"/>
              <w:spacing w:line="312" w:lineRule="auto"/>
              <w:rPr>
                <w:rFonts w:hint="default" w:ascii="Times New Roman" w:hAnsi="Times New Roman" w:cs="Times New Roman"/>
                <w:color w:val="auto"/>
                <w:u w:val="none"/>
              </w:rPr>
            </w:pPr>
          </w:p>
        </w:tc>
        <w:tc>
          <w:tcPr>
            <w:tcW w:w="770" w:type="dxa"/>
            <w:tcBorders>
              <w:tl2br w:val="nil"/>
              <w:tr2bl w:val="nil"/>
            </w:tcBorders>
            <w:vAlign w:val="center"/>
          </w:tcPr>
          <w:p w14:paraId="770BE07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最大值</w:t>
            </w:r>
          </w:p>
        </w:tc>
        <w:tc>
          <w:tcPr>
            <w:tcW w:w="584" w:type="dxa"/>
            <w:tcBorders>
              <w:tl2br w:val="nil"/>
              <w:tr2bl w:val="nil"/>
            </w:tcBorders>
            <w:vAlign w:val="center"/>
          </w:tcPr>
          <w:p w14:paraId="2675138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7.1</w:t>
            </w:r>
          </w:p>
        </w:tc>
        <w:tc>
          <w:tcPr>
            <w:tcW w:w="590" w:type="dxa"/>
            <w:tcBorders>
              <w:tl2br w:val="nil"/>
              <w:tr2bl w:val="nil"/>
            </w:tcBorders>
            <w:vAlign w:val="center"/>
          </w:tcPr>
          <w:p w14:paraId="3C2F879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4.41</w:t>
            </w:r>
          </w:p>
        </w:tc>
        <w:tc>
          <w:tcPr>
            <w:tcW w:w="590" w:type="dxa"/>
            <w:tcBorders>
              <w:tl2br w:val="nil"/>
              <w:tr2bl w:val="nil"/>
            </w:tcBorders>
            <w:vAlign w:val="center"/>
          </w:tcPr>
          <w:p w14:paraId="791FA65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1.48</w:t>
            </w:r>
          </w:p>
        </w:tc>
        <w:tc>
          <w:tcPr>
            <w:tcW w:w="601" w:type="dxa"/>
            <w:tcBorders>
              <w:tl2br w:val="nil"/>
              <w:tr2bl w:val="nil"/>
            </w:tcBorders>
            <w:vAlign w:val="center"/>
          </w:tcPr>
          <w:p w14:paraId="2AA891C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13.4</w:t>
            </w:r>
          </w:p>
        </w:tc>
        <w:tc>
          <w:tcPr>
            <w:tcW w:w="660" w:type="dxa"/>
            <w:tcBorders>
              <w:tl2br w:val="nil"/>
              <w:tr2bl w:val="nil"/>
            </w:tcBorders>
            <w:vAlign w:val="center"/>
          </w:tcPr>
          <w:p w14:paraId="52CF88C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5.34</w:t>
            </w:r>
          </w:p>
        </w:tc>
        <w:tc>
          <w:tcPr>
            <w:tcW w:w="526" w:type="dxa"/>
            <w:tcBorders>
              <w:tl2br w:val="nil"/>
              <w:tr2bl w:val="nil"/>
            </w:tcBorders>
            <w:vAlign w:val="center"/>
          </w:tcPr>
          <w:p w14:paraId="3A47C59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7B2EB72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5A53787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159A07F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14C1E70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63E09F0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63</w:t>
            </w:r>
          </w:p>
        </w:tc>
        <w:tc>
          <w:tcPr>
            <w:tcW w:w="654" w:type="dxa"/>
            <w:tcBorders>
              <w:tl2br w:val="nil"/>
              <w:tr2bl w:val="nil"/>
            </w:tcBorders>
            <w:vAlign w:val="center"/>
          </w:tcPr>
          <w:p w14:paraId="7EC657D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5.84</w:t>
            </w:r>
          </w:p>
        </w:tc>
        <w:tc>
          <w:tcPr>
            <w:tcW w:w="673" w:type="dxa"/>
            <w:tcBorders>
              <w:tl2br w:val="nil"/>
              <w:tr2bl w:val="nil"/>
            </w:tcBorders>
            <w:vAlign w:val="center"/>
          </w:tcPr>
          <w:p w14:paraId="5C31F3C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3.50</w:t>
            </w:r>
          </w:p>
        </w:tc>
        <w:tc>
          <w:tcPr>
            <w:tcW w:w="703" w:type="dxa"/>
            <w:tcBorders>
              <w:tl2br w:val="nil"/>
              <w:tr2bl w:val="nil"/>
            </w:tcBorders>
            <w:vAlign w:val="center"/>
          </w:tcPr>
          <w:p w14:paraId="49781E6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0.571</w:t>
            </w:r>
          </w:p>
        </w:tc>
        <w:tc>
          <w:tcPr>
            <w:tcW w:w="823" w:type="dxa"/>
            <w:tcBorders>
              <w:tl2br w:val="nil"/>
              <w:tr2bl w:val="nil"/>
            </w:tcBorders>
            <w:vAlign w:val="center"/>
          </w:tcPr>
          <w:p w14:paraId="27FEF3A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1593E2E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0.102</w:t>
            </w:r>
          </w:p>
        </w:tc>
        <w:tc>
          <w:tcPr>
            <w:tcW w:w="611" w:type="dxa"/>
            <w:tcBorders>
              <w:tl2br w:val="nil"/>
              <w:tr2bl w:val="nil"/>
            </w:tcBorders>
            <w:vAlign w:val="center"/>
          </w:tcPr>
          <w:p w14:paraId="61B95BF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2.6</w:t>
            </w:r>
          </w:p>
        </w:tc>
        <w:tc>
          <w:tcPr>
            <w:tcW w:w="707" w:type="dxa"/>
            <w:tcBorders>
              <w:tl2br w:val="nil"/>
              <w:tr2bl w:val="nil"/>
            </w:tcBorders>
            <w:vAlign w:val="center"/>
          </w:tcPr>
          <w:p w14:paraId="4A9372B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5667394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0.23</w:t>
            </w:r>
          </w:p>
        </w:tc>
        <w:tc>
          <w:tcPr>
            <w:tcW w:w="789" w:type="dxa"/>
            <w:tcBorders>
              <w:tl2br w:val="nil"/>
              <w:tr2bl w:val="nil"/>
            </w:tcBorders>
            <w:vAlign w:val="center"/>
          </w:tcPr>
          <w:p w14:paraId="49F62C2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234</w:t>
            </w:r>
          </w:p>
        </w:tc>
        <w:tc>
          <w:tcPr>
            <w:tcW w:w="785" w:type="dxa"/>
            <w:tcBorders>
              <w:tl2br w:val="nil"/>
              <w:tr2bl w:val="nil"/>
            </w:tcBorders>
            <w:vAlign w:val="center"/>
          </w:tcPr>
          <w:p w14:paraId="182AAD8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4B237E7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27</w:t>
            </w:r>
          </w:p>
        </w:tc>
      </w:tr>
      <w:tr w14:paraId="2F6A2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dxa"/>
            <w:vMerge w:val="restart"/>
            <w:tcBorders>
              <w:tl2br w:val="nil"/>
              <w:tr2bl w:val="nil"/>
            </w:tcBorders>
            <w:vAlign w:val="center"/>
          </w:tcPr>
          <w:p w14:paraId="50BD60D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770" w:type="dxa"/>
            <w:tcBorders>
              <w:tl2br w:val="nil"/>
              <w:tr2bl w:val="nil"/>
            </w:tcBorders>
            <w:vAlign w:val="center"/>
          </w:tcPr>
          <w:p w14:paraId="04888D6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最小值</w:t>
            </w:r>
          </w:p>
        </w:tc>
        <w:tc>
          <w:tcPr>
            <w:tcW w:w="584" w:type="dxa"/>
            <w:tcBorders>
              <w:tl2br w:val="nil"/>
              <w:tr2bl w:val="nil"/>
            </w:tcBorders>
            <w:vAlign w:val="center"/>
          </w:tcPr>
          <w:p w14:paraId="5BA9692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6.7</w:t>
            </w:r>
          </w:p>
        </w:tc>
        <w:tc>
          <w:tcPr>
            <w:tcW w:w="590" w:type="dxa"/>
            <w:tcBorders>
              <w:tl2br w:val="nil"/>
              <w:tr2bl w:val="nil"/>
            </w:tcBorders>
            <w:vAlign w:val="center"/>
          </w:tcPr>
          <w:p w14:paraId="0EA8C95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6.29</w:t>
            </w:r>
          </w:p>
        </w:tc>
        <w:tc>
          <w:tcPr>
            <w:tcW w:w="590" w:type="dxa"/>
            <w:tcBorders>
              <w:tl2br w:val="nil"/>
              <w:tr2bl w:val="nil"/>
            </w:tcBorders>
            <w:vAlign w:val="center"/>
          </w:tcPr>
          <w:p w14:paraId="4BF3BF7F">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1.07</w:t>
            </w:r>
          </w:p>
        </w:tc>
        <w:tc>
          <w:tcPr>
            <w:tcW w:w="601" w:type="dxa"/>
            <w:tcBorders>
              <w:tl2br w:val="nil"/>
              <w:tr2bl w:val="nil"/>
            </w:tcBorders>
            <w:vAlign w:val="center"/>
          </w:tcPr>
          <w:p w14:paraId="2212129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8.35</w:t>
            </w:r>
          </w:p>
        </w:tc>
        <w:tc>
          <w:tcPr>
            <w:tcW w:w="660" w:type="dxa"/>
            <w:tcBorders>
              <w:tl2br w:val="nil"/>
              <w:tr2bl w:val="nil"/>
            </w:tcBorders>
            <w:vAlign w:val="center"/>
          </w:tcPr>
          <w:p w14:paraId="645BB72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10.2</w:t>
            </w:r>
          </w:p>
        </w:tc>
        <w:tc>
          <w:tcPr>
            <w:tcW w:w="526" w:type="dxa"/>
            <w:tcBorders>
              <w:tl2br w:val="nil"/>
              <w:tr2bl w:val="nil"/>
            </w:tcBorders>
            <w:vAlign w:val="center"/>
          </w:tcPr>
          <w:p w14:paraId="7A0B70B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20177AF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6EF1E90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56E5517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60948E0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32BEE97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654" w:type="dxa"/>
            <w:tcBorders>
              <w:tl2br w:val="nil"/>
              <w:tr2bl w:val="nil"/>
            </w:tcBorders>
            <w:vAlign w:val="center"/>
          </w:tcPr>
          <w:p w14:paraId="30DCE51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6.92</w:t>
            </w:r>
          </w:p>
        </w:tc>
        <w:tc>
          <w:tcPr>
            <w:tcW w:w="673" w:type="dxa"/>
            <w:tcBorders>
              <w:tl2br w:val="nil"/>
              <w:tr2bl w:val="nil"/>
            </w:tcBorders>
            <w:vAlign w:val="center"/>
          </w:tcPr>
          <w:p w14:paraId="2F516F4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3.52</w:t>
            </w:r>
          </w:p>
        </w:tc>
        <w:tc>
          <w:tcPr>
            <w:tcW w:w="703" w:type="dxa"/>
            <w:tcBorders>
              <w:tl2br w:val="nil"/>
              <w:tr2bl w:val="nil"/>
            </w:tcBorders>
            <w:vAlign w:val="center"/>
          </w:tcPr>
          <w:p w14:paraId="0DCB7E0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0.569</w:t>
            </w:r>
          </w:p>
        </w:tc>
        <w:tc>
          <w:tcPr>
            <w:tcW w:w="823" w:type="dxa"/>
            <w:tcBorders>
              <w:tl2br w:val="nil"/>
              <w:tr2bl w:val="nil"/>
            </w:tcBorders>
            <w:vAlign w:val="center"/>
          </w:tcPr>
          <w:p w14:paraId="1BF3E78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69525C2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0.060</w:t>
            </w:r>
          </w:p>
        </w:tc>
        <w:tc>
          <w:tcPr>
            <w:tcW w:w="611" w:type="dxa"/>
            <w:tcBorders>
              <w:tl2br w:val="nil"/>
              <w:tr2bl w:val="nil"/>
            </w:tcBorders>
            <w:vAlign w:val="center"/>
          </w:tcPr>
          <w:p w14:paraId="2CF31DE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2.2</w:t>
            </w:r>
          </w:p>
        </w:tc>
        <w:tc>
          <w:tcPr>
            <w:tcW w:w="707" w:type="dxa"/>
            <w:tcBorders>
              <w:tl2br w:val="nil"/>
              <w:tr2bl w:val="nil"/>
            </w:tcBorders>
            <w:vAlign w:val="center"/>
          </w:tcPr>
          <w:p w14:paraId="6EB0A48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3681BBB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0.18</w:t>
            </w:r>
          </w:p>
        </w:tc>
        <w:tc>
          <w:tcPr>
            <w:tcW w:w="789" w:type="dxa"/>
            <w:tcBorders>
              <w:tl2br w:val="nil"/>
              <w:tr2bl w:val="nil"/>
            </w:tcBorders>
            <w:vAlign w:val="center"/>
          </w:tcPr>
          <w:p w14:paraId="189C9E0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211</w:t>
            </w:r>
          </w:p>
        </w:tc>
        <w:tc>
          <w:tcPr>
            <w:tcW w:w="785" w:type="dxa"/>
            <w:tcBorders>
              <w:tl2br w:val="nil"/>
              <w:tr2bl w:val="nil"/>
            </w:tcBorders>
            <w:vAlign w:val="center"/>
          </w:tcPr>
          <w:p w14:paraId="392273F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6B72943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24</w:t>
            </w:r>
          </w:p>
        </w:tc>
      </w:tr>
      <w:tr w14:paraId="24966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dxa"/>
            <w:vMerge w:val="continue"/>
            <w:tcBorders>
              <w:tl2br w:val="nil"/>
              <w:tr2bl w:val="nil"/>
            </w:tcBorders>
            <w:vAlign w:val="center"/>
          </w:tcPr>
          <w:p w14:paraId="1EFA4FB7">
            <w:pPr>
              <w:pStyle w:val="41"/>
              <w:adjustRightInd w:val="0"/>
              <w:snapToGrid w:val="0"/>
              <w:spacing w:line="312" w:lineRule="auto"/>
              <w:rPr>
                <w:rFonts w:hint="default" w:ascii="Times New Roman" w:hAnsi="Times New Roman" w:cs="Times New Roman"/>
                <w:color w:val="auto"/>
                <w:u w:val="none"/>
              </w:rPr>
            </w:pPr>
          </w:p>
        </w:tc>
        <w:tc>
          <w:tcPr>
            <w:tcW w:w="770" w:type="dxa"/>
            <w:tcBorders>
              <w:tl2br w:val="nil"/>
              <w:tr2bl w:val="nil"/>
            </w:tcBorders>
            <w:vAlign w:val="center"/>
          </w:tcPr>
          <w:p w14:paraId="3BF3298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最大值</w:t>
            </w:r>
          </w:p>
        </w:tc>
        <w:tc>
          <w:tcPr>
            <w:tcW w:w="584" w:type="dxa"/>
            <w:tcBorders>
              <w:tl2br w:val="nil"/>
              <w:tr2bl w:val="nil"/>
            </w:tcBorders>
            <w:vAlign w:val="center"/>
          </w:tcPr>
          <w:p w14:paraId="4E16EEA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6.9</w:t>
            </w:r>
          </w:p>
        </w:tc>
        <w:tc>
          <w:tcPr>
            <w:tcW w:w="590" w:type="dxa"/>
            <w:tcBorders>
              <w:tl2br w:val="nil"/>
              <w:tr2bl w:val="nil"/>
            </w:tcBorders>
            <w:vAlign w:val="center"/>
          </w:tcPr>
          <w:p w14:paraId="2D16815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7.07</w:t>
            </w:r>
          </w:p>
        </w:tc>
        <w:tc>
          <w:tcPr>
            <w:tcW w:w="590" w:type="dxa"/>
            <w:tcBorders>
              <w:tl2br w:val="nil"/>
              <w:tr2bl w:val="nil"/>
            </w:tcBorders>
            <w:vAlign w:val="center"/>
          </w:tcPr>
          <w:p w14:paraId="0200CA5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1.30</w:t>
            </w:r>
          </w:p>
        </w:tc>
        <w:tc>
          <w:tcPr>
            <w:tcW w:w="601" w:type="dxa"/>
            <w:tcBorders>
              <w:tl2br w:val="nil"/>
              <w:tr2bl w:val="nil"/>
            </w:tcBorders>
            <w:vAlign w:val="center"/>
          </w:tcPr>
          <w:p w14:paraId="3731DAA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10.2</w:t>
            </w:r>
          </w:p>
        </w:tc>
        <w:tc>
          <w:tcPr>
            <w:tcW w:w="660" w:type="dxa"/>
            <w:tcBorders>
              <w:tl2br w:val="nil"/>
              <w:tr2bl w:val="nil"/>
            </w:tcBorders>
            <w:vAlign w:val="center"/>
          </w:tcPr>
          <w:p w14:paraId="4FB60D5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11.2</w:t>
            </w:r>
          </w:p>
        </w:tc>
        <w:tc>
          <w:tcPr>
            <w:tcW w:w="526" w:type="dxa"/>
            <w:tcBorders>
              <w:tl2br w:val="nil"/>
              <w:tr2bl w:val="nil"/>
            </w:tcBorders>
            <w:vAlign w:val="center"/>
          </w:tcPr>
          <w:p w14:paraId="56939A4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70BC1DE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523FE10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2CBCE9F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0FBE01C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44D5995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89</w:t>
            </w:r>
          </w:p>
        </w:tc>
        <w:tc>
          <w:tcPr>
            <w:tcW w:w="654" w:type="dxa"/>
            <w:tcBorders>
              <w:tl2br w:val="nil"/>
              <w:tr2bl w:val="nil"/>
            </w:tcBorders>
            <w:vAlign w:val="center"/>
          </w:tcPr>
          <w:p w14:paraId="241810D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7.07</w:t>
            </w:r>
          </w:p>
        </w:tc>
        <w:tc>
          <w:tcPr>
            <w:tcW w:w="673" w:type="dxa"/>
            <w:tcBorders>
              <w:tl2br w:val="nil"/>
              <w:tr2bl w:val="nil"/>
            </w:tcBorders>
            <w:vAlign w:val="center"/>
          </w:tcPr>
          <w:p w14:paraId="344AFFD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3.58</w:t>
            </w:r>
          </w:p>
        </w:tc>
        <w:tc>
          <w:tcPr>
            <w:tcW w:w="703" w:type="dxa"/>
            <w:tcBorders>
              <w:tl2br w:val="nil"/>
              <w:tr2bl w:val="nil"/>
            </w:tcBorders>
            <w:vAlign w:val="center"/>
          </w:tcPr>
          <w:p w14:paraId="1F67CAE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0.610</w:t>
            </w:r>
          </w:p>
        </w:tc>
        <w:tc>
          <w:tcPr>
            <w:tcW w:w="823" w:type="dxa"/>
            <w:tcBorders>
              <w:tl2br w:val="nil"/>
              <w:tr2bl w:val="nil"/>
            </w:tcBorders>
            <w:vAlign w:val="center"/>
          </w:tcPr>
          <w:p w14:paraId="7453119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2274892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0.066</w:t>
            </w:r>
          </w:p>
        </w:tc>
        <w:tc>
          <w:tcPr>
            <w:tcW w:w="611" w:type="dxa"/>
            <w:tcBorders>
              <w:tl2br w:val="nil"/>
              <w:tr2bl w:val="nil"/>
            </w:tcBorders>
            <w:vAlign w:val="center"/>
          </w:tcPr>
          <w:p w14:paraId="1DB69B6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2.5</w:t>
            </w:r>
          </w:p>
        </w:tc>
        <w:tc>
          <w:tcPr>
            <w:tcW w:w="707" w:type="dxa"/>
            <w:tcBorders>
              <w:tl2br w:val="nil"/>
              <w:tr2bl w:val="nil"/>
            </w:tcBorders>
            <w:vAlign w:val="center"/>
          </w:tcPr>
          <w:p w14:paraId="14F61A1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23304F6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0.23</w:t>
            </w:r>
          </w:p>
        </w:tc>
        <w:tc>
          <w:tcPr>
            <w:tcW w:w="789" w:type="dxa"/>
            <w:tcBorders>
              <w:tl2br w:val="nil"/>
              <w:tr2bl w:val="nil"/>
            </w:tcBorders>
            <w:vAlign w:val="center"/>
          </w:tcPr>
          <w:p w14:paraId="7FA961D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214</w:t>
            </w:r>
          </w:p>
        </w:tc>
        <w:tc>
          <w:tcPr>
            <w:tcW w:w="785" w:type="dxa"/>
            <w:tcBorders>
              <w:tl2br w:val="nil"/>
              <w:tr2bl w:val="nil"/>
            </w:tcBorders>
            <w:vAlign w:val="center"/>
          </w:tcPr>
          <w:p w14:paraId="1EBEEE4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1C82BB1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27</w:t>
            </w:r>
          </w:p>
        </w:tc>
      </w:tr>
      <w:tr w14:paraId="0F998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dxa"/>
            <w:vMerge w:val="restart"/>
            <w:tcBorders>
              <w:tl2br w:val="nil"/>
              <w:tr2bl w:val="nil"/>
            </w:tcBorders>
            <w:vAlign w:val="center"/>
          </w:tcPr>
          <w:p w14:paraId="041B7F2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770" w:type="dxa"/>
            <w:tcBorders>
              <w:tl2br w:val="nil"/>
              <w:tr2bl w:val="nil"/>
            </w:tcBorders>
            <w:vAlign w:val="center"/>
          </w:tcPr>
          <w:p w14:paraId="1055654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最小值</w:t>
            </w:r>
          </w:p>
        </w:tc>
        <w:tc>
          <w:tcPr>
            <w:tcW w:w="584" w:type="dxa"/>
            <w:tcBorders>
              <w:tl2br w:val="nil"/>
              <w:tr2bl w:val="nil"/>
            </w:tcBorders>
            <w:vAlign w:val="center"/>
          </w:tcPr>
          <w:p w14:paraId="19630EA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6.7</w:t>
            </w:r>
          </w:p>
        </w:tc>
        <w:tc>
          <w:tcPr>
            <w:tcW w:w="590" w:type="dxa"/>
            <w:tcBorders>
              <w:tl2br w:val="nil"/>
              <w:tr2bl w:val="nil"/>
            </w:tcBorders>
            <w:vAlign w:val="center"/>
          </w:tcPr>
          <w:p w14:paraId="51BD3C9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590" w:type="dxa"/>
            <w:tcBorders>
              <w:tl2br w:val="nil"/>
              <w:tr2bl w:val="nil"/>
            </w:tcBorders>
            <w:vAlign w:val="center"/>
          </w:tcPr>
          <w:p w14:paraId="6D2E373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2.56</w:t>
            </w:r>
          </w:p>
        </w:tc>
        <w:tc>
          <w:tcPr>
            <w:tcW w:w="601" w:type="dxa"/>
            <w:tcBorders>
              <w:tl2br w:val="nil"/>
              <w:tr2bl w:val="nil"/>
            </w:tcBorders>
            <w:vAlign w:val="center"/>
          </w:tcPr>
          <w:p w14:paraId="1B21D27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7.86</w:t>
            </w:r>
          </w:p>
        </w:tc>
        <w:tc>
          <w:tcPr>
            <w:tcW w:w="660" w:type="dxa"/>
            <w:tcBorders>
              <w:tl2br w:val="nil"/>
              <w:tr2bl w:val="nil"/>
            </w:tcBorders>
            <w:vAlign w:val="center"/>
          </w:tcPr>
          <w:p w14:paraId="6EEA92A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5.07</w:t>
            </w:r>
          </w:p>
        </w:tc>
        <w:tc>
          <w:tcPr>
            <w:tcW w:w="526" w:type="dxa"/>
            <w:tcBorders>
              <w:tl2br w:val="nil"/>
              <w:tr2bl w:val="nil"/>
            </w:tcBorders>
            <w:vAlign w:val="center"/>
          </w:tcPr>
          <w:p w14:paraId="07219BC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3AEEC2D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4FAFF74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478CE50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1FDCBFB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40619B5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46</w:t>
            </w:r>
          </w:p>
        </w:tc>
        <w:tc>
          <w:tcPr>
            <w:tcW w:w="654" w:type="dxa"/>
            <w:tcBorders>
              <w:tl2br w:val="nil"/>
              <w:tr2bl w:val="nil"/>
            </w:tcBorders>
            <w:vAlign w:val="center"/>
          </w:tcPr>
          <w:p w14:paraId="6CF2C85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9.66</w:t>
            </w:r>
          </w:p>
        </w:tc>
        <w:tc>
          <w:tcPr>
            <w:tcW w:w="673" w:type="dxa"/>
            <w:tcBorders>
              <w:tl2br w:val="nil"/>
              <w:tr2bl w:val="nil"/>
            </w:tcBorders>
            <w:vAlign w:val="center"/>
          </w:tcPr>
          <w:p w14:paraId="51674A8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4.06</w:t>
            </w:r>
          </w:p>
        </w:tc>
        <w:tc>
          <w:tcPr>
            <w:tcW w:w="703" w:type="dxa"/>
            <w:tcBorders>
              <w:tl2br w:val="nil"/>
              <w:tr2bl w:val="nil"/>
            </w:tcBorders>
            <w:vAlign w:val="center"/>
          </w:tcPr>
          <w:p w14:paraId="0466274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0.488</w:t>
            </w:r>
          </w:p>
        </w:tc>
        <w:tc>
          <w:tcPr>
            <w:tcW w:w="823" w:type="dxa"/>
            <w:tcBorders>
              <w:tl2br w:val="nil"/>
              <w:tr2bl w:val="nil"/>
            </w:tcBorders>
            <w:vAlign w:val="center"/>
          </w:tcPr>
          <w:p w14:paraId="75DCE18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6C227C9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0.121</w:t>
            </w:r>
          </w:p>
        </w:tc>
        <w:tc>
          <w:tcPr>
            <w:tcW w:w="611" w:type="dxa"/>
            <w:tcBorders>
              <w:tl2br w:val="nil"/>
              <w:tr2bl w:val="nil"/>
            </w:tcBorders>
            <w:vAlign w:val="center"/>
          </w:tcPr>
          <w:p w14:paraId="5AEFC34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2.1</w:t>
            </w:r>
          </w:p>
        </w:tc>
        <w:tc>
          <w:tcPr>
            <w:tcW w:w="707" w:type="dxa"/>
            <w:tcBorders>
              <w:tl2br w:val="nil"/>
              <w:tr2bl w:val="nil"/>
            </w:tcBorders>
            <w:vAlign w:val="center"/>
          </w:tcPr>
          <w:p w14:paraId="1343B51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2B5B132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0.19</w:t>
            </w:r>
          </w:p>
        </w:tc>
        <w:tc>
          <w:tcPr>
            <w:tcW w:w="789" w:type="dxa"/>
            <w:tcBorders>
              <w:tl2br w:val="nil"/>
              <w:tr2bl w:val="nil"/>
            </w:tcBorders>
            <w:vAlign w:val="center"/>
          </w:tcPr>
          <w:p w14:paraId="28A75CA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216</w:t>
            </w:r>
          </w:p>
        </w:tc>
        <w:tc>
          <w:tcPr>
            <w:tcW w:w="785" w:type="dxa"/>
            <w:tcBorders>
              <w:tl2br w:val="nil"/>
              <w:tr2bl w:val="nil"/>
            </w:tcBorders>
            <w:vAlign w:val="center"/>
          </w:tcPr>
          <w:p w14:paraId="6D0CDEB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05F237B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25</w:t>
            </w:r>
          </w:p>
        </w:tc>
      </w:tr>
      <w:tr w14:paraId="76BD18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0" w:type="dxa"/>
            <w:vMerge w:val="continue"/>
            <w:tcBorders>
              <w:tl2br w:val="nil"/>
              <w:tr2bl w:val="nil"/>
            </w:tcBorders>
            <w:vAlign w:val="center"/>
          </w:tcPr>
          <w:p w14:paraId="33467BA5">
            <w:pPr>
              <w:pStyle w:val="41"/>
              <w:adjustRightInd w:val="0"/>
              <w:snapToGrid w:val="0"/>
              <w:spacing w:line="312" w:lineRule="auto"/>
              <w:rPr>
                <w:rFonts w:hint="default" w:ascii="Times New Roman" w:hAnsi="Times New Roman" w:cs="Times New Roman"/>
                <w:color w:val="auto"/>
                <w:u w:val="none"/>
              </w:rPr>
            </w:pPr>
          </w:p>
        </w:tc>
        <w:tc>
          <w:tcPr>
            <w:tcW w:w="770" w:type="dxa"/>
            <w:tcBorders>
              <w:tl2br w:val="nil"/>
              <w:tr2bl w:val="nil"/>
            </w:tcBorders>
            <w:vAlign w:val="center"/>
          </w:tcPr>
          <w:p w14:paraId="061FB80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最大值</w:t>
            </w:r>
          </w:p>
        </w:tc>
        <w:tc>
          <w:tcPr>
            <w:tcW w:w="584" w:type="dxa"/>
            <w:tcBorders>
              <w:tl2br w:val="nil"/>
              <w:tr2bl w:val="nil"/>
            </w:tcBorders>
            <w:vAlign w:val="center"/>
          </w:tcPr>
          <w:p w14:paraId="2615AF0C">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6.8</w:t>
            </w:r>
          </w:p>
        </w:tc>
        <w:tc>
          <w:tcPr>
            <w:tcW w:w="590" w:type="dxa"/>
            <w:tcBorders>
              <w:tl2br w:val="nil"/>
              <w:tr2bl w:val="nil"/>
            </w:tcBorders>
            <w:vAlign w:val="center"/>
          </w:tcPr>
          <w:p w14:paraId="2EA8377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5.16</w:t>
            </w:r>
          </w:p>
        </w:tc>
        <w:tc>
          <w:tcPr>
            <w:tcW w:w="590" w:type="dxa"/>
            <w:tcBorders>
              <w:tl2br w:val="nil"/>
              <w:tr2bl w:val="nil"/>
            </w:tcBorders>
            <w:vAlign w:val="center"/>
          </w:tcPr>
          <w:p w14:paraId="6FE7E60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2.83</w:t>
            </w:r>
          </w:p>
        </w:tc>
        <w:tc>
          <w:tcPr>
            <w:tcW w:w="601" w:type="dxa"/>
            <w:tcBorders>
              <w:tl2br w:val="nil"/>
              <w:tr2bl w:val="nil"/>
            </w:tcBorders>
            <w:vAlign w:val="center"/>
          </w:tcPr>
          <w:p w14:paraId="2095E7B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8.90</w:t>
            </w:r>
          </w:p>
        </w:tc>
        <w:tc>
          <w:tcPr>
            <w:tcW w:w="660" w:type="dxa"/>
            <w:tcBorders>
              <w:tl2br w:val="nil"/>
              <w:tr2bl w:val="nil"/>
            </w:tcBorders>
            <w:vAlign w:val="center"/>
          </w:tcPr>
          <w:p w14:paraId="686DE74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5.61</w:t>
            </w:r>
          </w:p>
        </w:tc>
        <w:tc>
          <w:tcPr>
            <w:tcW w:w="526" w:type="dxa"/>
            <w:tcBorders>
              <w:tl2br w:val="nil"/>
              <w:tr2bl w:val="nil"/>
            </w:tcBorders>
            <w:vAlign w:val="center"/>
          </w:tcPr>
          <w:p w14:paraId="25F4B33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76CE032B">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07" w:type="dxa"/>
            <w:tcBorders>
              <w:tl2br w:val="nil"/>
              <w:tr2bl w:val="nil"/>
            </w:tcBorders>
            <w:vAlign w:val="center"/>
          </w:tcPr>
          <w:p w14:paraId="237BDD7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01" w:type="dxa"/>
            <w:tcBorders>
              <w:tl2br w:val="nil"/>
              <w:tr2bl w:val="nil"/>
            </w:tcBorders>
            <w:vAlign w:val="center"/>
          </w:tcPr>
          <w:p w14:paraId="555951B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8" w:type="dxa"/>
            <w:tcBorders>
              <w:tl2br w:val="nil"/>
              <w:tr2bl w:val="nil"/>
            </w:tcBorders>
            <w:vAlign w:val="center"/>
          </w:tcPr>
          <w:p w14:paraId="5E38146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782" w:type="dxa"/>
            <w:tcBorders>
              <w:tl2br w:val="nil"/>
              <w:tr2bl w:val="nil"/>
            </w:tcBorders>
            <w:vAlign w:val="center"/>
          </w:tcPr>
          <w:p w14:paraId="6F1CA41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654" w:type="dxa"/>
            <w:tcBorders>
              <w:tl2br w:val="nil"/>
              <w:tr2bl w:val="nil"/>
            </w:tcBorders>
            <w:vAlign w:val="center"/>
          </w:tcPr>
          <w:p w14:paraId="3D8DA82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9.78</w:t>
            </w:r>
          </w:p>
        </w:tc>
        <w:tc>
          <w:tcPr>
            <w:tcW w:w="673" w:type="dxa"/>
            <w:tcBorders>
              <w:tl2br w:val="nil"/>
              <w:tr2bl w:val="nil"/>
            </w:tcBorders>
            <w:vAlign w:val="center"/>
          </w:tcPr>
          <w:p w14:paraId="1E4FFC2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4.11</w:t>
            </w:r>
          </w:p>
        </w:tc>
        <w:tc>
          <w:tcPr>
            <w:tcW w:w="703" w:type="dxa"/>
            <w:tcBorders>
              <w:tl2br w:val="nil"/>
              <w:tr2bl w:val="nil"/>
            </w:tcBorders>
            <w:vAlign w:val="center"/>
          </w:tcPr>
          <w:p w14:paraId="5F1A697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0.565</w:t>
            </w:r>
          </w:p>
        </w:tc>
        <w:tc>
          <w:tcPr>
            <w:tcW w:w="823" w:type="dxa"/>
            <w:tcBorders>
              <w:tl2br w:val="nil"/>
              <w:tr2bl w:val="nil"/>
            </w:tcBorders>
            <w:vAlign w:val="center"/>
          </w:tcPr>
          <w:p w14:paraId="71F0D32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97" w:type="dxa"/>
            <w:tcBorders>
              <w:tl2br w:val="nil"/>
              <w:tr2bl w:val="nil"/>
            </w:tcBorders>
            <w:vAlign w:val="center"/>
          </w:tcPr>
          <w:p w14:paraId="12B8E509">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0.127</w:t>
            </w:r>
          </w:p>
        </w:tc>
        <w:tc>
          <w:tcPr>
            <w:tcW w:w="611" w:type="dxa"/>
            <w:tcBorders>
              <w:tl2br w:val="nil"/>
              <w:tr2bl w:val="nil"/>
            </w:tcBorders>
            <w:vAlign w:val="center"/>
          </w:tcPr>
          <w:p w14:paraId="0428B2B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2.7</w:t>
            </w:r>
          </w:p>
        </w:tc>
        <w:tc>
          <w:tcPr>
            <w:tcW w:w="707" w:type="dxa"/>
            <w:tcBorders>
              <w:tl2br w:val="nil"/>
              <w:tr2bl w:val="nil"/>
            </w:tcBorders>
            <w:vAlign w:val="center"/>
          </w:tcPr>
          <w:p w14:paraId="11A8F7A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611" w:type="dxa"/>
            <w:tcBorders>
              <w:tl2br w:val="nil"/>
              <w:tr2bl w:val="nil"/>
            </w:tcBorders>
            <w:vAlign w:val="center"/>
          </w:tcPr>
          <w:p w14:paraId="76DE210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0.26</w:t>
            </w:r>
          </w:p>
        </w:tc>
        <w:tc>
          <w:tcPr>
            <w:tcW w:w="789" w:type="dxa"/>
            <w:tcBorders>
              <w:tl2br w:val="nil"/>
              <w:tr2bl w:val="nil"/>
            </w:tcBorders>
            <w:vAlign w:val="center"/>
          </w:tcPr>
          <w:p w14:paraId="0F4927B0">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220</w:t>
            </w:r>
          </w:p>
        </w:tc>
        <w:tc>
          <w:tcPr>
            <w:tcW w:w="785" w:type="dxa"/>
            <w:tcBorders>
              <w:tl2br w:val="nil"/>
              <w:tr2bl w:val="nil"/>
            </w:tcBorders>
            <w:vAlign w:val="center"/>
          </w:tcPr>
          <w:p w14:paraId="6A5AA50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&lt;2</w:t>
            </w:r>
          </w:p>
        </w:tc>
        <w:tc>
          <w:tcPr>
            <w:tcW w:w="834" w:type="dxa"/>
            <w:tcBorders>
              <w:tl2br w:val="nil"/>
              <w:tr2bl w:val="nil"/>
            </w:tcBorders>
            <w:vAlign w:val="center"/>
          </w:tcPr>
          <w:p w14:paraId="5C61CE6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26</w:t>
            </w:r>
          </w:p>
        </w:tc>
      </w:tr>
      <w:tr w14:paraId="77D4E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00" w:type="dxa"/>
            <w:gridSpan w:val="2"/>
            <w:tcBorders>
              <w:tl2br w:val="nil"/>
              <w:tr2bl w:val="nil"/>
            </w:tcBorders>
            <w:vAlign w:val="center"/>
          </w:tcPr>
          <w:p w14:paraId="38EC7E1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标准值</w:t>
            </w:r>
          </w:p>
        </w:tc>
        <w:tc>
          <w:tcPr>
            <w:tcW w:w="584" w:type="dxa"/>
            <w:tcBorders>
              <w:tl2br w:val="nil"/>
              <w:tr2bl w:val="nil"/>
            </w:tcBorders>
            <w:vAlign w:val="center"/>
          </w:tcPr>
          <w:p w14:paraId="2CE34E0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6.5-8.5</w:t>
            </w:r>
          </w:p>
        </w:tc>
        <w:tc>
          <w:tcPr>
            <w:tcW w:w="590" w:type="dxa"/>
            <w:tcBorders>
              <w:tl2br w:val="nil"/>
              <w:tr2bl w:val="nil"/>
            </w:tcBorders>
            <w:vAlign w:val="center"/>
          </w:tcPr>
          <w:p w14:paraId="57CAF39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90" w:type="dxa"/>
            <w:tcBorders>
              <w:tl2br w:val="nil"/>
              <w:tr2bl w:val="nil"/>
            </w:tcBorders>
            <w:vAlign w:val="center"/>
          </w:tcPr>
          <w:p w14:paraId="12BF270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01" w:type="dxa"/>
            <w:tcBorders>
              <w:tl2br w:val="nil"/>
              <w:tr2bl w:val="nil"/>
            </w:tcBorders>
            <w:vAlign w:val="center"/>
          </w:tcPr>
          <w:p w14:paraId="10507A6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60" w:type="dxa"/>
            <w:tcBorders>
              <w:tl2br w:val="nil"/>
              <w:tr2bl w:val="nil"/>
            </w:tcBorders>
            <w:vAlign w:val="center"/>
          </w:tcPr>
          <w:p w14:paraId="23D29AB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26" w:type="dxa"/>
            <w:tcBorders>
              <w:tl2br w:val="nil"/>
              <w:tr2bl w:val="nil"/>
            </w:tcBorders>
            <w:vAlign w:val="center"/>
          </w:tcPr>
          <w:p w14:paraId="0977F5F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01" w:type="dxa"/>
            <w:tcBorders>
              <w:tl2br w:val="nil"/>
              <w:tr2bl w:val="nil"/>
            </w:tcBorders>
            <w:vAlign w:val="center"/>
          </w:tcPr>
          <w:p w14:paraId="63BBDF0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707" w:type="dxa"/>
            <w:tcBorders>
              <w:tl2br w:val="nil"/>
              <w:tr2bl w:val="nil"/>
            </w:tcBorders>
            <w:vAlign w:val="center"/>
          </w:tcPr>
          <w:p w14:paraId="24C57984">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≤0.05</w:t>
            </w:r>
          </w:p>
        </w:tc>
        <w:tc>
          <w:tcPr>
            <w:tcW w:w="601" w:type="dxa"/>
            <w:tcBorders>
              <w:tl2br w:val="nil"/>
              <w:tr2bl w:val="nil"/>
            </w:tcBorders>
            <w:vAlign w:val="center"/>
          </w:tcPr>
          <w:p w14:paraId="2E4B18D8">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≤0.3</w:t>
            </w:r>
          </w:p>
        </w:tc>
        <w:tc>
          <w:tcPr>
            <w:tcW w:w="698" w:type="dxa"/>
            <w:tcBorders>
              <w:tl2br w:val="nil"/>
              <w:tr2bl w:val="nil"/>
            </w:tcBorders>
            <w:vAlign w:val="center"/>
          </w:tcPr>
          <w:p w14:paraId="1EAF45B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82" w:type="dxa"/>
            <w:tcBorders>
              <w:tl2br w:val="nil"/>
              <w:tr2bl w:val="nil"/>
            </w:tcBorders>
            <w:vAlign w:val="center"/>
          </w:tcPr>
          <w:p w14:paraId="0499A7CD">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54" w:type="dxa"/>
            <w:tcBorders>
              <w:tl2br w:val="nil"/>
              <w:tr2bl w:val="nil"/>
            </w:tcBorders>
            <w:vAlign w:val="center"/>
          </w:tcPr>
          <w:p w14:paraId="75FEBFC1">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≤250</w:t>
            </w:r>
          </w:p>
        </w:tc>
        <w:tc>
          <w:tcPr>
            <w:tcW w:w="673" w:type="dxa"/>
            <w:tcBorders>
              <w:tl2br w:val="nil"/>
              <w:tr2bl w:val="nil"/>
            </w:tcBorders>
            <w:vAlign w:val="center"/>
          </w:tcPr>
          <w:p w14:paraId="12543716">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≤250</w:t>
            </w:r>
          </w:p>
        </w:tc>
        <w:tc>
          <w:tcPr>
            <w:tcW w:w="703" w:type="dxa"/>
            <w:tcBorders>
              <w:tl2br w:val="nil"/>
              <w:tr2bl w:val="nil"/>
            </w:tcBorders>
            <w:vAlign w:val="center"/>
          </w:tcPr>
          <w:p w14:paraId="798099BF">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823" w:type="dxa"/>
            <w:tcBorders>
              <w:tl2br w:val="nil"/>
              <w:tr2bl w:val="nil"/>
            </w:tcBorders>
            <w:vAlign w:val="center"/>
          </w:tcPr>
          <w:p w14:paraId="04AD71FE">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≤0.02</w:t>
            </w:r>
          </w:p>
        </w:tc>
        <w:tc>
          <w:tcPr>
            <w:tcW w:w="697" w:type="dxa"/>
            <w:tcBorders>
              <w:tl2br w:val="nil"/>
              <w:tr2bl w:val="nil"/>
            </w:tcBorders>
            <w:vAlign w:val="center"/>
          </w:tcPr>
          <w:p w14:paraId="6F379F4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≤0.2</w:t>
            </w:r>
          </w:p>
        </w:tc>
        <w:tc>
          <w:tcPr>
            <w:tcW w:w="611" w:type="dxa"/>
            <w:tcBorders>
              <w:tl2br w:val="nil"/>
              <w:tr2bl w:val="nil"/>
            </w:tcBorders>
            <w:vAlign w:val="center"/>
          </w:tcPr>
          <w:p w14:paraId="10C5B165">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≤3.0</w:t>
            </w:r>
          </w:p>
        </w:tc>
        <w:tc>
          <w:tcPr>
            <w:tcW w:w="707" w:type="dxa"/>
            <w:tcBorders>
              <w:tl2br w:val="nil"/>
              <w:tr2bl w:val="nil"/>
            </w:tcBorders>
            <w:vAlign w:val="center"/>
          </w:tcPr>
          <w:p w14:paraId="548AF2D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≤0.05</w:t>
            </w:r>
          </w:p>
        </w:tc>
        <w:tc>
          <w:tcPr>
            <w:tcW w:w="611" w:type="dxa"/>
            <w:tcBorders>
              <w:tl2br w:val="nil"/>
              <w:tr2bl w:val="nil"/>
            </w:tcBorders>
            <w:vAlign w:val="center"/>
          </w:tcPr>
          <w:p w14:paraId="6361E8D7">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789" w:type="dxa"/>
            <w:tcBorders>
              <w:tl2br w:val="nil"/>
              <w:tr2bl w:val="nil"/>
            </w:tcBorders>
            <w:vAlign w:val="center"/>
          </w:tcPr>
          <w:p w14:paraId="31F5D04A">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≤1000</w:t>
            </w:r>
          </w:p>
        </w:tc>
        <w:tc>
          <w:tcPr>
            <w:tcW w:w="785" w:type="dxa"/>
            <w:tcBorders>
              <w:tl2br w:val="nil"/>
              <w:tr2bl w:val="nil"/>
            </w:tcBorders>
            <w:vAlign w:val="center"/>
          </w:tcPr>
          <w:p w14:paraId="28C45B72">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≤3.0</w:t>
            </w:r>
          </w:p>
        </w:tc>
        <w:tc>
          <w:tcPr>
            <w:tcW w:w="834" w:type="dxa"/>
            <w:tcBorders>
              <w:tl2br w:val="nil"/>
              <w:tr2bl w:val="nil"/>
            </w:tcBorders>
            <w:vAlign w:val="center"/>
          </w:tcPr>
          <w:p w14:paraId="0914C033">
            <w:pPr>
              <w:pStyle w:val="41"/>
              <w:adjustRightInd w:val="0"/>
              <w:snapToGrid w:val="0"/>
              <w:spacing w:line="312" w:lineRule="auto"/>
              <w:rPr>
                <w:rFonts w:hint="default" w:ascii="Times New Roman" w:hAnsi="Times New Roman" w:cs="Times New Roman"/>
                <w:color w:val="auto"/>
                <w:u w:val="none"/>
              </w:rPr>
            </w:pPr>
            <w:r>
              <w:rPr>
                <w:rFonts w:hint="default" w:ascii="Times New Roman" w:hAnsi="Times New Roman" w:cs="Times New Roman"/>
                <w:color w:val="auto"/>
                <w:u w:val="none"/>
              </w:rPr>
              <w:t>≤100</w:t>
            </w:r>
          </w:p>
        </w:tc>
      </w:tr>
    </w:tbl>
    <w:p w14:paraId="5496DA7E">
      <w:pPr>
        <w:ind w:firstLine="480"/>
        <w:rPr>
          <w:rFonts w:hint="default" w:ascii="Times New Roman" w:hAnsi="Times New Roman" w:cs="Times New Roman"/>
          <w:color w:val="auto"/>
          <w:u w:val="none"/>
        </w:rPr>
        <w:sectPr>
          <w:pgSz w:w="16840" w:h="11907" w:orient="landscape"/>
          <w:pgMar w:top="850" w:right="567" w:bottom="850" w:left="567" w:header="851" w:footer="992" w:gutter="0"/>
          <w:pgBorders>
            <w:top w:val="none" w:sz="0" w:space="0"/>
            <w:left w:val="none" w:sz="0" w:space="0"/>
            <w:bottom w:val="none" w:sz="0" w:space="0"/>
            <w:right w:val="none" w:sz="0" w:space="0"/>
          </w:pgBorders>
          <w:pgNumType w:fmt="decimal"/>
          <w:cols w:space="0" w:num="1"/>
          <w:docGrid w:linePitch="312" w:charSpace="0"/>
        </w:sectPr>
      </w:pPr>
    </w:p>
    <w:p w14:paraId="30C05DD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根据对上表的监测值进行评价分析可知，项目地下水主要检测因子最大值对照标准值计算标准指数统计分析如下表所示：</w:t>
      </w:r>
    </w:p>
    <w:p w14:paraId="5C2C9F6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w:t>
      </w:r>
      <w:r>
        <w:rPr>
          <w:rFonts w:hint="eastAsia" w:cs="Times New Roman"/>
          <w:b/>
          <w:bCs/>
          <w:color w:val="auto"/>
          <w:u w:val="none"/>
          <w:lang w:val="en-US" w:eastAsia="zh-CN"/>
        </w:rPr>
        <w:t xml:space="preserve">8  </w:t>
      </w:r>
      <w:r>
        <w:rPr>
          <w:rFonts w:hint="default" w:ascii="Times New Roman" w:hAnsi="Times New Roman" w:cs="Times New Roman"/>
          <w:b/>
          <w:bCs/>
          <w:color w:val="auto"/>
          <w:u w:val="none"/>
        </w:rPr>
        <w:t>地下水水质现状最大值标准指数结果一览表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1519"/>
        <w:gridCol w:w="1773"/>
        <w:gridCol w:w="1771"/>
        <w:gridCol w:w="1529"/>
      </w:tblGrid>
      <w:tr w14:paraId="658C2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486366D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评价项目</w:t>
            </w:r>
          </w:p>
        </w:tc>
        <w:tc>
          <w:tcPr>
            <w:tcW w:w="838" w:type="pct"/>
            <w:tcBorders>
              <w:tl2br w:val="nil"/>
              <w:tr2bl w:val="nil"/>
            </w:tcBorders>
            <w:vAlign w:val="center"/>
          </w:tcPr>
          <w:p w14:paraId="6D0FBC5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1#</w:t>
            </w:r>
          </w:p>
        </w:tc>
        <w:tc>
          <w:tcPr>
            <w:tcW w:w="978" w:type="pct"/>
            <w:tcBorders>
              <w:tl2br w:val="nil"/>
              <w:tr2bl w:val="nil"/>
            </w:tcBorders>
            <w:vAlign w:val="center"/>
          </w:tcPr>
          <w:p w14:paraId="08133ED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2#</w:t>
            </w:r>
          </w:p>
        </w:tc>
        <w:tc>
          <w:tcPr>
            <w:tcW w:w="977" w:type="pct"/>
            <w:tcBorders>
              <w:tl2br w:val="nil"/>
              <w:tr2bl w:val="nil"/>
            </w:tcBorders>
            <w:vAlign w:val="center"/>
          </w:tcPr>
          <w:p w14:paraId="6D9196B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3#</w:t>
            </w:r>
          </w:p>
        </w:tc>
        <w:tc>
          <w:tcPr>
            <w:tcW w:w="843" w:type="pct"/>
            <w:tcBorders>
              <w:tl2br w:val="nil"/>
              <w:tr2bl w:val="nil"/>
            </w:tcBorders>
            <w:vAlign w:val="center"/>
          </w:tcPr>
          <w:p w14:paraId="6B7CEC1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4#</w:t>
            </w:r>
          </w:p>
        </w:tc>
      </w:tr>
      <w:tr w14:paraId="1E98FA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0D617E61">
            <w:pPr>
              <w:pStyle w:val="41"/>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838" w:type="pct"/>
            <w:tcBorders>
              <w:tl2br w:val="nil"/>
              <w:tr2bl w:val="nil"/>
            </w:tcBorders>
            <w:vAlign w:val="center"/>
          </w:tcPr>
          <w:p w14:paraId="1D59D6B3">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978" w:type="pct"/>
            <w:tcBorders>
              <w:tl2br w:val="nil"/>
              <w:tr2bl w:val="nil"/>
            </w:tcBorders>
            <w:vAlign w:val="center"/>
          </w:tcPr>
          <w:p w14:paraId="32FF0A6E">
            <w:pPr>
              <w:pStyle w:val="41"/>
              <w:rPr>
                <w:rFonts w:hint="default" w:ascii="Times New Roman" w:hAnsi="Times New Roman" w:cs="Times New Roman"/>
                <w:color w:val="auto"/>
                <w:u w:val="none"/>
              </w:rPr>
            </w:pPr>
            <w:r>
              <w:rPr>
                <w:rFonts w:hint="default" w:ascii="Times New Roman" w:hAnsi="Times New Roman" w:cs="Times New Roman"/>
                <w:color w:val="auto"/>
                <w:u w:val="none"/>
              </w:rPr>
              <w:t>0.4</w:t>
            </w:r>
          </w:p>
        </w:tc>
        <w:tc>
          <w:tcPr>
            <w:tcW w:w="977" w:type="pct"/>
            <w:tcBorders>
              <w:tl2br w:val="nil"/>
              <w:tr2bl w:val="nil"/>
            </w:tcBorders>
            <w:vAlign w:val="center"/>
          </w:tcPr>
          <w:p w14:paraId="41154094">
            <w:pPr>
              <w:pStyle w:val="41"/>
              <w:rPr>
                <w:rFonts w:hint="default" w:ascii="Times New Roman" w:hAnsi="Times New Roman" w:cs="Times New Roman"/>
                <w:color w:val="auto"/>
                <w:u w:val="none"/>
              </w:rPr>
            </w:pPr>
            <w:r>
              <w:rPr>
                <w:rFonts w:hint="default" w:ascii="Times New Roman" w:hAnsi="Times New Roman" w:cs="Times New Roman"/>
                <w:color w:val="auto"/>
                <w:u w:val="none"/>
              </w:rPr>
              <w:t>0.6</w:t>
            </w:r>
          </w:p>
        </w:tc>
        <w:tc>
          <w:tcPr>
            <w:tcW w:w="843" w:type="pct"/>
            <w:tcBorders>
              <w:tl2br w:val="nil"/>
              <w:tr2bl w:val="nil"/>
            </w:tcBorders>
            <w:vAlign w:val="center"/>
          </w:tcPr>
          <w:p w14:paraId="40B08CBB">
            <w:pPr>
              <w:pStyle w:val="41"/>
              <w:rPr>
                <w:rFonts w:hint="default" w:ascii="Times New Roman" w:hAnsi="Times New Roman" w:cs="Times New Roman"/>
                <w:color w:val="auto"/>
                <w:u w:val="none"/>
              </w:rPr>
            </w:pPr>
            <w:r>
              <w:rPr>
                <w:rFonts w:hint="default" w:ascii="Times New Roman" w:hAnsi="Times New Roman" w:cs="Times New Roman"/>
                <w:color w:val="auto"/>
                <w:u w:val="none"/>
              </w:rPr>
              <w:t>0.6</w:t>
            </w:r>
          </w:p>
        </w:tc>
      </w:tr>
      <w:tr w14:paraId="17DFF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4E42FEB2">
            <w:pPr>
              <w:pStyle w:val="41"/>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838" w:type="pct"/>
            <w:tcBorders>
              <w:tl2br w:val="nil"/>
              <w:tr2bl w:val="nil"/>
            </w:tcBorders>
            <w:vAlign w:val="center"/>
          </w:tcPr>
          <w:p w14:paraId="3CD635E9">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8" w:type="pct"/>
            <w:tcBorders>
              <w:tl2br w:val="nil"/>
              <w:tr2bl w:val="nil"/>
            </w:tcBorders>
            <w:vAlign w:val="center"/>
          </w:tcPr>
          <w:p w14:paraId="27174C9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7" w:type="pct"/>
            <w:tcBorders>
              <w:tl2br w:val="nil"/>
              <w:tr2bl w:val="nil"/>
            </w:tcBorders>
            <w:vAlign w:val="center"/>
          </w:tcPr>
          <w:p w14:paraId="4D61548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43" w:type="pct"/>
            <w:tcBorders>
              <w:tl2br w:val="nil"/>
              <w:tr2bl w:val="nil"/>
            </w:tcBorders>
            <w:vAlign w:val="center"/>
          </w:tcPr>
          <w:p w14:paraId="3714B2D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5FF6D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18AA3751">
            <w:pPr>
              <w:pStyle w:val="41"/>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838" w:type="pct"/>
            <w:tcBorders>
              <w:tl2br w:val="nil"/>
              <w:tr2bl w:val="nil"/>
            </w:tcBorders>
            <w:vAlign w:val="center"/>
          </w:tcPr>
          <w:p w14:paraId="4ED69DF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8" w:type="pct"/>
            <w:tcBorders>
              <w:tl2br w:val="nil"/>
              <w:tr2bl w:val="nil"/>
            </w:tcBorders>
            <w:vAlign w:val="center"/>
          </w:tcPr>
          <w:p w14:paraId="2477BA6E">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7" w:type="pct"/>
            <w:tcBorders>
              <w:tl2br w:val="nil"/>
              <w:tr2bl w:val="nil"/>
            </w:tcBorders>
            <w:vAlign w:val="center"/>
          </w:tcPr>
          <w:p w14:paraId="571DAAE3">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43" w:type="pct"/>
            <w:tcBorders>
              <w:tl2br w:val="nil"/>
              <w:tr2bl w:val="nil"/>
            </w:tcBorders>
            <w:vAlign w:val="center"/>
          </w:tcPr>
          <w:p w14:paraId="5FF34447">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3C54D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44DFD104">
            <w:pPr>
              <w:pStyle w:val="41"/>
              <w:rPr>
                <w:rFonts w:hint="default" w:ascii="Times New Roman" w:hAnsi="Times New Roman" w:cs="Times New Roman"/>
                <w:color w:val="auto"/>
                <w:u w:val="none"/>
              </w:rPr>
            </w:pPr>
            <w:r>
              <w:rPr>
                <w:rFonts w:hint="default" w:ascii="Times New Roman" w:hAnsi="Times New Roman" w:cs="Times New Roman"/>
                <w:color w:val="auto"/>
                <w:u w:val="none"/>
              </w:rPr>
              <w:t>铁</w:t>
            </w:r>
          </w:p>
        </w:tc>
        <w:tc>
          <w:tcPr>
            <w:tcW w:w="838" w:type="pct"/>
            <w:tcBorders>
              <w:tl2br w:val="nil"/>
              <w:tr2bl w:val="nil"/>
            </w:tcBorders>
            <w:vAlign w:val="center"/>
          </w:tcPr>
          <w:p w14:paraId="7CD8A2AA">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8" w:type="pct"/>
            <w:tcBorders>
              <w:tl2br w:val="nil"/>
              <w:tr2bl w:val="nil"/>
            </w:tcBorders>
            <w:vAlign w:val="center"/>
          </w:tcPr>
          <w:p w14:paraId="00BF84C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7" w:type="pct"/>
            <w:tcBorders>
              <w:tl2br w:val="nil"/>
              <w:tr2bl w:val="nil"/>
            </w:tcBorders>
            <w:vAlign w:val="center"/>
          </w:tcPr>
          <w:p w14:paraId="2E118EC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43" w:type="pct"/>
            <w:tcBorders>
              <w:tl2br w:val="nil"/>
              <w:tr2bl w:val="nil"/>
            </w:tcBorders>
            <w:vAlign w:val="center"/>
          </w:tcPr>
          <w:p w14:paraId="062822FA">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00533A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5852E7E3">
            <w:pPr>
              <w:pStyle w:val="41"/>
              <w:rPr>
                <w:rFonts w:hint="default" w:ascii="Times New Roman" w:hAnsi="Times New Roman" w:cs="Times New Roman"/>
                <w:color w:val="auto"/>
                <w:u w:val="none"/>
              </w:rPr>
            </w:pPr>
            <w:r>
              <w:rPr>
                <w:rFonts w:hint="default" w:ascii="Times New Roman" w:hAnsi="Times New Roman" w:cs="Times New Roman"/>
                <w:color w:val="auto"/>
                <w:u w:val="none"/>
              </w:rPr>
              <w:t>Cl</w:t>
            </w:r>
            <w:r>
              <w:rPr>
                <w:rFonts w:hint="default" w:ascii="Times New Roman" w:hAnsi="Times New Roman" w:cs="Times New Roman"/>
                <w:color w:val="auto"/>
                <w:u w:val="none"/>
                <w:vertAlign w:val="superscript"/>
              </w:rPr>
              <w:t>-</w:t>
            </w:r>
          </w:p>
        </w:tc>
        <w:tc>
          <w:tcPr>
            <w:tcW w:w="838" w:type="pct"/>
            <w:tcBorders>
              <w:tl2br w:val="nil"/>
              <w:tr2bl w:val="nil"/>
            </w:tcBorders>
            <w:vAlign w:val="center"/>
          </w:tcPr>
          <w:p w14:paraId="675BCFCF">
            <w:pPr>
              <w:pStyle w:val="41"/>
              <w:rPr>
                <w:rFonts w:hint="default" w:ascii="Times New Roman" w:hAnsi="Times New Roman" w:cs="Times New Roman"/>
                <w:color w:val="auto"/>
                <w:u w:val="none"/>
              </w:rPr>
            </w:pPr>
            <w:r>
              <w:rPr>
                <w:rFonts w:hint="default" w:ascii="Times New Roman" w:hAnsi="Times New Roman" w:cs="Times New Roman"/>
                <w:color w:val="auto"/>
                <w:u w:val="none"/>
              </w:rPr>
              <w:t>0.037</w:t>
            </w:r>
          </w:p>
        </w:tc>
        <w:tc>
          <w:tcPr>
            <w:tcW w:w="978" w:type="pct"/>
            <w:tcBorders>
              <w:tl2br w:val="nil"/>
              <w:tr2bl w:val="nil"/>
            </w:tcBorders>
            <w:vAlign w:val="center"/>
          </w:tcPr>
          <w:p w14:paraId="2E54A08F">
            <w:pPr>
              <w:pStyle w:val="41"/>
              <w:rPr>
                <w:rFonts w:hint="default" w:ascii="Times New Roman" w:hAnsi="Times New Roman" w:cs="Times New Roman"/>
                <w:color w:val="auto"/>
                <w:u w:val="none"/>
              </w:rPr>
            </w:pPr>
            <w:r>
              <w:rPr>
                <w:rFonts w:hint="default" w:ascii="Times New Roman" w:hAnsi="Times New Roman" w:cs="Times New Roman"/>
                <w:color w:val="auto"/>
                <w:u w:val="none"/>
              </w:rPr>
              <w:t>0.023</w:t>
            </w:r>
          </w:p>
        </w:tc>
        <w:tc>
          <w:tcPr>
            <w:tcW w:w="977" w:type="pct"/>
            <w:tcBorders>
              <w:tl2br w:val="nil"/>
              <w:tr2bl w:val="nil"/>
            </w:tcBorders>
            <w:vAlign w:val="center"/>
          </w:tcPr>
          <w:p w14:paraId="1AF93E6B">
            <w:pPr>
              <w:pStyle w:val="41"/>
              <w:rPr>
                <w:rFonts w:hint="default" w:ascii="Times New Roman" w:hAnsi="Times New Roman" w:cs="Times New Roman"/>
                <w:color w:val="auto"/>
                <w:u w:val="none"/>
              </w:rPr>
            </w:pPr>
            <w:r>
              <w:rPr>
                <w:rFonts w:hint="default" w:ascii="Times New Roman" w:hAnsi="Times New Roman" w:cs="Times New Roman"/>
                <w:color w:val="auto"/>
                <w:u w:val="none"/>
              </w:rPr>
              <w:t>0.028</w:t>
            </w:r>
          </w:p>
        </w:tc>
        <w:tc>
          <w:tcPr>
            <w:tcW w:w="843" w:type="pct"/>
            <w:tcBorders>
              <w:tl2br w:val="nil"/>
              <w:tr2bl w:val="nil"/>
            </w:tcBorders>
            <w:vAlign w:val="center"/>
          </w:tcPr>
          <w:p w14:paraId="71EE6315">
            <w:pPr>
              <w:pStyle w:val="41"/>
              <w:rPr>
                <w:rFonts w:hint="default" w:ascii="Times New Roman" w:hAnsi="Times New Roman" w:cs="Times New Roman"/>
                <w:color w:val="auto"/>
                <w:u w:val="none"/>
              </w:rPr>
            </w:pPr>
            <w:r>
              <w:rPr>
                <w:rFonts w:hint="default" w:ascii="Times New Roman" w:hAnsi="Times New Roman" w:cs="Times New Roman"/>
                <w:color w:val="auto"/>
                <w:u w:val="none"/>
              </w:rPr>
              <w:t>0.039</w:t>
            </w:r>
          </w:p>
        </w:tc>
      </w:tr>
      <w:tr w14:paraId="5E891D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015D0C12">
            <w:pPr>
              <w:pStyle w:val="41"/>
              <w:rPr>
                <w:rFonts w:hint="default" w:ascii="Times New Roman" w:hAnsi="Times New Roman" w:cs="Times New Roman"/>
                <w:color w:val="auto"/>
                <w:u w:val="none"/>
              </w:rPr>
            </w:pP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vertAlign w:val="superscript"/>
              </w:rPr>
              <w:t>2-</w:t>
            </w:r>
          </w:p>
        </w:tc>
        <w:tc>
          <w:tcPr>
            <w:tcW w:w="838" w:type="pct"/>
            <w:tcBorders>
              <w:tl2br w:val="nil"/>
              <w:tr2bl w:val="nil"/>
            </w:tcBorders>
            <w:vAlign w:val="center"/>
          </w:tcPr>
          <w:p w14:paraId="22B7CDAB">
            <w:pPr>
              <w:pStyle w:val="41"/>
              <w:rPr>
                <w:rFonts w:hint="default" w:ascii="Times New Roman" w:hAnsi="Times New Roman" w:cs="Times New Roman"/>
                <w:color w:val="auto"/>
                <w:u w:val="none"/>
              </w:rPr>
            </w:pPr>
            <w:r>
              <w:rPr>
                <w:rFonts w:hint="default" w:ascii="Times New Roman" w:hAnsi="Times New Roman" w:cs="Times New Roman"/>
                <w:color w:val="auto"/>
                <w:u w:val="none"/>
              </w:rPr>
              <w:t>0.016</w:t>
            </w:r>
          </w:p>
        </w:tc>
        <w:tc>
          <w:tcPr>
            <w:tcW w:w="978" w:type="pct"/>
            <w:tcBorders>
              <w:tl2br w:val="nil"/>
              <w:tr2bl w:val="nil"/>
            </w:tcBorders>
            <w:vAlign w:val="center"/>
          </w:tcPr>
          <w:p w14:paraId="02C55219">
            <w:pPr>
              <w:pStyle w:val="41"/>
              <w:rPr>
                <w:rFonts w:hint="default" w:ascii="Times New Roman" w:hAnsi="Times New Roman" w:cs="Times New Roman"/>
                <w:color w:val="auto"/>
                <w:u w:val="none"/>
              </w:rPr>
            </w:pPr>
            <w:r>
              <w:rPr>
                <w:rFonts w:hint="default" w:ascii="Times New Roman" w:hAnsi="Times New Roman" w:cs="Times New Roman"/>
                <w:color w:val="auto"/>
                <w:u w:val="none"/>
              </w:rPr>
              <w:t>0.014</w:t>
            </w:r>
          </w:p>
        </w:tc>
        <w:tc>
          <w:tcPr>
            <w:tcW w:w="977" w:type="pct"/>
            <w:tcBorders>
              <w:tl2br w:val="nil"/>
              <w:tr2bl w:val="nil"/>
            </w:tcBorders>
            <w:vAlign w:val="center"/>
          </w:tcPr>
          <w:p w14:paraId="60344B7C">
            <w:pPr>
              <w:pStyle w:val="41"/>
              <w:rPr>
                <w:rFonts w:hint="default" w:ascii="Times New Roman" w:hAnsi="Times New Roman" w:cs="Times New Roman"/>
                <w:color w:val="auto"/>
                <w:u w:val="none"/>
              </w:rPr>
            </w:pPr>
            <w:r>
              <w:rPr>
                <w:rFonts w:hint="default" w:ascii="Times New Roman" w:hAnsi="Times New Roman" w:cs="Times New Roman"/>
                <w:color w:val="auto"/>
                <w:u w:val="none"/>
              </w:rPr>
              <w:t>0.014</w:t>
            </w:r>
          </w:p>
        </w:tc>
        <w:tc>
          <w:tcPr>
            <w:tcW w:w="843" w:type="pct"/>
            <w:tcBorders>
              <w:tl2br w:val="nil"/>
              <w:tr2bl w:val="nil"/>
            </w:tcBorders>
            <w:vAlign w:val="center"/>
          </w:tcPr>
          <w:p w14:paraId="778D5385">
            <w:pPr>
              <w:pStyle w:val="41"/>
              <w:rPr>
                <w:rFonts w:hint="default" w:ascii="Times New Roman" w:hAnsi="Times New Roman" w:cs="Times New Roman"/>
                <w:color w:val="auto"/>
                <w:u w:val="none"/>
              </w:rPr>
            </w:pPr>
            <w:r>
              <w:rPr>
                <w:rFonts w:hint="default" w:ascii="Times New Roman" w:hAnsi="Times New Roman" w:cs="Times New Roman"/>
                <w:color w:val="auto"/>
                <w:u w:val="none"/>
              </w:rPr>
              <w:t>0.016</w:t>
            </w:r>
          </w:p>
        </w:tc>
      </w:tr>
      <w:tr w14:paraId="3D6AD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110790E4">
            <w:pPr>
              <w:pStyle w:val="41"/>
              <w:rPr>
                <w:rFonts w:hint="default" w:ascii="Times New Roman" w:hAnsi="Times New Roman" w:cs="Times New Roman"/>
                <w:color w:val="auto"/>
                <w:u w:val="none"/>
              </w:rPr>
            </w:pPr>
            <w:r>
              <w:rPr>
                <w:rFonts w:hint="default" w:ascii="Times New Roman" w:hAnsi="Times New Roman" w:cs="Times New Roman"/>
                <w:color w:val="auto"/>
                <w:u w:val="none"/>
              </w:rPr>
              <w:t>硝酸盐</w:t>
            </w:r>
          </w:p>
        </w:tc>
        <w:tc>
          <w:tcPr>
            <w:tcW w:w="838" w:type="pct"/>
            <w:tcBorders>
              <w:tl2br w:val="nil"/>
              <w:tr2bl w:val="nil"/>
            </w:tcBorders>
            <w:vAlign w:val="center"/>
          </w:tcPr>
          <w:p w14:paraId="4EBD3D0C">
            <w:pPr>
              <w:pStyle w:val="41"/>
              <w:rPr>
                <w:rFonts w:hint="default" w:ascii="Times New Roman" w:hAnsi="Times New Roman" w:cs="Times New Roman"/>
                <w:color w:val="auto"/>
                <w:u w:val="none"/>
              </w:rPr>
            </w:pPr>
            <w:r>
              <w:rPr>
                <w:rFonts w:hint="default" w:ascii="Times New Roman" w:hAnsi="Times New Roman" w:cs="Times New Roman"/>
                <w:color w:val="auto"/>
                <w:u w:val="none"/>
              </w:rPr>
              <w:t>0.025</w:t>
            </w:r>
          </w:p>
        </w:tc>
        <w:tc>
          <w:tcPr>
            <w:tcW w:w="978" w:type="pct"/>
            <w:tcBorders>
              <w:tl2br w:val="nil"/>
              <w:tr2bl w:val="nil"/>
            </w:tcBorders>
            <w:vAlign w:val="center"/>
          </w:tcPr>
          <w:p w14:paraId="273B8C6F">
            <w:pPr>
              <w:pStyle w:val="41"/>
              <w:rPr>
                <w:rFonts w:hint="default" w:ascii="Times New Roman" w:hAnsi="Times New Roman" w:cs="Times New Roman"/>
                <w:color w:val="auto"/>
                <w:u w:val="none"/>
              </w:rPr>
            </w:pPr>
            <w:r>
              <w:rPr>
                <w:rFonts w:hint="default" w:ascii="Times New Roman" w:hAnsi="Times New Roman" w:cs="Times New Roman"/>
                <w:color w:val="auto"/>
                <w:u w:val="none"/>
              </w:rPr>
              <w:t>0.029</w:t>
            </w:r>
          </w:p>
        </w:tc>
        <w:tc>
          <w:tcPr>
            <w:tcW w:w="977" w:type="pct"/>
            <w:tcBorders>
              <w:tl2br w:val="nil"/>
              <w:tr2bl w:val="nil"/>
            </w:tcBorders>
            <w:vAlign w:val="center"/>
          </w:tcPr>
          <w:p w14:paraId="3D797956">
            <w:pPr>
              <w:pStyle w:val="41"/>
              <w:rPr>
                <w:rFonts w:hint="default" w:ascii="Times New Roman" w:hAnsi="Times New Roman" w:cs="Times New Roman"/>
                <w:color w:val="auto"/>
                <w:u w:val="none"/>
              </w:rPr>
            </w:pPr>
            <w:r>
              <w:rPr>
                <w:rFonts w:hint="default" w:ascii="Times New Roman" w:hAnsi="Times New Roman" w:cs="Times New Roman"/>
                <w:color w:val="auto"/>
                <w:u w:val="none"/>
              </w:rPr>
              <w:t>0.031</w:t>
            </w:r>
          </w:p>
        </w:tc>
        <w:tc>
          <w:tcPr>
            <w:tcW w:w="843" w:type="pct"/>
            <w:tcBorders>
              <w:tl2br w:val="nil"/>
              <w:tr2bl w:val="nil"/>
            </w:tcBorders>
            <w:vAlign w:val="center"/>
          </w:tcPr>
          <w:p w14:paraId="61442A90">
            <w:pPr>
              <w:pStyle w:val="41"/>
              <w:rPr>
                <w:rFonts w:hint="default" w:ascii="Times New Roman" w:hAnsi="Times New Roman" w:cs="Times New Roman"/>
                <w:color w:val="auto"/>
                <w:u w:val="none"/>
              </w:rPr>
            </w:pPr>
            <w:r>
              <w:rPr>
                <w:rFonts w:hint="default" w:ascii="Times New Roman" w:hAnsi="Times New Roman" w:cs="Times New Roman"/>
                <w:color w:val="auto"/>
                <w:u w:val="none"/>
              </w:rPr>
              <w:t>0.028</w:t>
            </w:r>
          </w:p>
        </w:tc>
      </w:tr>
      <w:tr w14:paraId="3BFC64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62" w:type="pct"/>
            <w:tcBorders>
              <w:tl2br w:val="nil"/>
              <w:tr2bl w:val="nil"/>
            </w:tcBorders>
            <w:vAlign w:val="center"/>
          </w:tcPr>
          <w:p w14:paraId="10DC7E52">
            <w:pPr>
              <w:pStyle w:val="41"/>
              <w:rPr>
                <w:rFonts w:hint="default" w:ascii="Times New Roman" w:hAnsi="Times New Roman" w:cs="Times New Roman"/>
                <w:color w:val="auto"/>
                <w:u w:val="none"/>
              </w:rPr>
            </w:pPr>
            <w:r>
              <w:rPr>
                <w:rFonts w:hint="default" w:ascii="Times New Roman" w:hAnsi="Times New Roman" w:cs="Times New Roman"/>
                <w:color w:val="auto"/>
                <w:u w:val="none"/>
              </w:rPr>
              <w:t>亚硝酸盐</w:t>
            </w:r>
          </w:p>
        </w:tc>
        <w:tc>
          <w:tcPr>
            <w:tcW w:w="838" w:type="pct"/>
            <w:tcBorders>
              <w:tl2br w:val="nil"/>
              <w:tr2bl w:val="nil"/>
            </w:tcBorders>
            <w:vAlign w:val="center"/>
          </w:tcPr>
          <w:p w14:paraId="2A095DA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8" w:type="pct"/>
            <w:tcBorders>
              <w:tl2br w:val="nil"/>
              <w:tr2bl w:val="nil"/>
            </w:tcBorders>
            <w:vAlign w:val="center"/>
          </w:tcPr>
          <w:p w14:paraId="43E56409">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7" w:type="pct"/>
            <w:tcBorders>
              <w:tl2br w:val="nil"/>
              <w:tr2bl w:val="nil"/>
            </w:tcBorders>
            <w:vAlign w:val="center"/>
          </w:tcPr>
          <w:p w14:paraId="36AE5292">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43" w:type="pct"/>
            <w:tcBorders>
              <w:tl2br w:val="nil"/>
              <w:tr2bl w:val="nil"/>
            </w:tcBorders>
            <w:vAlign w:val="center"/>
          </w:tcPr>
          <w:p w14:paraId="06F2B2A6">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691122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039CC287">
            <w:pPr>
              <w:pStyle w:val="41"/>
              <w:rPr>
                <w:rFonts w:hint="default" w:ascii="Times New Roman" w:hAnsi="Times New Roman" w:cs="Times New Roman"/>
                <w:color w:val="auto"/>
                <w:u w:val="none"/>
              </w:rPr>
            </w:pPr>
            <w:r>
              <w:rPr>
                <w:rFonts w:hint="default" w:ascii="Times New Roman" w:hAnsi="Times New Roman" w:cs="Times New Roman"/>
                <w:color w:val="auto"/>
                <w:u w:val="none"/>
              </w:rPr>
              <w:t>氨氮</w:t>
            </w:r>
          </w:p>
        </w:tc>
        <w:tc>
          <w:tcPr>
            <w:tcW w:w="838" w:type="pct"/>
            <w:tcBorders>
              <w:tl2br w:val="nil"/>
              <w:tr2bl w:val="nil"/>
            </w:tcBorders>
            <w:vAlign w:val="center"/>
          </w:tcPr>
          <w:p w14:paraId="386540DA">
            <w:pPr>
              <w:pStyle w:val="41"/>
              <w:rPr>
                <w:rFonts w:hint="default" w:ascii="Times New Roman" w:hAnsi="Times New Roman" w:cs="Times New Roman"/>
                <w:color w:val="auto"/>
                <w:u w:val="none"/>
              </w:rPr>
            </w:pPr>
            <w:r>
              <w:rPr>
                <w:rFonts w:hint="default" w:ascii="Times New Roman" w:hAnsi="Times New Roman" w:cs="Times New Roman"/>
                <w:color w:val="auto"/>
                <w:u w:val="none"/>
              </w:rPr>
              <w:t>0.44</w:t>
            </w:r>
          </w:p>
        </w:tc>
        <w:tc>
          <w:tcPr>
            <w:tcW w:w="978" w:type="pct"/>
            <w:tcBorders>
              <w:tl2br w:val="nil"/>
              <w:tr2bl w:val="nil"/>
            </w:tcBorders>
            <w:vAlign w:val="center"/>
          </w:tcPr>
          <w:p w14:paraId="2776BF1A">
            <w:pPr>
              <w:pStyle w:val="41"/>
              <w:rPr>
                <w:rFonts w:hint="default" w:ascii="Times New Roman" w:hAnsi="Times New Roman" w:cs="Times New Roman"/>
                <w:color w:val="auto"/>
                <w:u w:val="none"/>
              </w:rPr>
            </w:pPr>
            <w:r>
              <w:rPr>
                <w:rFonts w:hint="default" w:ascii="Times New Roman" w:hAnsi="Times New Roman" w:cs="Times New Roman"/>
                <w:color w:val="auto"/>
                <w:u w:val="none"/>
              </w:rPr>
              <w:t>0.51</w:t>
            </w:r>
          </w:p>
        </w:tc>
        <w:tc>
          <w:tcPr>
            <w:tcW w:w="977" w:type="pct"/>
            <w:tcBorders>
              <w:tl2br w:val="nil"/>
              <w:tr2bl w:val="nil"/>
            </w:tcBorders>
            <w:vAlign w:val="center"/>
          </w:tcPr>
          <w:p w14:paraId="5BBF1675">
            <w:pPr>
              <w:pStyle w:val="41"/>
              <w:rPr>
                <w:rFonts w:hint="default" w:ascii="Times New Roman" w:hAnsi="Times New Roman" w:cs="Times New Roman"/>
                <w:color w:val="auto"/>
                <w:u w:val="none"/>
              </w:rPr>
            </w:pPr>
            <w:r>
              <w:rPr>
                <w:rFonts w:hint="default" w:ascii="Times New Roman" w:hAnsi="Times New Roman" w:cs="Times New Roman"/>
                <w:color w:val="auto"/>
                <w:u w:val="none"/>
              </w:rPr>
              <w:t>0.33</w:t>
            </w:r>
          </w:p>
        </w:tc>
        <w:tc>
          <w:tcPr>
            <w:tcW w:w="843" w:type="pct"/>
            <w:tcBorders>
              <w:tl2br w:val="nil"/>
              <w:tr2bl w:val="nil"/>
            </w:tcBorders>
            <w:vAlign w:val="center"/>
          </w:tcPr>
          <w:p w14:paraId="2860D1FD">
            <w:pPr>
              <w:pStyle w:val="41"/>
              <w:rPr>
                <w:rFonts w:hint="default" w:ascii="Times New Roman" w:hAnsi="Times New Roman" w:cs="Times New Roman"/>
                <w:color w:val="auto"/>
                <w:u w:val="none"/>
              </w:rPr>
            </w:pPr>
            <w:r>
              <w:rPr>
                <w:rFonts w:hint="default" w:ascii="Times New Roman" w:hAnsi="Times New Roman" w:cs="Times New Roman"/>
                <w:color w:val="auto"/>
                <w:u w:val="none"/>
              </w:rPr>
              <w:t>0.64</w:t>
            </w:r>
          </w:p>
        </w:tc>
      </w:tr>
      <w:tr w14:paraId="29C38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2C363C01">
            <w:pPr>
              <w:pStyle w:val="41"/>
              <w:rPr>
                <w:rFonts w:hint="default" w:ascii="Times New Roman" w:hAnsi="Times New Roman" w:cs="Times New Roman"/>
                <w:color w:val="auto"/>
                <w:u w:val="none"/>
              </w:rPr>
            </w:pPr>
            <w:r>
              <w:rPr>
                <w:rFonts w:hint="default" w:ascii="Times New Roman" w:hAnsi="Times New Roman" w:cs="Times New Roman"/>
                <w:color w:val="auto"/>
                <w:u w:val="none"/>
              </w:rPr>
              <w:t>耗氧量</w:t>
            </w:r>
          </w:p>
        </w:tc>
        <w:tc>
          <w:tcPr>
            <w:tcW w:w="838" w:type="pct"/>
            <w:tcBorders>
              <w:tl2br w:val="nil"/>
              <w:tr2bl w:val="nil"/>
            </w:tcBorders>
            <w:vAlign w:val="center"/>
          </w:tcPr>
          <w:p w14:paraId="52E206EF">
            <w:pPr>
              <w:pStyle w:val="41"/>
              <w:rPr>
                <w:rFonts w:hint="default" w:ascii="Times New Roman" w:hAnsi="Times New Roman" w:cs="Times New Roman"/>
                <w:color w:val="auto"/>
                <w:u w:val="none"/>
              </w:rPr>
            </w:pPr>
            <w:r>
              <w:rPr>
                <w:rFonts w:hint="default" w:ascii="Times New Roman" w:hAnsi="Times New Roman" w:cs="Times New Roman"/>
                <w:color w:val="auto"/>
                <w:u w:val="none"/>
              </w:rPr>
              <w:t>0.80</w:t>
            </w:r>
          </w:p>
        </w:tc>
        <w:tc>
          <w:tcPr>
            <w:tcW w:w="978" w:type="pct"/>
            <w:tcBorders>
              <w:tl2br w:val="nil"/>
              <w:tr2bl w:val="nil"/>
            </w:tcBorders>
            <w:vAlign w:val="center"/>
          </w:tcPr>
          <w:p w14:paraId="4B64C54E">
            <w:pPr>
              <w:pStyle w:val="41"/>
              <w:rPr>
                <w:rFonts w:hint="default" w:ascii="Times New Roman" w:hAnsi="Times New Roman" w:cs="Times New Roman"/>
                <w:color w:val="auto"/>
                <w:u w:val="none"/>
              </w:rPr>
            </w:pPr>
            <w:r>
              <w:rPr>
                <w:rFonts w:hint="default" w:ascii="Times New Roman" w:hAnsi="Times New Roman" w:cs="Times New Roman"/>
                <w:color w:val="auto"/>
                <w:u w:val="none"/>
              </w:rPr>
              <w:t>0.87</w:t>
            </w:r>
          </w:p>
        </w:tc>
        <w:tc>
          <w:tcPr>
            <w:tcW w:w="977" w:type="pct"/>
            <w:tcBorders>
              <w:tl2br w:val="nil"/>
              <w:tr2bl w:val="nil"/>
            </w:tcBorders>
            <w:vAlign w:val="center"/>
          </w:tcPr>
          <w:p w14:paraId="6B18A063">
            <w:pPr>
              <w:pStyle w:val="41"/>
              <w:rPr>
                <w:rFonts w:hint="default" w:ascii="Times New Roman" w:hAnsi="Times New Roman" w:cs="Times New Roman"/>
                <w:color w:val="auto"/>
                <w:u w:val="none"/>
              </w:rPr>
            </w:pPr>
            <w:r>
              <w:rPr>
                <w:rFonts w:hint="default" w:ascii="Times New Roman" w:hAnsi="Times New Roman" w:cs="Times New Roman"/>
                <w:color w:val="auto"/>
                <w:u w:val="none"/>
              </w:rPr>
              <w:t>0.83</w:t>
            </w:r>
          </w:p>
        </w:tc>
        <w:tc>
          <w:tcPr>
            <w:tcW w:w="843" w:type="pct"/>
            <w:tcBorders>
              <w:tl2br w:val="nil"/>
              <w:tr2bl w:val="nil"/>
            </w:tcBorders>
            <w:vAlign w:val="center"/>
          </w:tcPr>
          <w:p w14:paraId="68A29629">
            <w:pPr>
              <w:pStyle w:val="41"/>
              <w:rPr>
                <w:rFonts w:hint="default" w:ascii="Times New Roman" w:hAnsi="Times New Roman" w:cs="Times New Roman"/>
                <w:color w:val="auto"/>
                <w:u w:val="none"/>
              </w:rPr>
            </w:pPr>
            <w:r>
              <w:rPr>
                <w:rFonts w:hint="default" w:ascii="Times New Roman" w:hAnsi="Times New Roman" w:cs="Times New Roman"/>
                <w:color w:val="auto"/>
                <w:u w:val="none"/>
              </w:rPr>
              <w:t>0.90</w:t>
            </w:r>
          </w:p>
        </w:tc>
      </w:tr>
      <w:tr w14:paraId="68EEA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7C1E8355">
            <w:pPr>
              <w:pStyle w:val="41"/>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838" w:type="pct"/>
            <w:tcBorders>
              <w:tl2br w:val="nil"/>
              <w:tr2bl w:val="nil"/>
            </w:tcBorders>
            <w:vAlign w:val="center"/>
          </w:tcPr>
          <w:p w14:paraId="50E1B4BF">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8" w:type="pct"/>
            <w:tcBorders>
              <w:tl2br w:val="nil"/>
              <w:tr2bl w:val="nil"/>
            </w:tcBorders>
            <w:vAlign w:val="center"/>
          </w:tcPr>
          <w:p w14:paraId="044C7DAC">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7" w:type="pct"/>
            <w:tcBorders>
              <w:tl2br w:val="nil"/>
              <w:tr2bl w:val="nil"/>
            </w:tcBorders>
            <w:vAlign w:val="center"/>
          </w:tcPr>
          <w:p w14:paraId="38C628E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43" w:type="pct"/>
            <w:tcBorders>
              <w:tl2br w:val="nil"/>
              <w:tr2bl w:val="nil"/>
            </w:tcBorders>
            <w:vAlign w:val="center"/>
          </w:tcPr>
          <w:p w14:paraId="0791AB9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526E2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199E0E38">
            <w:pPr>
              <w:pStyle w:val="41"/>
              <w:rPr>
                <w:rFonts w:hint="default" w:ascii="Times New Roman" w:hAnsi="Times New Roman" w:cs="Times New Roman"/>
                <w:color w:val="auto"/>
                <w:u w:val="none"/>
              </w:rPr>
            </w:pPr>
            <w:r>
              <w:rPr>
                <w:rFonts w:hint="default" w:ascii="Times New Roman" w:hAnsi="Times New Roman" w:cs="Times New Roman"/>
                <w:color w:val="auto"/>
                <w:u w:val="none"/>
              </w:rPr>
              <w:t>氟化物</w:t>
            </w:r>
          </w:p>
        </w:tc>
        <w:tc>
          <w:tcPr>
            <w:tcW w:w="838" w:type="pct"/>
            <w:tcBorders>
              <w:tl2br w:val="nil"/>
              <w:tr2bl w:val="nil"/>
            </w:tcBorders>
            <w:vAlign w:val="center"/>
          </w:tcPr>
          <w:p w14:paraId="0694D240">
            <w:pPr>
              <w:pStyle w:val="41"/>
              <w:rPr>
                <w:rFonts w:hint="default" w:ascii="Times New Roman" w:hAnsi="Times New Roman" w:cs="Times New Roman"/>
                <w:color w:val="auto"/>
                <w:u w:val="none"/>
              </w:rPr>
            </w:pPr>
            <w:r>
              <w:rPr>
                <w:rFonts w:hint="default" w:ascii="Times New Roman" w:hAnsi="Times New Roman" w:cs="Times New Roman"/>
                <w:color w:val="auto"/>
                <w:u w:val="none"/>
              </w:rPr>
              <w:t>0.24</w:t>
            </w:r>
          </w:p>
        </w:tc>
        <w:tc>
          <w:tcPr>
            <w:tcW w:w="978" w:type="pct"/>
            <w:tcBorders>
              <w:tl2br w:val="nil"/>
              <w:tr2bl w:val="nil"/>
            </w:tcBorders>
            <w:vAlign w:val="center"/>
          </w:tcPr>
          <w:p w14:paraId="4CC5BA98">
            <w:pPr>
              <w:pStyle w:val="41"/>
              <w:rPr>
                <w:rFonts w:hint="default" w:ascii="Times New Roman" w:hAnsi="Times New Roman" w:cs="Times New Roman"/>
                <w:color w:val="auto"/>
                <w:u w:val="none"/>
              </w:rPr>
            </w:pPr>
            <w:r>
              <w:rPr>
                <w:rFonts w:hint="default" w:ascii="Times New Roman" w:hAnsi="Times New Roman" w:cs="Times New Roman"/>
                <w:color w:val="auto"/>
                <w:u w:val="none"/>
              </w:rPr>
              <w:t>0.23</w:t>
            </w:r>
          </w:p>
        </w:tc>
        <w:tc>
          <w:tcPr>
            <w:tcW w:w="977" w:type="pct"/>
            <w:tcBorders>
              <w:tl2br w:val="nil"/>
              <w:tr2bl w:val="nil"/>
            </w:tcBorders>
            <w:vAlign w:val="center"/>
          </w:tcPr>
          <w:p w14:paraId="5FBB9499">
            <w:pPr>
              <w:pStyle w:val="41"/>
              <w:rPr>
                <w:rFonts w:hint="default" w:ascii="Times New Roman" w:hAnsi="Times New Roman" w:cs="Times New Roman"/>
                <w:color w:val="auto"/>
                <w:u w:val="none"/>
              </w:rPr>
            </w:pPr>
            <w:r>
              <w:rPr>
                <w:rFonts w:hint="default" w:ascii="Times New Roman" w:hAnsi="Times New Roman" w:cs="Times New Roman"/>
                <w:color w:val="auto"/>
                <w:u w:val="none"/>
              </w:rPr>
              <w:t>0.23</w:t>
            </w:r>
          </w:p>
        </w:tc>
        <w:tc>
          <w:tcPr>
            <w:tcW w:w="843" w:type="pct"/>
            <w:tcBorders>
              <w:tl2br w:val="nil"/>
              <w:tr2bl w:val="nil"/>
            </w:tcBorders>
            <w:vAlign w:val="center"/>
          </w:tcPr>
          <w:p w14:paraId="3DD8DE92">
            <w:pPr>
              <w:pStyle w:val="41"/>
              <w:rPr>
                <w:rFonts w:hint="default" w:ascii="Times New Roman" w:hAnsi="Times New Roman" w:cs="Times New Roman"/>
                <w:color w:val="auto"/>
                <w:u w:val="none"/>
              </w:rPr>
            </w:pPr>
            <w:r>
              <w:rPr>
                <w:rFonts w:hint="default" w:ascii="Times New Roman" w:hAnsi="Times New Roman" w:cs="Times New Roman"/>
                <w:color w:val="auto"/>
                <w:u w:val="none"/>
              </w:rPr>
              <w:t>0.26</w:t>
            </w:r>
          </w:p>
        </w:tc>
      </w:tr>
      <w:tr w14:paraId="74CAE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586E3FB5">
            <w:pPr>
              <w:pStyle w:val="41"/>
              <w:rPr>
                <w:rFonts w:hint="default" w:ascii="Times New Roman" w:hAnsi="Times New Roman" w:cs="Times New Roman"/>
                <w:color w:val="auto"/>
                <w:u w:val="none"/>
              </w:rPr>
            </w:pPr>
            <w:r>
              <w:rPr>
                <w:rFonts w:hint="default" w:ascii="Times New Roman" w:hAnsi="Times New Roman" w:cs="Times New Roman"/>
                <w:color w:val="auto"/>
                <w:u w:val="none"/>
              </w:rPr>
              <w:t>溶解性总固体</w:t>
            </w:r>
          </w:p>
        </w:tc>
        <w:tc>
          <w:tcPr>
            <w:tcW w:w="838" w:type="pct"/>
            <w:tcBorders>
              <w:tl2br w:val="nil"/>
              <w:tr2bl w:val="nil"/>
            </w:tcBorders>
            <w:vAlign w:val="center"/>
          </w:tcPr>
          <w:p w14:paraId="443A23EA">
            <w:pPr>
              <w:pStyle w:val="41"/>
              <w:rPr>
                <w:rFonts w:hint="default" w:ascii="Times New Roman" w:hAnsi="Times New Roman" w:cs="Times New Roman"/>
                <w:color w:val="auto"/>
                <w:u w:val="none"/>
              </w:rPr>
            </w:pPr>
            <w:r>
              <w:rPr>
                <w:rFonts w:hint="default" w:ascii="Times New Roman" w:hAnsi="Times New Roman" w:cs="Times New Roman"/>
                <w:color w:val="auto"/>
                <w:u w:val="none"/>
              </w:rPr>
              <w:t>0.23</w:t>
            </w:r>
          </w:p>
        </w:tc>
        <w:tc>
          <w:tcPr>
            <w:tcW w:w="978" w:type="pct"/>
            <w:tcBorders>
              <w:tl2br w:val="nil"/>
              <w:tr2bl w:val="nil"/>
            </w:tcBorders>
            <w:vAlign w:val="center"/>
          </w:tcPr>
          <w:p w14:paraId="4D294ACB">
            <w:pPr>
              <w:pStyle w:val="41"/>
              <w:rPr>
                <w:rFonts w:hint="default" w:ascii="Times New Roman" w:hAnsi="Times New Roman" w:cs="Times New Roman"/>
                <w:color w:val="auto"/>
                <w:u w:val="none"/>
              </w:rPr>
            </w:pPr>
            <w:r>
              <w:rPr>
                <w:rFonts w:hint="default" w:ascii="Times New Roman" w:hAnsi="Times New Roman" w:cs="Times New Roman"/>
                <w:color w:val="auto"/>
                <w:u w:val="none"/>
              </w:rPr>
              <w:t>0.23</w:t>
            </w:r>
          </w:p>
        </w:tc>
        <w:tc>
          <w:tcPr>
            <w:tcW w:w="977" w:type="pct"/>
            <w:tcBorders>
              <w:tl2br w:val="nil"/>
              <w:tr2bl w:val="nil"/>
            </w:tcBorders>
            <w:vAlign w:val="center"/>
          </w:tcPr>
          <w:p w14:paraId="2ADF61E7">
            <w:pPr>
              <w:pStyle w:val="41"/>
              <w:rPr>
                <w:rFonts w:hint="default" w:ascii="Times New Roman" w:hAnsi="Times New Roman" w:cs="Times New Roman"/>
                <w:color w:val="auto"/>
                <w:u w:val="none"/>
              </w:rPr>
            </w:pPr>
            <w:r>
              <w:rPr>
                <w:rFonts w:hint="default" w:ascii="Times New Roman" w:hAnsi="Times New Roman" w:cs="Times New Roman"/>
                <w:color w:val="auto"/>
                <w:u w:val="none"/>
              </w:rPr>
              <w:t>0.21</w:t>
            </w:r>
          </w:p>
        </w:tc>
        <w:tc>
          <w:tcPr>
            <w:tcW w:w="843" w:type="pct"/>
            <w:tcBorders>
              <w:tl2br w:val="nil"/>
              <w:tr2bl w:val="nil"/>
            </w:tcBorders>
            <w:vAlign w:val="center"/>
          </w:tcPr>
          <w:p w14:paraId="6EDD2279">
            <w:pPr>
              <w:pStyle w:val="41"/>
              <w:rPr>
                <w:rFonts w:hint="default" w:ascii="Times New Roman" w:hAnsi="Times New Roman" w:cs="Times New Roman"/>
                <w:color w:val="auto"/>
                <w:u w:val="none"/>
              </w:rPr>
            </w:pPr>
            <w:r>
              <w:rPr>
                <w:rFonts w:hint="default" w:ascii="Times New Roman" w:hAnsi="Times New Roman" w:cs="Times New Roman"/>
                <w:color w:val="auto"/>
                <w:u w:val="none"/>
              </w:rPr>
              <w:t>0.22</w:t>
            </w:r>
          </w:p>
        </w:tc>
      </w:tr>
      <w:tr w14:paraId="36DE4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46926C9C">
            <w:pPr>
              <w:pStyle w:val="41"/>
              <w:rPr>
                <w:rFonts w:hint="default" w:ascii="Times New Roman" w:hAnsi="Times New Roman" w:cs="Times New Roman"/>
                <w:color w:val="auto"/>
                <w:u w:val="none"/>
              </w:rPr>
            </w:pPr>
            <w:r>
              <w:rPr>
                <w:rFonts w:hint="default" w:ascii="Times New Roman" w:hAnsi="Times New Roman" w:cs="Times New Roman"/>
                <w:color w:val="auto"/>
                <w:u w:val="none"/>
              </w:rPr>
              <w:t>总大肠菌群</w:t>
            </w:r>
          </w:p>
        </w:tc>
        <w:tc>
          <w:tcPr>
            <w:tcW w:w="838" w:type="pct"/>
            <w:tcBorders>
              <w:tl2br w:val="nil"/>
              <w:tr2bl w:val="nil"/>
            </w:tcBorders>
            <w:vAlign w:val="center"/>
          </w:tcPr>
          <w:p w14:paraId="2F11E907">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8" w:type="pct"/>
            <w:tcBorders>
              <w:tl2br w:val="nil"/>
              <w:tr2bl w:val="nil"/>
            </w:tcBorders>
            <w:vAlign w:val="center"/>
          </w:tcPr>
          <w:p w14:paraId="2B87F62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77" w:type="pct"/>
            <w:tcBorders>
              <w:tl2br w:val="nil"/>
              <w:tr2bl w:val="nil"/>
            </w:tcBorders>
            <w:vAlign w:val="center"/>
          </w:tcPr>
          <w:p w14:paraId="4184B4BA">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43" w:type="pct"/>
            <w:tcBorders>
              <w:tl2br w:val="nil"/>
              <w:tr2bl w:val="nil"/>
            </w:tcBorders>
            <w:vAlign w:val="center"/>
          </w:tcPr>
          <w:p w14:paraId="4AF69A32">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3C4FCE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362" w:type="pct"/>
            <w:tcBorders>
              <w:tl2br w:val="nil"/>
              <w:tr2bl w:val="nil"/>
            </w:tcBorders>
            <w:vAlign w:val="center"/>
          </w:tcPr>
          <w:p w14:paraId="469402DF">
            <w:pPr>
              <w:pStyle w:val="41"/>
              <w:rPr>
                <w:rFonts w:hint="default" w:ascii="Times New Roman" w:hAnsi="Times New Roman" w:cs="Times New Roman"/>
                <w:color w:val="auto"/>
                <w:u w:val="none"/>
              </w:rPr>
            </w:pPr>
            <w:r>
              <w:rPr>
                <w:rFonts w:hint="default" w:ascii="Times New Roman" w:hAnsi="Times New Roman" w:cs="Times New Roman"/>
                <w:color w:val="auto"/>
                <w:u w:val="none"/>
              </w:rPr>
              <w:t>菌落总数</w:t>
            </w:r>
          </w:p>
        </w:tc>
        <w:tc>
          <w:tcPr>
            <w:tcW w:w="838" w:type="pct"/>
            <w:tcBorders>
              <w:tl2br w:val="nil"/>
              <w:tr2bl w:val="nil"/>
            </w:tcBorders>
            <w:vAlign w:val="center"/>
          </w:tcPr>
          <w:p w14:paraId="17DF2DD2">
            <w:pPr>
              <w:pStyle w:val="41"/>
              <w:rPr>
                <w:rFonts w:hint="default" w:ascii="Times New Roman" w:hAnsi="Times New Roman" w:cs="Times New Roman"/>
                <w:color w:val="auto"/>
                <w:u w:val="none"/>
              </w:rPr>
            </w:pPr>
            <w:r>
              <w:rPr>
                <w:rFonts w:hint="default" w:ascii="Times New Roman" w:hAnsi="Times New Roman" w:cs="Times New Roman"/>
                <w:color w:val="auto"/>
                <w:u w:val="none"/>
              </w:rPr>
              <w:t>0.26</w:t>
            </w:r>
          </w:p>
        </w:tc>
        <w:tc>
          <w:tcPr>
            <w:tcW w:w="978" w:type="pct"/>
            <w:tcBorders>
              <w:tl2br w:val="nil"/>
              <w:tr2bl w:val="nil"/>
            </w:tcBorders>
            <w:vAlign w:val="center"/>
          </w:tcPr>
          <w:p w14:paraId="19019D57">
            <w:pPr>
              <w:pStyle w:val="41"/>
              <w:rPr>
                <w:rFonts w:hint="default" w:ascii="Times New Roman" w:hAnsi="Times New Roman" w:cs="Times New Roman"/>
                <w:color w:val="auto"/>
                <w:u w:val="none"/>
              </w:rPr>
            </w:pPr>
            <w:r>
              <w:rPr>
                <w:rFonts w:hint="default" w:ascii="Times New Roman" w:hAnsi="Times New Roman" w:cs="Times New Roman"/>
                <w:color w:val="auto"/>
                <w:u w:val="none"/>
              </w:rPr>
              <w:t>0.27</w:t>
            </w:r>
          </w:p>
        </w:tc>
        <w:tc>
          <w:tcPr>
            <w:tcW w:w="977" w:type="pct"/>
            <w:tcBorders>
              <w:tl2br w:val="nil"/>
              <w:tr2bl w:val="nil"/>
            </w:tcBorders>
            <w:vAlign w:val="center"/>
          </w:tcPr>
          <w:p w14:paraId="4B3AABC7">
            <w:pPr>
              <w:pStyle w:val="41"/>
              <w:rPr>
                <w:rFonts w:hint="default" w:ascii="Times New Roman" w:hAnsi="Times New Roman" w:cs="Times New Roman"/>
                <w:color w:val="auto"/>
                <w:u w:val="none"/>
              </w:rPr>
            </w:pPr>
            <w:r>
              <w:rPr>
                <w:rFonts w:hint="default" w:ascii="Times New Roman" w:hAnsi="Times New Roman" w:cs="Times New Roman"/>
                <w:color w:val="auto"/>
                <w:u w:val="none"/>
              </w:rPr>
              <w:t>0.27</w:t>
            </w:r>
          </w:p>
        </w:tc>
        <w:tc>
          <w:tcPr>
            <w:tcW w:w="843" w:type="pct"/>
            <w:tcBorders>
              <w:tl2br w:val="nil"/>
              <w:tr2bl w:val="nil"/>
            </w:tcBorders>
            <w:vAlign w:val="center"/>
          </w:tcPr>
          <w:p w14:paraId="3F0D52CD">
            <w:pPr>
              <w:pStyle w:val="41"/>
              <w:rPr>
                <w:rFonts w:hint="default" w:ascii="Times New Roman" w:hAnsi="Times New Roman" w:cs="Times New Roman"/>
                <w:color w:val="auto"/>
                <w:u w:val="none"/>
              </w:rPr>
            </w:pPr>
            <w:r>
              <w:rPr>
                <w:rFonts w:hint="default" w:ascii="Times New Roman" w:hAnsi="Times New Roman" w:cs="Times New Roman"/>
                <w:color w:val="auto"/>
                <w:u w:val="none"/>
              </w:rPr>
              <w:t>0.26</w:t>
            </w:r>
          </w:p>
        </w:tc>
      </w:tr>
    </w:tbl>
    <w:p w14:paraId="1C28D9D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通过上表对各监测值评价统计后可知，布点的四个地下水水质监测点主要因子最大值标准指数等于1.0，达到《地下水环境质量标准》（GB/T14848-2017）中的III类水质标准要求。</w:t>
      </w:r>
    </w:p>
    <w:p w14:paraId="192D217F">
      <w:pPr>
        <w:pStyle w:val="5"/>
        <w:rPr>
          <w:rFonts w:hint="default" w:ascii="Times New Roman" w:hAnsi="Times New Roman" w:cs="Times New Roman"/>
          <w:color w:val="auto"/>
          <w:u w:val="none"/>
        </w:rPr>
      </w:pPr>
      <w:r>
        <w:rPr>
          <w:rFonts w:hint="default" w:ascii="Times New Roman" w:hAnsi="Times New Roman" w:cs="Times New Roman"/>
          <w:color w:val="auto"/>
          <w:u w:val="none"/>
        </w:rPr>
        <w:t>声环境质量</w:t>
      </w:r>
      <w:bookmarkEnd w:id="112"/>
    </w:p>
    <w:p w14:paraId="56242587">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本项目</w:t>
      </w:r>
      <w:r>
        <w:rPr>
          <w:rFonts w:hint="default" w:ascii="Times New Roman" w:hAnsi="Times New Roman" w:cs="Times New Roman"/>
          <w:color w:val="auto"/>
          <w:u w:val="none"/>
        </w:rPr>
        <w:t>布设4个</w:t>
      </w:r>
      <w:r>
        <w:rPr>
          <w:rFonts w:hint="eastAsia" w:ascii="Times New Roman" w:hAnsi="Times New Roman" w:cs="Times New Roman"/>
          <w:color w:val="auto"/>
          <w:u w:val="none"/>
          <w:lang w:val="en-US" w:eastAsia="zh-CN"/>
        </w:rPr>
        <w:t>声环境</w:t>
      </w:r>
      <w:r>
        <w:rPr>
          <w:rFonts w:hint="default" w:ascii="Times New Roman" w:hAnsi="Times New Roman" w:cs="Times New Roman"/>
          <w:color w:val="auto"/>
          <w:u w:val="none"/>
        </w:rPr>
        <w:t>采样点：</w:t>
      </w:r>
    </w:p>
    <w:p w14:paraId="01704E5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w:t>
      </w:r>
      <w:r>
        <w:rPr>
          <w:rFonts w:hint="eastAsia" w:cs="Times New Roman"/>
          <w:b/>
          <w:bCs/>
          <w:color w:val="auto"/>
          <w:u w:val="none"/>
          <w:lang w:val="en-US" w:eastAsia="zh-CN"/>
        </w:rPr>
        <w:t>9</w:t>
      </w:r>
      <w:r>
        <w:rPr>
          <w:rFonts w:hint="default" w:ascii="Times New Roman" w:hAnsi="Times New Roman" w:cs="Times New Roman"/>
          <w:b/>
          <w:bCs/>
          <w:color w:val="auto"/>
          <w:u w:val="none"/>
        </w:rPr>
        <w:t xml:space="preserve">  噪声监测布点表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6"/>
        <w:gridCol w:w="1176"/>
        <w:gridCol w:w="3270"/>
        <w:gridCol w:w="3824"/>
      </w:tblGrid>
      <w:tr w14:paraId="10DE16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4" w:type="pct"/>
            <w:vMerge w:val="restart"/>
            <w:vAlign w:val="center"/>
          </w:tcPr>
          <w:p w14:paraId="40A17ACB">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点位布置</w:t>
            </w:r>
          </w:p>
        </w:tc>
        <w:tc>
          <w:tcPr>
            <w:tcW w:w="649" w:type="pct"/>
            <w:vAlign w:val="center"/>
          </w:tcPr>
          <w:p w14:paraId="1DE28A45">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编号</w:t>
            </w:r>
          </w:p>
        </w:tc>
        <w:tc>
          <w:tcPr>
            <w:tcW w:w="1805" w:type="pct"/>
            <w:vAlign w:val="center"/>
          </w:tcPr>
          <w:p w14:paraId="0BDD653E">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点位名称</w:t>
            </w:r>
          </w:p>
        </w:tc>
        <w:tc>
          <w:tcPr>
            <w:tcW w:w="2111" w:type="pct"/>
            <w:vAlign w:val="center"/>
          </w:tcPr>
          <w:p w14:paraId="4B726FD3">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方位距离</w:t>
            </w:r>
          </w:p>
        </w:tc>
      </w:tr>
      <w:tr w14:paraId="1708AD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40659672">
            <w:pPr>
              <w:pStyle w:val="41"/>
              <w:rPr>
                <w:rFonts w:hint="default" w:ascii="Times New Roman" w:hAnsi="Times New Roman" w:cs="Times New Roman"/>
                <w:color w:val="auto"/>
                <w:kern w:val="2"/>
                <w:szCs w:val="24"/>
                <w:u w:val="none"/>
              </w:rPr>
            </w:pPr>
          </w:p>
        </w:tc>
        <w:tc>
          <w:tcPr>
            <w:tcW w:w="649" w:type="pct"/>
            <w:vAlign w:val="center"/>
          </w:tcPr>
          <w:p w14:paraId="4E00C8BF">
            <w:pPr>
              <w:pStyle w:val="41"/>
              <w:rPr>
                <w:rFonts w:hint="default" w:ascii="Times New Roman" w:hAnsi="Times New Roman" w:cs="Times New Roman"/>
                <w:color w:val="auto"/>
                <w:u w:val="none"/>
              </w:rPr>
            </w:pPr>
            <w:r>
              <w:rPr>
                <w:rFonts w:hint="default" w:ascii="Times New Roman" w:hAnsi="Times New Roman" w:cs="Times New Roman"/>
                <w:color w:val="auto"/>
                <w:u w:val="none"/>
              </w:rPr>
              <w:t>N1</w:t>
            </w:r>
          </w:p>
        </w:tc>
        <w:tc>
          <w:tcPr>
            <w:tcW w:w="1805" w:type="pct"/>
            <w:vAlign w:val="center"/>
          </w:tcPr>
          <w:p w14:paraId="0D678EF6">
            <w:pPr>
              <w:pStyle w:val="41"/>
              <w:rPr>
                <w:rFonts w:hint="default" w:ascii="Times New Roman" w:hAnsi="Times New Roman" w:cs="Times New Roman"/>
                <w:color w:val="auto"/>
                <w:u w:val="none"/>
              </w:rPr>
            </w:pPr>
            <w:r>
              <w:rPr>
                <w:rFonts w:hint="default" w:ascii="Times New Roman" w:hAnsi="Times New Roman" w:cs="Times New Roman"/>
                <w:color w:val="auto"/>
                <w:u w:val="none"/>
              </w:rPr>
              <w:t>厂界东面外1m</w:t>
            </w:r>
          </w:p>
        </w:tc>
        <w:tc>
          <w:tcPr>
            <w:tcW w:w="2111" w:type="pct"/>
            <w:vAlign w:val="center"/>
          </w:tcPr>
          <w:p w14:paraId="25662344">
            <w:pPr>
              <w:pStyle w:val="41"/>
              <w:rPr>
                <w:rFonts w:hint="default" w:ascii="Times New Roman" w:hAnsi="Times New Roman" w:cs="Times New Roman"/>
                <w:color w:val="auto"/>
                <w:u w:val="none"/>
              </w:rPr>
            </w:pPr>
            <w:r>
              <w:rPr>
                <w:rFonts w:hint="default" w:ascii="Times New Roman" w:hAnsi="Times New Roman" w:cs="Times New Roman"/>
                <w:color w:val="auto"/>
                <w:u w:val="none"/>
              </w:rPr>
              <w:t>N1</w:t>
            </w:r>
          </w:p>
        </w:tc>
      </w:tr>
      <w:tr w14:paraId="5F682F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26D74F53">
            <w:pPr>
              <w:pStyle w:val="41"/>
              <w:rPr>
                <w:rFonts w:hint="default" w:ascii="Times New Roman" w:hAnsi="Times New Roman" w:cs="Times New Roman"/>
                <w:color w:val="auto"/>
                <w:kern w:val="2"/>
                <w:szCs w:val="24"/>
                <w:u w:val="none"/>
              </w:rPr>
            </w:pPr>
          </w:p>
        </w:tc>
        <w:tc>
          <w:tcPr>
            <w:tcW w:w="649" w:type="pct"/>
            <w:vAlign w:val="center"/>
          </w:tcPr>
          <w:p w14:paraId="2161C41C">
            <w:pPr>
              <w:pStyle w:val="41"/>
              <w:rPr>
                <w:rFonts w:hint="default" w:ascii="Times New Roman" w:hAnsi="Times New Roman" w:cs="Times New Roman"/>
                <w:color w:val="auto"/>
                <w:u w:val="none"/>
              </w:rPr>
            </w:pPr>
            <w:r>
              <w:rPr>
                <w:rFonts w:hint="default" w:ascii="Times New Roman" w:hAnsi="Times New Roman" w:cs="Times New Roman"/>
                <w:color w:val="auto"/>
                <w:u w:val="none"/>
              </w:rPr>
              <w:t>N2</w:t>
            </w:r>
          </w:p>
        </w:tc>
        <w:tc>
          <w:tcPr>
            <w:tcW w:w="1805" w:type="pct"/>
            <w:vAlign w:val="center"/>
          </w:tcPr>
          <w:p w14:paraId="3479949F">
            <w:pPr>
              <w:pStyle w:val="41"/>
              <w:rPr>
                <w:rFonts w:hint="default" w:ascii="Times New Roman" w:hAnsi="Times New Roman" w:cs="Times New Roman"/>
                <w:color w:val="auto"/>
                <w:u w:val="none"/>
              </w:rPr>
            </w:pPr>
            <w:r>
              <w:rPr>
                <w:rFonts w:hint="default" w:ascii="Times New Roman" w:hAnsi="Times New Roman" w:cs="Times New Roman"/>
                <w:color w:val="auto"/>
                <w:u w:val="none"/>
              </w:rPr>
              <w:t>厂界南面外1m</w:t>
            </w:r>
          </w:p>
        </w:tc>
        <w:tc>
          <w:tcPr>
            <w:tcW w:w="2111" w:type="pct"/>
            <w:vAlign w:val="center"/>
          </w:tcPr>
          <w:p w14:paraId="35ED1751">
            <w:pPr>
              <w:pStyle w:val="41"/>
              <w:rPr>
                <w:rFonts w:hint="default" w:ascii="Times New Roman" w:hAnsi="Times New Roman" w:cs="Times New Roman"/>
                <w:color w:val="auto"/>
                <w:u w:val="none"/>
              </w:rPr>
            </w:pPr>
            <w:r>
              <w:rPr>
                <w:rFonts w:hint="default" w:ascii="Times New Roman" w:hAnsi="Times New Roman" w:cs="Times New Roman"/>
                <w:color w:val="auto"/>
                <w:u w:val="none"/>
              </w:rPr>
              <w:t>N2</w:t>
            </w:r>
          </w:p>
        </w:tc>
      </w:tr>
      <w:tr w14:paraId="65423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044C4E54">
            <w:pPr>
              <w:pStyle w:val="41"/>
              <w:rPr>
                <w:rFonts w:hint="default" w:ascii="Times New Roman" w:hAnsi="Times New Roman" w:cs="Times New Roman"/>
                <w:color w:val="auto"/>
                <w:kern w:val="2"/>
                <w:szCs w:val="24"/>
                <w:u w:val="none"/>
              </w:rPr>
            </w:pPr>
          </w:p>
        </w:tc>
        <w:tc>
          <w:tcPr>
            <w:tcW w:w="649" w:type="pct"/>
            <w:vAlign w:val="center"/>
          </w:tcPr>
          <w:p w14:paraId="3C0C721C">
            <w:pPr>
              <w:pStyle w:val="41"/>
              <w:rPr>
                <w:rFonts w:hint="default" w:ascii="Times New Roman" w:hAnsi="Times New Roman" w:cs="Times New Roman"/>
                <w:color w:val="auto"/>
                <w:u w:val="none"/>
              </w:rPr>
            </w:pPr>
            <w:r>
              <w:rPr>
                <w:rFonts w:hint="default" w:ascii="Times New Roman" w:hAnsi="Times New Roman" w:cs="Times New Roman"/>
                <w:color w:val="auto"/>
                <w:u w:val="none"/>
              </w:rPr>
              <w:t>N3</w:t>
            </w:r>
          </w:p>
        </w:tc>
        <w:tc>
          <w:tcPr>
            <w:tcW w:w="1805" w:type="pct"/>
            <w:vAlign w:val="center"/>
          </w:tcPr>
          <w:p w14:paraId="4D2EE553">
            <w:pPr>
              <w:pStyle w:val="41"/>
              <w:rPr>
                <w:rFonts w:hint="default" w:ascii="Times New Roman" w:hAnsi="Times New Roman" w:cs="Times New Roman"/>
                <w:color w:val="auto"/>
                <w:u w:val="none"/>
              </w:rPr>
            </w:pPr>
            <w:r>
              <w:rPr>
                <w:rFonts w:hint="default" w:ascii="Times New Roman" w:hAnsi="Times New Roman" w:cs="Times New Roman"/>
                <w:color w:val="auto"/>
                <w:u w:val="none"/>
              </w:rPr>
              <w:t>厂界西面外1m</w:t>
            </w:r>
          </w:p>
        </w:tc>
        <w:tc>
          <w:tcPr>
            <w:tcW w:w="2111" w:type="pct"/>
            <w:vAlign w:val="center"/>
          </w:tcPr>
          <w:p w14:paraId="34322051">
            <w:pPr>
              <w:pStyle w:val="41"/>
              <w:rPr>
                <w:rFonts w:hint="default" w:ascii="Times New Roman" w:hAnsi="Times New Roman" w:cs="Times New Roman"/>
                <w:color w:val="auto"/>
                <w:u w:val="none"/>
              </w:rPr>
            </w:pPr>
            <w:r>
              <w:rPr>
                <w:rFonts w:hint="default" w:ascii="Times New Roman" w:hAnsi="Times New Roman" w:cs="Times New Roman"/>
                <w:color w:val="auto"/>
                <w:u w:val="none"/>
              </w:rPr>
              <w:t>N3</w:t>
            </w:r>
          </w:p>
        </w:tc>
      </w:tr>
      <w:tr w14:paraId="0EB78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34" w:type="pct"/>
            <w:vMerge w:val="continue"/>
            <w:vAlign w:val="center"/>
          </w:tcPr>
          <w:p w14:paraId="550B7182">
            <w:pPr>
              <w:pStyle w:val="41"/>
              <w:rPr>
                <w:rFonts w:hint="default" w:ascii="Times New Roman" w:hAnsi="Times New Roman" w:cs="Times New Roman"/>
                <w:color w:val="auto"/>
                <w:kern w:val="2"/>
                <w:szCs w:val="24"/>
                <w:u w:val="none"/>
              </w:rPr>
            </w:pPr>
          </w:p>
        </w:tc>
        <w:tc>
          <w:tcPr>
            <w:tcW w:w="649" w:type="pct"/>
            <w:vAlign w:val="center"/>
          </w:tcPr>
          <w:p w14:paraId="702F7829">
            <w:pPr>
              <w:pStyle w:val="41"/>
              <w:rPr>
                <w:rFonts w:hint="default" w:ascii="Times New Roman" w:hAnsi="Times New Roman" w:cs="Times New Roman"/>
                <w:color w:val="auto"/>
                <w:u w:val="none"/>
              </w:rPr>
            </w:pPr>
            <w:r>
              <w:rPr>
                <w:rFonts w:hint="default" w:ascii="Times New Roman" w:hAnsi="Times New Roman" w:cs="Times New Roman"/>
                <w:color w:val="auto"/>
                <w:u w:val="none"/>
              </w:rPr>
              <w:t>N4</w:t>
            </w:r>
          </w:p>
        </w:tc>
        <w:tc>
          <w:tcPr>
            <w:tcW w:w="1805" w:type="pct"/>
            <w:vAlign w:val="center"/>
          </w:tcPr>
          <w:p w14:paraId="006FFD95">
            <w:pPr>
              <w:pStyle w:val="41"/>
              <w:rPr>
                <w:rFonts w:hint="default" w:ascii="Times New Roman" w:hAnsi="Times New Roman" w:cs="Times New Roman"/>
                <w:color w:val="auto"/>
                <w:u w:val="none"/>
              </w:rPr>
            </w:pPr>
            <w:r>
              <w:rPr>
                <w:rFonts w:hint="default" w:ascii="Times New Roman" w:hAnsi="Times New Roman" w:cs="Times New Roman"/>
                <w:color w:val="auto"/>
                <w:u w:val="none"/>
              </w:rPr>
              <w:t>厂界北面外1m</w:t>
            </w:r>
          </w:p>
        </w:tc>
        <w:tc>
          <w:tcPr>
            <w:tcW w:w="2111" w:type="pct"/>
            <w:vAlign w:val="center"/>
          </w:tcPr>
          <w:p w14:paraId="5AD50374">
            <w:pPr>
              <w:pStyle w:val="41"/>
              <w:rPr>
                <w:rFonts w:hint="default" w:ascii="Times New Roman" w:hAnsi="Times New Roman" w:cs="Times New Roman"/>
                <w:color w:val="auto"/>
                <w:u w:val="none"/>
              </w:rPr>
            </w:pPr>
            <w:r>
              <w:rPr>
                <w:rFonts w:hint="default" w:ascii="Times New Roman" w:hAnsi="Times New Roman" w:cs="Times New Roman"/>
                <w:color w:val="auto"/>
                <w:u w:val="none"/>
              </w:rPr>
              <w:t>N4</w:t>
            </w:r>
          </w:p>
        </w:tc>
      </w:tr>
    </w:tbl>
    <w:p w14:paraId="49D425C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2、监测项目和监测时间</w:t>
      </w:r>
    </w:p>
    <w:p w14:paraId="04D23BF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湖南谱实检测技术有限公司于202</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年</w:t>
      </w:r>
      <w:r>
        <w:rPr>
          <w:rFonts w:hint="eastAsia" w:ascii="Times New Roman" w:hAnsi="Times New Roman" w:cs="Times New Roman"/>
          <w:color w:val="auto"/>
          <w:u w:val="none"/>
          <w:lang w:val="en-US" w:eastAsia="zh-CN"/>
        </w:rPr>
        <w:t>11</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日至</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日进行了现场监测，昼间、夜间各采样一次。</w:t>
      </w:r>
    </w:p>
    <w:p w14:paraId="70207FC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3、监测方法</w:t>
      </w:r>
    </w:p>
    <w:p w14:paraId="16AF67F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按《声环境质量标准》（GB3096-2008）规定的方法和要求进行。</w:t>
      </w:r>
    </w:p>
    <w:p w14:paraId="428C69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4、监测结果</w:t>
      </w:r>
    </w:p>
    <w:p w14:paraId="3A93D8F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监测结果统计于下表5.2-</w:t>
      </w:r>
      <w:r>
        <w:rPr>
          <w:rFonts w:hint="eastAsia" w:ascii="Times New Roman" w:hAnsi="Times New Roman" w:cs="Times New Roman"/>
          <w:color w:val="auto"/>
          <w:u w:val="none"/>
          <w:lang w:val="en-US" w:eastAsia="zh-CN"/>
        </w:rPr>
        <w:t>10</w:t>
      </w:r>
      <w:r>
        <w:rPr>
          <w:rFonts w:hint="default" w:ascii="Times New Roman" w:hAnsi="Times New Roman" w:cs="Times New Roman"/>
          <w:color w:val="auto"/>
          <w:u w:val="none"/>
        </w:rPr>
        <w:t>：</w:t>
      </w:r>
    </w:p>
    <w:p w14:paraId="6A081A26">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w:t>
      </w:r>
      <w:r>
        <w:rPr>
          <w:rFonts w:hint="eastAsia" w:cs="Times New Roman"/>
          <w:b/>
          <w:bCs/>
          <w:color w:val="auto"/>
          <w:u w:val="none"/>
          <w:lang w:val="en-US" w:eastAsia="zh-CN"/>
        </w:rPr>
        <w:t>10</w:t>
      </w:r>
      <w:r>
        <w:rPr>
          <w:rFonts w:hint="default" w:ascii="Times New Roman" w:hAnsi="Times New Roman" w:cs="Times New Roman"/>
          <w:b/>
          <w:bCs/>
          <w:color w:val="auto"/>
          <w:u w:val="none"/>
        </w:rPr>
        <w:t xml:space="preserve">   声环境质量监测与评价结果</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835"/>
        <w:gridCol w:w="1002"/>
        <w:gridCol w:w="752"/>
        <w:gridCol w:w="853"/>
        <w:gridCol w:w="801"/>
        <w:gridCol w:w="850"/>
        <w:gridCol w:w="784"/>
        <w:gridCol w:w="1025"/>
      </w:tblGrid>
      <w:tr w14:paraId="5B7D7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vMerge w:val="restart"/>
            <w:tcBorders>
              <w:tl2br w:val="nil"/>
              <w:tr2bl w:val="nil"/>
            </w:tcBorders>
            <w:vAlign w:val="center"/>
          </w:tcPr>
          <w:p w14:paraId="3CA4DCF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检测点位</w:t>
            </w:r>
          </w:p>
        </w:tc>
        <w:tc>
          <w:tcPr>
            <w:tcW w:w="3810" w:type="pct"/>
            <w:gridSpan w:val="8"/>
            <w:tcBorders>
              <w:tl2br w:val="nil"/>
              <w:tr2bl w:val="nil"/>
            </w:tcBorders>
            <w:vAlign w:val="center"/>
          </w:tcPr>
          <w:p w14:paraId="16B1EB4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检测结果（Leq：dB（A））</w:t>
            </w:r>
          </w:p>
        </w:tc>
      </w:tr>
      <w:tr w14:paraId="10AA79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vMerge w:val="continue"/>
            <w:tcBorders>
              <w:tl2br w:val="nil"/>
              <w:tr2bl w:val="nil"/>
            </w:tcBorders>
            <w:vAlign w:val="center"/>
          </w:tcPr>
          <w:p w14:paraId="33DF6D96">
            <w:pPr>
              <w:pStyle w:val="41"/>
              <w:rPr>
                <w:rFonts w:hint="default" w:ascii="Times New Roman" w:hAnsi="Times New Roman" w:cs="Times New Roman"/>
                <w:b/>
                <w:bCs/>
                <w:color w:val="auto"/>
                <w:u w:val="none"/>
              </w:rPr>
            </w:pPr>
          </w:p>
        </w:tc>
        <w:tc>
          <w:tcPr>
            <w:tcW w:w="1900" w:type="pct"/>
            <w:gridSpan w:val="4"/>
            <w:tcBorders>
              <w:tl2br w:val="nil"/>
              <w:tr2bl w:val="nil"/>
            </w:tcBorders>
            <w:vAlign w:val="center"/>
          </w:tcPr>
          <w:p w14:paraId="079B0A42">
            <w:pPr>
              <w:pStyle w:val="41"/>
              <w:rPr>
                <w:rFonts w:hint="default" w:ascii="Times New Roman" w:hAnsi="Times New Roman" w:cs="Times New Roman"/>
                <w:b/>
                <w:bCs/>
                <w:color w:val="auto"/>
                <w:u w:val="none"/>
              </w:rPr>
            </w:pPr>
            <w:r>
              <w:rPr>
                <w:rFonts w:hint="eastAsia" w:cs="Times New Roman"/>
                <w:b/>
                <w:bCs/>
                <w:color w:val="auto"/>
                <w:u w:val="none"/>
                <w:lang w:val="en-US" w:eastAsia="zh-CN"/>
              </w:rPr>
              <w:t>11</w:t>
            </w:r>
            <w:r>
              <w:rPr>
                <w:rFonts w:hint="default" w:ascii="Times New Roman" w:hAnsi="Times New Roman" w:cs="Times New Roman"/>
                <w:b/>
                <w:bCs/>
                <w:color w:val="auto"/>
                <w:u w:val="none"/>
              </w:rPr>
              <w:t>月</w:t>
            </w:r>
            <w:r>
              <w:rPr>
                <w:rFonts w:hint="eastAsia" w:cs="Times New Roman"/>
                <w:b/>
                <w:bCs/>
                <w:color w:val="auto"/>
                <w:u w:val="none"/>
                <w:lang w:val="en-US" w:eastAsia="zh-CN"/>
              </w:rPr>
              <w:t>1</w:t>
            </w:r>
            <w:r>
              <w:rPr>
                <w:rFonts w:hint="default" w:ascii="Times New Roman" w:hAnsi="Times New Roman" w:cs="Times New Roman"/>
                <w:b/>
                <w:bCs/>
                <w:color w:val="auto"/>
                <w:u w:val="none"/>
              </w:rPr>
              <w:t>日</w:t>
            </w:r>
          </w:p>
        </w:tc>
        <w:tc>
          <w:tcPr>
            <w:tcW w:w="1909" w:type="pct"/>
            <w:gridSpan w:val="4"/>
            <w:tcBorders>
              <w:tl2br w:val="nil"/>
              <w:tr2bl w:val="nil"/>
            </w:tcBorders>
            <w:vAlign w:val="center"/>
          </w:tcPr>
          <w:p w14:paraId="4DAD6126">
            <w:pPr>
              <w:pStyle w:val="41"/>
              <w:rPr>
                <w:rFonts w:hint="default" w:ascii="Times New Roman" w:hAnsi="Times New Roman" w:cs="Times New Roman"/>
                <w:b/>
                <w:bCs/>
                <w:color w:val="auto"/>
                <w:u w:val="none"/>
              </w:rPr>
            </w:pPr>
            <w:r>
              <w:rPr>
                <w:rFonts w:hint="eastAsia" w:cs="Times New Roman"/>
                <w:b/>
                <w:bCs/>
                <w:color w:val="auto"/>
                <w:u w:val="none"/>
                <w:lang w:val="en-US" w:eastAsia="zh-CN"/>
              </w:rPr>
              <w:t>11</w:t>
            </w:r>
            <w:r>
              <w:rPr>
                <w:rFonts w:hint="default" w:ascii="Times New Roman" w:hAnsi="Times New Roman" w:cs="Times New Roman"/>
                <w:b/>
                <w:bCs/>
                <w:color w:val="auto"/>
                <w:u w:val="none"/>
              </w:rPr>
              <w:t>月2日</w:t>
            </w:r>
          </w:p>
        </w:tc>
      </w:tr>
      <w:tr w14:paraId="47E2C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vMerge w:val="continue"/>
            <w:tcBorders>
              <w:tl2br w:val="nil"/>
              <w:tr2bl w:val="nil"/>
            </w:tcBorders>
            <w:vAlign w:val="center"/>
          </w:tcPr>
          <w:p w14:paraId="5FD3E952">
            <w:pPr>
              <w:pStyle w:val="41"/>
              <w:rPr>
                <w:rFonts w:hint="default" w:ascii="Times New Roman" w:hAnsi="Times New Roman" w:cs="Times New Roman"/>
                <w:b/>
                <w:bCs/>
                <w:color w:val="auto"/>
                <w:u w:val="none"/>
              </w:rPr>
            </w:pPr>
          </w:p>
        </w:tc>
        <w:tc>
          <w:tcPr>
            <w:tcW w:w="461" w:type="pct"/>
            <w:tcBorders>
              <w:tl2br w:val="nil"/>
              <w:tr2bl w:val="nil"/>
            </w:tcBorders>
            <w:vAlign w:val="center"/>
          </w:tcPr>
          <w:p w14:paraId="232A770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昼间</w:t>
            </w:r>
          </w:p>
        </w:tc>
        <w:tc>
          <w:tcPr>
            <w:tcW w:w="553" w:type="pct"/>
            <w:tcBorders>
              <w:tl2br w:val="nil"/>
              <w:tr2bl w:val="nil"/>
            </w:tcBorders>
            <w:vAlign w:val="center"/>
          </w:tcPr>
          <w:p w14:paraId="6442411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标准值</w:t>
            </w:r>
          </w:p>
        </w:tc>
        <w:tc>
          <w:tcPr>
            <w:tcW w:w="415" w:type="pct"/>
            <w:tcBorders>
              <w:tl2br w:val="nil"/>
              <w:tr2bl w:val="nil"/>
            </w:tcBorders>
            <w:vAlign w:val="center"/>
          </w:tcPr>
          <w:p w14:paraId="5073CF2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夜间</w:t>
            </w:r>
          </w:p>
        </w:tc>
        <w:tc>
          <w:tcPr>
            <w:tcW w:w="470" w:type="pct"/>
            <w:tcBorders>
              <w:tl2br w:val="nil"/>
              <w:tr2bl w:val="nil"/>
            </w:tcBorders>
            <w:vAlign w:val="center"/>
          </w:tcPr>
          <w:p w14:paraId="2841D47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标准值</w:t>
            </w:r>
          </w:p>
        </w:tc>
        <w:tc>
          <w:tcPr>
            <w:tcW w:w="442" w:type="pct"/>
            <w:tcBorders>
              <w:tl2br w:val="nil"/>
              <w:tr2bl w:val="nil"/>
            </w:tcBorders>
            <w:vAlign w:val="center"/>
          </w:tcPr>
          <w:p w14:paraId="69B5B8D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昼间</w:t>
            </w:r>
          </w:p>
        </w:tc>
        <w:tc>
          <w:tcPr>
            <w:tcW w:w="469" w:type="pct"/>
            <w:tcBorders>
              <w:tl2br w:val="nil"/>
              <w:tr2bl w:val="nil"/>
            </w:tcBorders>
            <w:vAlign w:val="center"/>
          </w:tcPr>
          <w:p w14:paraId="2226929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标准值</w:t>
            </w:r>
          </w:p>
        </w:tc>
        <w:tc>
          <w:tcPr>
            <w:tcW w:w="433" w:type="pct"/>
            <w:tcBorders>
              <w:tl2br w:val="nil"/>
              <w:tr2bl w:val="nil"/>
            </w:tcBorders>
            <w:vAlign w:val="center"/>
          </w:tcPr>
          <w:p w14:paraId="27C5E3B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夜间</w:t>
            </w:r>
          </w:p>
        </w:tc>
        <w:tc>
          <w:tcPr>
            <w:tcW w:w="564" w:type="pct"/>
            <w:tcBorders>
              <w:tl2br w:val="nil"/>
              <w:tr2bl w:val="nil"/>
            </w:tcBorders>
            <w:vAlign w:val="center"/>
          </w:tcPr>
          <w:p w14:paraId="462686E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标准值</w:t>
            </w:r>
          </w:p>
        </w:tc>
      </w:tr>
      <w:tr w14:paraId="454EDB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tcBorders>
              <w:tl2br w:val="nil"/>
              <w:tr2bl w:val="nil"/>
            </w:tcBorders>
            <w:vAlign w:val="center"/>
          </w:tcPr>
          <w:p w14:paraId="44D55CD4">
            <w:pPr>
              <w:pStyle w:val="41"/>
              <w:rPr>
                <w:rFonts w:hint="default" w:ascii="Times New Roman" w:hAnsi="Times New Roman" w:cs="Times New Roman"/>
                <w:color w:val="auto"/>
                <w:u w:val="none"/>
              </w:rPr>
            </w:pPr>
            <w:r>
              <w:rPr>
                <w:rFonts w:hint="default" w:ascii="Times New Roman" w:hAnsi="Times New Roman" w:cs="Times New Roman"/>
                <w:color w:val="auto"/>
                <w:u w:val="none"/>
              </w:rPr>
              <w:t>N1厂界东侧外1m处</w:t>
            </w:r>
          </w:p>
        </w:tc>
        <w:tc>
          <w:tcPr>
            <w:tcW w:w="461" w:type="pct"/>
            <w:tcBorders>
              <w:tl2br w:val="nil"/>
              <w:tr2bl w:val="nil"/>
            </w:tcBorders>
            <w:vAlign w:val="center"/>
          </w:tcPr>
          <w:p w14:paraId="7D399D4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59</w:t>
            </w:r>
          </w:p>
        </w:tc>
        <w:tc>
          <w:tcPr>
            <w:tcW w:w="553" w:type="pct"/>
            <w:tcBorders>
              <w:tl2br w:val="nil"/>
              <w:tr2bl w:val="nil"/>
            </w:tcBorders>
            <w:vAlign w:val="center"/>
          </w:tcPr>
          <w:p w14:paraId="7C3E4292">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15" w:type="pct"/>
            <w:tcBorders>
              <w:tl2br w:val="nil"/>
              <w:tr2bl w:val="nil"/>
            </w:tcBorders>
            <w:vAlign w:val="center"/>
          </w:tcPr>
          <w:p w14:paraId="180D628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42</w:t>
            </w:r>
          </w:p>
        </w:tc>
        <w:tc>
          <w:tcPr>
            <w:tcW w:w="470" w:type="pct"/>
            <w:tcBorders>
              <w:tl2br w:val="nil"/>
              <w:tr2bl w:val="nil"/>
            </w:tcBorders>
            <w:vAlign w:val="center"/>
          </w:tcPr>
          <w:p w14:paraId="77B1A94E">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442" w:type="pct"/>
            <w:tcBorders>
              <w:tl2br w:val="nil"/>
              <w:tr2bl w:val="nil"/>
            </w:tcBorders>
            <w:vAlign w:val="center"/>
          </w:tcPr>
          <w:p w14:paraId="2CF2BB4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56</w:t>
            </w:r>
          </w:p>
        </w:tc>
        <w:tc>
          <w:tcPr>
            <w:tcW w:w="469" w:type="pct"/>
            <w:tcBorders>
              <w:tl2br w:val="nil"/>
              <w:tr2bl w:val="nil"/>
            </w:tcBorders>
            <w:vAlign w:val="center"/>
          </w:tcPr>
          <w:p w14:paraId="2230F6EF">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33" w:type="pct"/>
            <w:tcBorders>
              <w:tl2br w:val="nil"/>
              <w:tr2bl w:val="nil"/>
            </w:tcBorders>
            <w:vAlign w:val="center"/>
          </w:tcPr>
          <w:p w14:paraId="68461E2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41</w:t>
            </w:r>
          </w:p>
        </w:tc>
        <w:tc>
          <w:tcPr>
            <w:tcW w:w="564" w:type="pct"/>
            <w:tcBorders>
              <w:tl2br w:val="nil"/>
              <w:tr2bl w:val="nil"/>
            </w:tcBorders>
            <w:vAlign w:val="center"/>
          </w:tcPr>
          <w:p w14:paraId="4D418F4B">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r>
      <w:tr w14:paraId="7A502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tcBorders>
              <w:tl2br w:val="nil"/>
              <w:tr2bl w:val="nil"/>
            </w:tcBorders>
            <w:vAlign w:val="center"/>
          </w:tcPr>
          <w:p w14:paraId="4DF1F8D3">
            <w:pPr>
              <w:pStyle w:val="41"/>
              <w:rPr>
                <w:rFonts w:hint="default" w:ascii="Times New Roman" w:hAnsi="Times New Roman" w:cs="Times New Roman"/>
                <w:color w:val="auto"/>
                <w:u w:val="none"/>
              </w:rPr>
            </w:pPr>
            <w:r>
              <w:rPr>
                <w:rFonts w:hint="default" w:ascii="Times New Roman" w:hAnsi="Times New Roman" w:cs="Times New Roman"/>
                <w:color w:val="auto"/>
                <w:u w:val="none"/>
              </w:rPr>
              <w:t>N2厂界南侧外1m处</w:t>
            </w:r>
          </w:p>
        </w:tc>
        <w:tc>
          <w:tcPr>
            <w:tcW w:w="461" w:type="pct"/>
            <w:tcBorders>
              <w:tl2br w:val="nil"/>
              <w:tr2bl w:val="nil"/>
            </w:tcBorders>
            <w:vAlign w:val="center"/>
          </w:tcPr>
          <w:p w14:paraId="498E86A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50</w:t>
            </w:r>
          </w:p>
        </w:tc>
        <w:tc>
          <w:tcPr>
            <w:tcW w:w="553" w:type="pct"/>
            <w:tcBorders>
              <w:tl2br w:val="nil"/>
              <w:tr2bl w:val="nil"/>
            </w:tcBorders>
            <w:vAlign w:val="center"/>
          </w:tcPr>
          <w:p w14:paraId="694DBE53">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15" w:type="pct"/>
            <w:tcBorders>
              <w:tl2br w:val="nil"/>
              <w:tr2bl w:val="nil"/>
            </w:tcBorders>
            <w:vAlign w:val="center"/>
          </w:tcPr>
          <w:p w14:paraId="72DB146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43</w:t>
            </w:r>
          </w:p>
        </w:tc>
        <w:tc>
          <w:tcPr>
            <w:tcW w:w="470" w:type="pct"/>
            <w:tcBorders>
              <w:tl2br w:val="nil"/>
              <w:tr2bl w:val="nil"/>
            </w:tcBorders>
            <w:vAlign w:val="center"/>
          </w:tcPr>
          <w:p w14:paraId="7B7B689A">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442" w:type="pct"/>
            <w:tcBorders>
              <w:tl2br w:val="nil"/>
              <w:tr2bl w:val="nil"/>
            </w:tcBorders>
            <w:vAlign w:val="center"/>
          </w:tcPr>
          <w:p w14:paraId="7437621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54</w:t>
            </w:r>
          </w:p>
        </w:tc>
        <w:tc>
          <w:tcPr>
            <w:tcW w:w="469" w:type="pct"/>
            <w:tcBorders>
              <w:tl2br w:val="nil"/>
              <w:tr2bl w:val="nil"/>
            </w:tcBorders>
            <w:vAlign w:val="center"/>
          </w:tcPr>
          <w:p w14:paraId="3097EEFC">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33" w:type="pct"/>
            <w:tcBorders>
              <w:tl2br w:val="nil"/>
              <w:tr2bl w:val="nil"/>
            </w:tcBorders>
            <w:vAlign w:val="center"/>
          </w:tcPr>
          <w:p w14:paraId="610D62D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48</w:t>
            </w:r>
          </w:p>
        </w:tc>
        <w:tc>
          <w:tcPr>
            <w:tcW w:w="564" w:type="pct"/>
            <w:tcBorders>
              <w:tl2br w:val="nil"/>
              <w:tr2bl w:val="nil"/>
            </w:tcBorders>
            <w:vAlign w:val="center"/>
          </w:tcPr>
          <w:p w14:paraId="2099525E">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r>
      <w:tr w14:paraId="7ADE1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tcBorders>
              <w:tl2br w:val="nil"/>
              <w:tr2bl w:val="nil"/>
            </w:tcBorders>
            <w:vAlign w:val="center"/>
          </w:tcPr>
          <w:p w14:paraId="28FEA7CD">
            <w:pPr>
              <w:pStyle w:val="41"/>
              <w:rPr>
                <w:rFonts w:hint="default" w:ascii="Times New Roman" w:hAnsi="Times New Roman" w:cs="Times New Roman"/>
                <w:color w:val="auto"/>
                <w:u w:val="none"/>
              </w:rPr>
            </w:pPr>
            <w:r>
              <w:rPr>
                <w:rFonts w:hint="default" w:ascii="Times New Roman" w:hAnsi="Times New Roman" w:cs="Times New Roman"/>
                <w:color w:val="auto"/>
                <w:u w:val="none"/>
              </w:rPr>
              <w:t>N3厂界西侧外m处</w:t>
            </w:r>
          </w:p>
        </w:tc>
        <w:tc>
          <w:tcPr>
            <w:tcW w:w="461" w:type="pct"/>
            <w:tcBorders>
              <w:tl2br w:val="nil"/>
              <w:tr2bl w:val="nil"/>
            </w:tcBorders>
            <w:vAlign w:val="center"/>
          </w:tcPr>
          <w:p w14:paraId="75275EDB">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50</w:t>
            </w:r>
          </w:p>
        </w:tc>
        <w:tc>
          <w:tcPr>
            <w:tcW w:w="553" w:type="pct"/>
            <w:tcBorders>
              <w:tl2br w:val="nil"/>
              <w:tr2bl w:val="nil"/>
            </w:tcBorders>
            <w:vAlign w:val="center"/>
          </w:tcPr>
          <w:p w14:paraId="3B6F7FA2">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15" w:type="pct"/>
            <w:tcBorders>
              <w:tl2br w:val="nil"/>
              <w:tr2bl w:val="nil"/>
            </w:tcBorders>
            <w:vAlign w:val="center"/>
          </w:tcPr>
          <w:p w14:paraId="78640D7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46</w:t>
            </w:r>
          </w:p>
        </w:tc>
        <w:tc>
          <w:tcPr>
            <w:tcW w:w="470" w:type="pct"/>
            <w:tcBorders>
              <w:tl2br w:val="nil"/>
              <w:tr2bl w:val="nil"/>
            </w:tcBorders>
            <w:vAlign w:val="center"/>
          </w:tcPr>
          <w:p w14:paraId="3017A6C9">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442" w:type="pct"/>
            <w:tcBorders>
              <w:tl2br w:val="nil"/>
              <w:tr2bl w:val="nil"/>
            </w:tcBorders>
            <w:vAlign w:val="center"/>
          </w:tcPr>
          <w:p w14:paraId="0B32ECBA">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54</w:t>
            </w:r>
          </w:p>
        </w:tc>
        <w:tc>
          <w:tcPr>
            <w:tcW w:w="469" w:type="pct"/>
            <w:tcBorders>
              <w:tl2br w:val="nil"/>
              <w:tr2bl w:val="nil"/>
            </w:tcBorders>
            <w:vAlign w:val="center"/>
          </w:tcPr>
          <w:p w14:paraId="4B7E1979">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33" w:type="pct"/>
            <w:tcBorders>
              <w:tl2br w:val="nil"/>
              <w:tr2bl w:val="nil"/>
            </w:tcBorders>
            <w:vAlign w:val="center"/>
          </w:tcPr>
          <w:p w14:paraId="47025B2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46</w:t>
            </w:r>
          </w:p>
        </w:tc>
        <w:tc>
          <w:tcPr>
            <w:tcW w:w="564" w:type="pct"/>
            <w:tcBorders>
              <w:tl2br w:val="nil"/>
              <w:tr2bl w:val="nil"/>
            </w:tcBorders>
            <w:vAlign w:val="center"/>
          </w:tcPr>
          <w:p w14:paraId="3F2F6EC5">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r>
      <w:tr w14:paraId="29CE39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9" w:type="pct"/>
            <w:tcBorders>
              <w:tl2br w:val="nil"/>
              <w:tr2bl w:val="nil"/>
            </w:tcBorders>
            <w:vAlign w:val="center"/>
          </w:tcPr>
          <w:p w14:paraId="1674B4CC">
            <w:pPr>
              <w:pStyle w:val="41"/>
              <w:rPr>
                <w:rFonts w:hint="default" w:ascii="Times New Roman" w:hAnsi="Times New Roman" w:cs="Times New Roman"/>
                <w:color w:val="auto"/>
                <w:u w:val="none"/>
              </w:rPr>
            </w:pPr>
            <w:r>
              <w:rPr>
                <w:rFonts w:hint="default" w:ascii="Times New Roman" w:hAnsi="Times New Roman" w:cs="Times New Roman"/>
                <w:color w:val="auto"/>
                <w:u w:val="none"/>
              </w:rPr>
              <w:t>N4厂界北侧外1m处</w:t>
            </w:r>
          </w:p>
        </w:tc>
        <w:tc>
          <w:tcPr>
            <w:tcW w:w="461" w:type="pct"/>
            <w:tcBorders>
              <w:tl2br w:val="nil"/>
              <w:tr2bl w:val="nil"/>
            </w:tcBorders>
            <w:vAlign w:val="center"/>
          </w:tcPr>
          <w:p w14:paraId="073C524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52</w:t>
            </w:r>
          </w:p>
        </w:tc>
        <w:tc>
          <w:tcPr>
            <w:tcW w:w="553" w:type="pct"/>
            <w:tcBorders>
              <w:tl2br w:val="nil"/>
              <w:tr2bl w:val="nil"/>
            </w:tcBorders>
            <w:vAlign w:val="center"/>
          </w:tcPr>
          <w:p w14:paraId="0235D58B">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15" w:type="pct"/>
            <w:tcBorders>
              <w:tl2br w:val="nil"/>
              <w:tr2bl w:val="nil"/>
            </w:tcBorders>
            <w:vAlign w:val="center"/>
          </w:tcPr>
          <w:p w14:paraId="4B7638B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44</w:t>
            </w:r>
          </w:p>
        </w:tc>
        <w:tc>
          <w:tcPr>
            <w:tcW w:w="470" w:type="pct"/>
            <w:tcBorders>
              <w:tl2br w:val="nil"/>
              <w:tr2bl w:val="nil"/>
            </w:tcBorders>
            <w:vAlign w:val="center"/>
          </w:tcPr>
          <w:p w14:paraId="635F991A">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442" w:type="pct"/>
            <w:tcBorders>
              <w:tl2br w:val="nil"/>
              <w:tr2bl w:val="nil"/>
            </w:tcBorders>
            <w:vAlign w:val="center"/>
          </w:tcPr>
          <w:p w14:paraId="25234AC2">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50</w:t>
            </w:r>
          </w:p>
        </w:tc>
        <w:tc>
          <w:tcPr>
            <w:tcW w:w="469" w:type="pct"/>
            <w:tcBorders>
              <w:tl2br w:val="nil"/>
              <w:tr2bl w:val="nil"/>
            </w:tcBorders>
            <w:vAlign w:val="center"/>
          </w:tcPr>
          <w:p w14:paraId="49C12905">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433" w:type="pct"/>
            <w:tcBorders>
              <w:tl2br w:val="nil"/>
              <w:tr2bl w:val="nil"/>
            </w:tcBorders>
            <w:vAlign w:val="center"/>
          </w:tcPr>
          <w:p w14:paraId="1A7662D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49</w:t>
            </w:r>
          </w:p>
        </w:tc>
        <w:tc>
          <w:tcPr>
            <w:tcW w:w="564" w:type="pct"/>
            <w:tcBorders>
              <w:tl2br w:val="nil"/>
              <w:tr2bl w:val="nil"/>
            </w:tcBorders>
            <w:vAlign w:val="center"/>
          </w:tcPr>
          <w:p w14:paraId="0708295A">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r>
    </w:tbl>
    <w:p w14:paraId="74C5AD9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由上表的声环境质量现状监测结果可知，项目厂界昼、夜噪声监测值均达到《声环境质量标准》（GB3096-2008）中3类标准，项目所在区域声环境质量良好。</w:t>
      </w:r>
    </w:p>
    <w:p w14:paraId="1C89DF1E">
      <w:pPr>
        <w:pStyle w:val="5"/>
        <w:rPr>
          <w:rFonts w:hint="default" w:ascii="Times New Roman" w:hAnsi="Times New Roman" w:cs="Times New Roman"/>
          <w:color w:val="auto"/>
          <w:u w:val="none"/>
        </w:rPr>
      </w:pPr>
      <w:bookmarkStart w:id="115" w:name="_Toc12030"/>
      <w:r>
        <w:rPr>
          <w:rFonts w:hint="default" w:ascii="Times New Roman" w:hAnsi="Times New Roman" w:cs="Times New Roman"/>
          <w:color w:val="auto"/>
          <w:u w:val="none"/>
        </w:rPr>
        <w:t>土壤环境质量</w:t>
      </w:r>
      <w:bookmarkEnd w:id="115"/>
    </w:p>
    <w:p w14:paraId="2C9D3AE6">
      <w:pPr>
        <w:ind w:firstLine="480"/>
        <w:rPr>
          <w:rFonts w:ascii="Times New Roman" w:hAnsi="Times New Roman"/>
        </w:rPr>
      </w:pPr>
      <w:r>
        <w:rPr>
          <w:rFonts w:ascii="Times New Roman" w:hAnsi="Times New Roman"/>
        </w:rPr>
        <w:t>1、监测布点</w:t>
      </w:r>
    </w:p>
    <w:p w14:paraId="2736E86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202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年</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14</w:t>
      </w:r>
      <w:r>
        <w:rPr>
          <w:rFonts w:hint="default" w:ascii="Times New Roman" w:hAnsi="Times New Roman" w:cs="Times New Roman"/>
          <w:color w:val="auto"/>
          <w:u w:val="none"/>
        </w:rPr>
        <w:t>日，</w:t>
      </w:r>
      <w:r>
        <w:rPr>
          <w:rFonts w:hint="eastAsia" w:ascii="Times New Roman" w:hAnsi="Times New Roman" w:cs="Times New Roman"/>
          <w:color w:val="auto"/>
          <w:u w:val="none"/>
        </w:rPr>
        <w:t>湖南亿科检测有限公司</w:t>
      </w:r>
      <w:r>
        <w:rPr>
          <w:rFonts w:hint="default" w:ascii="Times New Roman" w:hAnsi="Times New Roman" w:cs="Times New Roman"/>
          <w:color w:val="auto"/>
          <w:u w:val="none"/>
        </w:rPr>
        <w:t>在本项目所在区域进行土壤采样后，将样品送至</w:t>
      </w:r>
      <w:r>
        <w:rPr>
          <w:rFonts w:hint="eastAsia" w:ascii="Times New Roman" w:hAnsi="Times New Roman" w:cs="Times New Roman"/>
          <w:color w:val="auto"/>
          <w:u w:val="none"/>
        </w:rPr>
        <w:t>湖南亿科检测有限公司</w:t>
      </w:r>
      <w:r>
        <w:rPr>
          <w:rFonts w:hint="default" w:ascii="Times New Roman" w:hAnsi="Times New Roman" w:cs="Times New Roman"/>
          <w:color w:val="auto"/>
          <w:u w:val="none"/>
        </w:rPr>
        <w:t>进行检测，监测点位：</w:t>
      </w:r>
      <w:r>
        <w:rPr>
          <w:rFonts w:hint="eastAsia" w:ascii="Times New Roman" w:hAnsi="Times New Roman" w:cs="Times New Roman"/>
          <w:color w:val="auto"/>
          <w:u w:val="none"/>
        </w:rPr>
        <w:t>①场地内取3个柱状样（在 0-0.5m、 0.5-1.5m、 1.5-3m 分别取样）、1个表层样（0-0.2m）。</w:t>
      </w:r>
    </w:p>
    <w:p w14:paraId="0A509E77">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监测项目</w:t>
      </w:r>
    </w:p>
    <w:p w14:paraId="186EB81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表5.2-1</w:t>
      </w:r>
      <w:r>
        <w:rPr>
          <w:rFonts w:hint="eastAsia" w:ascii="Times New Roman" w:hAnsi="Times New Roman" w:cs="Times New Roman"/>
          <w:b/>
          <w:bCs/>
          <w:color w:val="auto"/>
          <w:u w:val="none"/>
          <w:lang w:val="en-US" w:eastAsia="zh-CN"/>
        </w:rPr>
        <w:t>1</w:t>
      </w:r>
      <w:r>
        <w:rPr>
          <w:rFonts w:hint="default" w:ascii="Times New Roman" w:hAnsi="Times New Roman" w:cs="Times New Roman"/>
          <w:b/>
          <w:bCs/>
          <w:color w:val="auto"/>
          <w:u w:val="none"/>
        </w:rPr>
        <w:t xml:space="preserve">  监测点位及监测因子</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85"/>
        <w:gridCol w:w="2358"/>
        <w:gridCol w:w="4642"/>
      </w:tblGrid>
      <w:tr w14:paraId="4040E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noWrap w:val="0"/>
            <w:vAlign w:val="center"/>
          </w:tcPr>
          <w:p w14:paraId="1642B6F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编号</w:t>
            </w:r>
          </w:p>
        </w:tc>
        <w:tc>
          <w:tcPr>
            <w:tcW w:w="378" w:type="pct"/>
            <w:noWrap w:val="0"/>
            <w:vAlign w:val="center"/>
          </w:tcPr>
          <w:p w14:paraId="5C75EA8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监测频率</w:t>
            </w:r>
          </w:p>
        </w:tc>
        <w:tc>
          <w:tcPr>
            <w:tcW w:w="1302" w:type="pct"/>
            <w:noWrap w:val="0"/>
            <w:vAlign w:val="center"/>
          </w:tcPr>
          <w:p w14:paraId="2201A5B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监测点名称</w:t>
            </w:r>
          </w:p>
        </w:tc>
        <w:tc>
          <w:tcPr>
            <w:tcW w:w="2562" w:type="pct"/>
            <w:noWrap w:val="0"/>
            <w:vAlign w:val="center"/>
          </w:tcPr>
          <w:p w14:paraId="07411D3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监测因子</w:t>
            </w:r>
          </w:p>
        </w:tc>
      </w:tr>
      <w:tr w14:paraId="77EC6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757" w:type="pct"/>
            <w:noWrap w:val="0"/>
            <w:vAlign w:val="center"/>
          </w:tcPr>
          <w:p w14:paraId="6F2C2F30">
            <w:pPr>
              <w:pStyle w:val="41"/>
              <w:rPr>
                <w:rFonts w:hint="default" w:ascii="Times New Roman" w:hAnsi="Times New Roman" w:cs="Times New Roman"/>
                <w:color w:val="auto"/>
                <w:u w:val="none"/>
              </w:rPr>
            </w:pPr>
            <w:r>
              <w:rPr>
                <w:rFonts w:hint="eastAsia" w:cs="Times New Roman"/>
                <w:color w:val="auto"/>
                <w:u w:val="none"/>
                <w:lang w:val="en-US" w:eastAsia="zh-CN"/>
              </w:rPr>
              <w:t>C</w:t>
            </w:r>
            <w:r>
              <w:rPr>
                <w:rFonts w:hint="default" w:ascii="Times New Roman" w:hAnsi="Times New Roman" w:cs="Times New Roman"/>
                <w:color w:val="auto"/>
                <w:u w:val="none"/>
              </w:rPr>
              <w:t>T1</w:t>
            </w:r>
          </w:p>
        </w:tc>
        <w:tc>
          <w:tcPr>
            <w:tcW w:w="378" w:type="pct"/>
            <w:vMerge w:val="restart"/>
            <w:noWrap w:val="0"/>
            <w:vAlign w:val="center"/>
          </w:tcPr>
          <w:p w14:paraId="2E022961">
            <w:pPr>
              <w:pStyle w:val="41"/>
              <w:rPr>
                <w:rFonts w:hint="default" w:ascii="Times New Roman" w:hAnsi="Times New Roman" w:cs="Times New Roman"/>
                <w:color w:val="auto"/>
                <w:u w:val="none"/>
              </w:rPr>
            </w:pPr>
            <w:r>
              <w:rPr>
                <w:rFonts w:hint="default" w:ascii="Times New Roman" w:hAnsi="Times New Roman" w:eastAsia="宋体" w:cs="Times New Roman"/>
                <w:sz w:val="21"/>
                <w:szCs w:val="21"/>
              </w:rPr>
              <w:t>监测</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rPr>
              <w:t>天</w:t>
            </w:r>
          </w:p>
        </w:tc>
        <w:tc>
          <w:tcPr>
            <w:tcW w:w="1302" w:type="pct"/>
            <w:noWrap w:val="0"/>
            <w:vAlign w:val="center"/>
          </w:tcPr>
          <w:p w14:paraId="061EFBA4">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厂址范围内表层样</w:t>
            </w:r>
            <w:r>
              <w:rPr>
                <w:rFonts w:hint="eastAsia" w:cs="Times New Roman"/>
                <w:color w:val="auto"/>
                <w:u w:val="none"/>
                <w:lang w:eastAsia="zh-CN"/>
              </w:rPr>
              <w:t>（0-20cm）</w:t>
            </w:r>
          </w:p>
        </w:tc>
        <w:tc>
          <w:tcPr>
            <w:tcW w:w="2562" w:type="pct"/>
            <w:noWrap w:val="0"/>
            <w:vAlign w:val="center"/>
          </w:tcPr>
          <w:p w14:paraId="5C82E824">
            <w:pPr>
              <w:pStyle w:val="41"/>
              <w:rPr>
                <w:rFonts w:hint="default" w:ascii="Times New Roman" w:hAnsi="Times New Roman" w:cs="Times New Roman"/>
                <w:color w:val="auto"/>
                <w:u w:val="none"/>
              </w:rPr>
            </w:pPr>
            <w:r>
              <w:rPr>
                <w:rFonts w:hint="default" w:ascii="Times New Roman" w:hAnsi="Times New Roman" w:cs="Times New Roman"/>
                <w:color w:val="auto"/>
                <w:u w:val="none"/>
              </w:rPr>
              <w:t>测45项基本因子+石油烃</w:t>
            </w:r>
          </w:p>
        </w:tc>
      </w:tr>
      <w:tr w14:paraId="5E38E4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restart"/>
            <w:noWrap w:val="0"/>
            <w:vAlign w:val="center"/>
          </w:tcPr>
          <w:p w14:paraId="650B53F0">
            <w:pPr>
              <w:pStyle w:val="41"/>
              <w:rPr>
                <w:rFonts w:hint="default" w:ascii="Times New Roman" w:hAnsi="Times New Roman" w:cs="Times New Roman"/>
                <w:color w:val="auto"/>
                <w:u w:val="none"/>
              </w:rPr>
            </w:pPr>
            <w:r>
              <w:rPr>
                <w:rFonts w:hint="eastAsia" w:cs="Times New Roman"/>
                <w:color w:val="auto"/>
                <w:u w:val="none"/>
                <w:lang w:val="en-US" w:eastAsia="zh-CN"/>
              </w:rPr>
              <w:t>C</w:t>
            </w:r>
            <w:r>
              <w:rPr>
                <w:rFonts w:hint="default" w:ascii="Times New Roman" w:hAnsi="Times New Roman" w:cs="Times New Roman"/>
                <w:color w:val="auto"/>
                <w:u w:val="none"/>
              </w:rPr>
              <w:t>T2</w:t>
            </w:r>
          </w:p>
        </w:tc>
        <w:tc>
          <w:tcPr>
            <w:tcW w:w="378" w:type="pct"/>
            <w:vMerge w:val="continue"/>
            <w:noWrap w:val="0"/>
            <w:vAlign w:val="center"/>
          </w:tcPr>
          <w:p w14:paraId="70059E32">
            <w:pPr>
              <w:pStyle w:val="41"/>
              <w:rPr>
                <w:rFonts w:hint="default" w:ascii="Times New Roman" w:hAnsi="Times New Roman" w:cs="Times New Roman"/>
                <w:color w:val="auto"/>
                <w:u w:val="none"/>
              </w:rPr>
            </w:pPr>
          </w:p>
        </w:tc>
        <w:tc>
          <w:tcPr>
            <w:tcW w:w="1302" w:type="pct"/>
            <w:noWrap w:val="0"/>
            <w:vAlign w:val="center"/>
          </w:tcPr>
          <w:p w14:paraId="0009268B">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厂址范围内柱状样</w:t>
            </w:r>
            <w:r>
              <w:rPr>
                <w:rFonts w:hint="eastAsia" w:cs="Times New Roman"/>
                <w:color w:val="auto"/>
                <w:u w:val="none"/>
                <w:lang w:eastAsia="zh-CN"/>
              </w:rPr>
              <w:t>（</w:t>
            </w:r>
            <w:r>
              <w:rPr>
                <w:rFonts w:hint="default" w:ascii="Times New Roman" w:hAnsi="Times New Roman" w:cs="Times New Roman"/>
                <w:color w:val="auto"/>
                <w:u w:val="none"/>
              </w:rPr>
              <w:t>0-50cm</w:t>
            </w:r>
            <w:r>
              <w:rPr>
                <w:rFonts w:hint="eastAsia" w:cs="Times New Roman"/>
                <w:color w:val="auto"/>
                <w:u w:val="none"/>
                <w:lang w:eastAsia="zh-CN"/>
              </w:rPr>
              <w:t>）</w:t>
            </w:r>
          </w:p>
        </w:tc>
        <w:tc>
          <w:tcPr>
            <w:tcW w:w="2562" w:type="pct"/>
            <w:noWrap w:val="0"/>
            <w:vAlign w:val="center"/>
          </w:tcPr>
          <w:p w14:paraId="2EF1A404">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3E054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757" w:type="pct"/>
            <w:vMerge w:val="continue"/>
            <w:noWrap w:val="0"/>
            <w:vAlign w:val="center"/>
          </w:tcPr>
          <w:p w14:paraId="5589AFE9">
            <w:pPr>
              <w:pStyle w:val="41"/>
              <w:rPr>
                <w:rFonts w:hint="default" w:ascii="Times New Roman" w:hAnsi="Times New Roman" w:cs="Times New Roman"/>
                <w:color w:val="auto"/>
                <w:u w:val="none"/>
              </w:rPr>
            </w:pPr>
          </w:p>
        </w:tc>
        <w:tc>
          <w:tcPr>
            <w:tcW w:w="378" w:type="pct"/>
            <w:vMerge w:val="continue"/>
            <w:noWrap w:val="0"/>
            <w:vAlign w:val="center"/>
          </w:tcPr>
          <w:p w14:paraId="36B41667">
            <w:pPr>
              <w:pStyle w:val="41"/>
              <w:rPr>
                <w:rFonts w:hint="default" w:ascii="Times New Roman" w:hAnsi="Times New Roman" w:cs="Times New Roman"/>
                <w:color w:val="auto"/>
                <w:u w:val="none"/>
              </w:rPr>
            </w:pPr>
          </w:p>
        </w:tc>
        <w:tc>
          <w:tcPr>
            <w:tcW w:w="1302" w:type="pct"/>
            <w:noWrap w:val="0"/>
            <w:vAlign w:val="center"/>
          </w:tcPr>
          <w:p w14:paraId="62A8F680">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厂址范围内柱状样</w:t>
            </w:r>
            <w:r>
              <w:rPr>
                <w:rFonts w:hint="eastAsia" w:cs="Times New Roman"/>
                <w:color w:val="auto"/>
                <w:u w:val="none"/>
                <w:lang w:eastAsia="zh-CN"/>
              </w:rPr>
              <w:t>（</w:t>
            </w:r>
            <w:r>
              <w:rPr>
                <w:rFonts w:hint="default" w:ascii="Times New Roman" w:hAnsi="Times New Roman" w:cs="Times New Roman"/>
                <w:color w:val="auto"/>
                <w:u w:val="none"/>
              </w:rPr>
              <w:t>50-150cm</w:t>
            </w:r>
            <w:r>
              <w:rPr>
                <w:rFonts w:hint="eastAsia" w:cs="Times New Roman"/>
                <w:color w:val="auto"/>
                <w:u w:val="none"/>
                <w:lang w:eastAsia="zh-CN"/>
              </w:rPr>
              <w:t>）</w:t>
            </w:r>
          </w:p>
        </w:tc>
        <w:tc>
          <w:tcPr>
            <w:tcW w:w="2562" w:type="pct"/>
            <w:noWrap w:val="0"/>
            <w:vAlign w:val="center"/>
          </w:tcPr>
          <w:p w14:paraId="125DCEA2">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0375BC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7" w:type="pct"/>
            <w:vMerge w:val="continue"/>
            <w:noWrap w:val="0"/>
            <w:vAlign w:val="center"/>
          </w:tcPr>
          <w:p w14:paraId="4C4FF5DB">
            <w:pPr>
              <w:pStyle w:val="41"/>
              <w:rPr>
                <w:rFonts w:hint="default" w:ascii="Times New Roman" w:hAnsi="Times New Roman" w:cs="Times New Roman"/>
                <w:color w:val="auto"/>
                <w:u w:val="none"/>
              </w:rPr>
            </w:pPr>
          </w:p>
        </w:tc>
        <w:tc>
          <w:tcPr>
            <w:tcW w:w="378" w:type="pct"/>
            <w:vMerge w:val="continue"/>
            <w:noWrap w:val="0"/>
            <w:vAlign w:val="center"/>
          </w:tcPr>
          <w:p w14:paraId="5C2FA9BA">
            <w:pPr>
              <w:pStyle w:val="41"/>
              <w:rPr>
                <w:rFonts w:hint="default" w:ascii="Times New Roman" w:hAnsi="Times New Roman" w:cs="Times New Roman"/>
                <w:color w:val="auto"/>
                <w:u w:val="none"/>
              </w:rPr>
            </w:pPr>
          </w:p>
        </w:tc>
        <w:tc>
          <w:tcPr>
            <w:tcW w:w="1302" w:type="pct"/>
            <w:noWrap w:val="0"/>
            <w:vAlign w:val="center"/>
          </w:tcPr>
          <w:p w14:paraId="630246A1">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厂址范围内柱状样</w:t>
            </w:r>
            <w:r>
              <w:rPr>
                <w:rFonts w:hint="eastAsia" w:cs="Times New Roman"/>
                <w:color w:val="auto"/>
                <w:u w:val="none"/>
                <w:lang w:eastAsia="zh-CN"/>
              </w:rPr>
              <w:t>（</w:t>
            </w:r>
            <w:r>
              <w:rPr>
                <w:rFonts w:hint="default" w:ascii="Times New Roman" w:hAnsi="Times New Roman" w:cs="Times New Roman"/>
                <w:color w:val="auto"/>
                <w:u w:val="none"/>
              </w:rPr>
              <w:t>150-300cm</w:t>
            </w:r>
            <w:r>
              <w:rPr>
                <w:rFonts w:hint="eastAsia" w:cs="Times New Roman"/>
                <w:color w:val="auto"/>
                <w:u w:val="none"/>
                <w:lang w:eastAsia="zh-CN"/>
              </w:rPr>
              <w:t>）</w:t>
            </w:r>
          </w:p>
        </w:tc>
        <w:tc>
          <w:tcPr>
            <w:tcW w:w="2562" w:type="pct"/>
            <w:noWrap w:val="0"/>
            <w:vAlign w:val="center"/>
          </w:tcPr>
          <w:p w14:paraId="0572442F">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6C36FD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301BEFE4">
            <w:pPr>
              <w:pStyle w:val="41"/>
              <w:rPr>
                <w:rFonts w:hint="default" w:ascii="Times New Roman" w:hAnsi="Times New Roman" w:cs="Times New Roman"/>
                <w:color w:val="auto"/>
                <w:u w:val="none"/>
              </w:rPr>
            </w:pPr>
            <w:r>
              <w:rPr>
                <w:rFonts w:hint="eastAsia" w:cs="Times New Roman"/>
                <w:color w:val="auto"/>
                <w:u w:val="none"/>
                <w:lang w:val="en-US" w:eastAsia="zh-CN"/>
              </w:rPr>
              <w:t>执行</w:t>
            </w:r>
            <w:r>
              <w:rPr>
                <w:rFonts w:hint="default" w:ascii="Times New Roman" w:hAnsi="Times New Roman" w:cs="Times New Roman"/>
                <w:color w:val="auto"/>
                <w:u w:val="none"/>
              </w:rPr>
              <w:t>《土壤环境质量建设用地土壤污染风险管控标准（试行）》（GB36600-2018）风险筛选值中的第二类用地</w:t>
            </w:r>
            <w:r>
              <w:rPr>
                <w:rFonts w:hint="default" w:ascii="Times New Roman" w:hAnsi="Times New Roman" w:cs="Times New Roman"/>
                <w:color w:val="auto"/>
                <w:kern w:val="0"/>
                <w:u w:val="none"/>
              </w:rPr>
              <w:t>标准限值</w:t>
            </w:r>
          </w:p>
        </w:tc>
      </w:tr>
    </w:tbl>
    <w:p w14:paraId="197CE13E">
      <w:pPr>
        <w:ind w:firstLine="480"/>
        <w:rPr>
          <w:rFonts w:ascii="Times New Roman" w:hAnsi="Times New Roman"/>
        </w:rPr>
      </w:pPr>
      <w:r>
        <w:rPr>
          <w:rFonts w:ascii="Times New Roman" w:hAnsi="Times New Roman"/>
        </w:rPr>
        <w:t>3、监测时间与采样频次</w:t>
      </w:r>
    </w:p>
    <w:p w14:paraId="69273099">
      <w:pPr>
        <w:ind w:firstLine="480"/>
        <w:rPr>
          <w:rFonts w:ascii="Times New Roman" w:hAnsi="Times New Roman"/>
          <w:kern w:val="0"/>
        </w:rPr>
      </w:pPr>
      <w:r>
        <w:rPr>
          <w:rFonts w:hint="eastAsia" w:ascii="Times New Roman" w:hAnsi="Times New Roman"/>
          <w:kern w:val="0"/>
        </w:rPr>
        <w:t>湖南亿科检测有限公司</w:t>
      </w:r>
      <w:r>
        <w:rPr>
          <w:rFonts w:ascii="Times New Roman" w:hAnsi="Times New Roman"/>
          <w:kern w:val="0"/>
        </w:rPr>
        <w:t>于202</w:t>
      </w:r>
      <w:r>
        <w:rPr>
          <w:rFonts w:hint="eastAsia" w:ascii="Times New Roman" w:hAnsi="Times New Roman"/>
          <w:kern w:val="0"/>
          <w:lang w:val="en-US" w:eastAsia="zh-CN"/>
        </w:rPr>
        <w:t>5</w:t>
      </w:r>
      <w:r>
        <w:rPr>
          <w:rFonts w:ascii="Times New Roman" w:hAnsi="Times New Roman"/>
          <w:kern w:val="0"/>
        </w:rPr>
        <w:t>年</w:t>
      </w:r>
      <w:r>
        <w:rPr>
          <w:rFonts w:hint="eastAsia" w:ascii="Times New Roman" w:hAnsi="Times New Roman"/>
          <w:kern w:val="0"/>
          <w:lang w:val="en-US" w:eastAsia="zh-CN"/>
        </w:rPr>
        <w:t>1</w:t>
      </w:r>
      <w:r>
        <w:rPr>
          <w:rFonts w:ascii="Times New Roman" w:hAnsi="Times New Roman"/>
          <w:kern w:val="0"/>
        </w:rPr>
        <w:t>月</w:t>
      </w:r>
      <w:r>
        <w:rPr>
          <w:rFonts w:hint="eastAsia" w:ascii="Times New Roman" w:hAnsi="Times New Roman"/>
          <w:kern w:val="0"/>
          <w:lang w:val="en-US" w:eastAsia="zh-CN"/>
        </w:rPr>
        <w:t>15</w:t>
      </w:r>
      <w:r>
        <w:rPr>
          <w:rFonts w:ascii="Times New Roman" w:hAnsi="Times New Roman"/>
          <w:kern w:val="0"/>
        </w:rPr>
        <w:t>日</w:t>
      </w:r>
      <w:r>
        <w:rPr>
          <w:rFonts w:hint="eastAsia" w:ascii="Times New Roman" w:hAnsi="Times New Roman"/>
          <w:kern w:val="0"/>
        </w:rPr>
        <w:t>对</w:t>
      </w:r>
      <w:r>
        <w:rPr>
          <w:rFonts w:hint="eastAsia" w:ascii="Times New Roman" w:hAnsi="Times New Roman"/>
          <w:kern w:val="0"/>
          <w:lang w:val="en-US" w:eastAsia="zh-CN"/>
        </w:rPr>
        <w:t>厂房</w:t>
      </w:r>
      <w:r>
        <w:rPr>
          <w:rFonts w:hint="eastAsia" w:ascii="Times New Roman" w:hAnsi="Times New Roman"/>
          <w:kern w:val="0"/>
        </w:rPr>
        <w:t>监测点位进行监测</w:t>
      </w:r>
      <w:r>
        <w:rPr>
          <w:rFonts w:ascii="Times New Roman" w:hAnsi="Times New Roman"/>
          <w:kern w:val="0"/>
        </w:rPr>
        <w:t>，监测1天，监测一次。</w:t>
      </w:r>
    </w:p>
    <w:p w14:paraId="63EC70BC">
      <w:pPr>
        <w:ind w:firstLine="480"/>
        <w:rPr>
          <w:rFonts w:ascii="Times New Roman" w:hAnsi="Times New Roman"/>
        </w:rPr>
      </w:pPr>
      <w:r>
        <w:rPr>
          <w:rFonts w:ascii="Times New Roman" w:hAnsi="Times New Roman"/>
        </w:rPr>
        <w:t>4、评价标准及评价方法</w:t>
      </w:r>
    </w:p>
    <w:p w14:paraId="681805C1">
      <w:pPr>
        <w:ind w:firstLine="480"/>
        <w:rPr>
          <w:rFonts w:ascii="Times New Roman" w:hAnsi="Times New Roman"/>
          <w:kern w:val="0"/>
        </w:rPr>
      </w:pPr>
      <w:r>
        <w:rPr>
          <w:rFonts w:ascii="Times New Roman" w:hAnsi="Times New Roman"/>
          <w:kern w:val="0"/>
        </w:rPr>
        <w:t>（1）评价标准</w:t>
      </w:r>
    </w:p>
    <w:p w14:paraId="22651ADC">
      <w:pPr>
        <w:ind w:firstLine="480"/>
        <w:rPr>
          <w:rFonts w:ascii="Times New Roman" w:hAnsi="Times New Roman"/>
        </w:rPr>
      </w:pPr>
      <w:r>
        <w:rPr>
          <w:rFonts w:ascii="Times New Roman" w:hAnsi="Times New Roman"/>
        </w:rPr>
        <w:t>土壤环境质量执行《土壤环境质量建设用地土壤污染风险管控标准（试行）》（GB36600-2018）风险筛选值中的第二类用地。</w:t>
      </w:r>
    </w:p>
    <w:p w14:paraId="6F4A5CB3">
      <w:pPr>
        <w:ind w:firstLine="480"/>
        <w:rPr>
          <w:rFonts w:ascii="Times New Roman" w:hAnsi="Times New Roman"/>
          <w:kern w:val="0"/>
        </w:rPr>
      </w:pPr>
      <w:r>
        <w:rPr>
          <w:rFonts w:ascii="Times New Roman" w:hAnsi="Times New Roman"/>
          <w:kern w:val="0"/>
        </w:rPr>
        <w:t>（2）评价方法</w:t>
      </w:r>
    </w:p>
    <w:p w14:paraId="2DCE1FA9">
      <w:pPr>
        <w:ind w:firstLine="480"/>
        <w:rPr>
          <w:rFonts w:ascii="Times New Roman" w:hAnsi="Times New Roman"/>
        </w:rPr>
      </w:pPr>
      <w:r>
        <w:rPr>
          <w:rFonts w:ascii="Times New Roman" w:hAnsi="Times New Roman"/>
        </w:rPr>
        <w:t>各监测点的监测值与评价标准限值进行比较。</w:t>
      </w:r>
    </w:p>
    <w:p w14:paraId="79544F5A">
      <w:pPr>
        <w:ind w:firstLine="480"/>
        <w:rPr>
          <w:rFonts w:ascii="Times New Roman" w:hAnsi="Times New Roman"/>
        </w:rPr>
      </w:pPr>
      <w:r>
        <w:rPr>
          <w:rFonts w:ascii="Times New Roman" w:hAnsi="Times New Roman"/>
        </w:rPr>
        <w:t>5、监测结果及分析</w:t>
      </w:r>
    </w:p>
    <w:p w14:paraId="69032666">
      <w:pPr>
        <w:ind w:firstLine="480"/>
        <w:rPr>
          <w:rFonts w:ascii="Times New Roman" w:hAnsi="Times New Roman"/>
          <w:kern w:val="0"/>
        </w:rPr>
      </w:pPr>
      <w:r>
        <w:rPr>
          <w:rFonts w:ascii="Times New Roman" w:hAnsi="Times New Roman"/>
          <w:kern w:val="0"/>
        </w:rPr>
        <w:t>土壤现状评价结果见表5.2-</w:t>
      </w:r>
      <w:r>
        <w:rPr>
          <w:rFonts w:hint="eastAsia" w:ascii="Times New Roman" w:hAnsi="Times New Roman"/>
          <w:kern w:val="0"/>
          <w:lang w:val="en-US" w:eastAsia="zh-CN"/>
        </w:rPr>
        <w:t>12</w:t>
      </w:r>
      <w:r>
        <w:rPr>
          <w:rFonts w:ascii="Times New Roman" w:hAnsi="Times New Roman"/>
          <w:kern w:val="0"/>
        </w:rPr>
        <w:t>。</w:t>
      </w:r>
    </w:p>
    <w:p w14:paraId="5E1FF4D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w:t>
      </w:r>
      <w:r>
        <w:rPr>
          <w:rFonts w:hint="eastAsia" w:ascii="Times New Roman" w:hAnsi="Times New Roman" w:cs="Times New Roman"/>
          <w:b/>
          <w:bCs/>
          <w:color w:val="auto"/>
          <w:u w:val="none"/>
        </w:rPr>
        <w:t>1</w:t>
      </w:r>
      <w:r>
        <w:rPr>
          <w:rFonts w:hint="eastAsia" w:ascii="Times New Roman" w:hAnsi="Times New Roman" w:cs="Times New Roman"/>
          <w:b/>
          <w:bCs/>
          <w:color w:val="auto"/>
          <w:u w:val="none"/>
          <w:lang w:val="en-US" w:eastAsia="zh-CN"/>
        </w:rPr>
        <w:t>2</w:t>
      </w:r>
      <w:r>
        <w:rPr>
          <w:rFonts w:hint="default" w:ascii="Times New Roman" w:hAnsi="Times New Roman" w:cs="Times New Roman"/>
          <w:b/>
          <w:bCs/>
          <w:color w:val="auto"/>
          <w:u w:val="none"/>
        </w:rPr>
        <w:t xml:space="preserve">  土壤</w:t>
      </w:r>
      <w:r>
        <w:rPr>
          <w:rFonts w:hint="eastAsia" w:ascii="Times New Roman" w:hAnsi="Times New Roman" w:cs="Times New Roman"/>
          <w:b/>
          <w:bCs/>
          <w:color w:val="auto"/>
          <w:u w:val="none"/>
        </w:rPr>
        <w:t>环境质量监测</w:t>
      </w:r>
      <w:r>
        <w:rPr>
          <w:rFonts w:hint="default" w:ascii="Times New Roman" w:hAnsi="Times New Roman" w:cs="Times New Roman"/>
          <w:b/>
          <w:bCs/>
          <w:color w:val="auto"/>
          <w:u w:val="none"/>
        </w:rPr>
        <w:t>结果表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00"/>
        <w:gridCol w:w="945"/>
        <w:gridCol w:w="2085"/>
        <w:gridCol w:w="1135"/>
        <w:gridCol w:w="1285"/>
        <w:gridCol w:w="1261"/>
        <w:gridCol w:w="1250"/>
      </w:tblGrid>
      <w:tr w14:paraId="6FD7B1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5" w:hRule="atLeast"/>
          <w:jc w:val="center"/>
        </w:trPr>
        <w:tc>
          <w:tcPr>
            <w:tcW w:w="1100" w:type="dxa"/>
            <w:vAlign w:val="center"/>
          </w:tcPr>
          <w:p w14:paraId="730A26A2">
            <w:pPr>
              <w:pStyle w:val="41"/>
              <w:jc w:val="center"/>
            </w:pPr>
            <w:r>
              <w:t>采样点位</w:t>
            </w:r>
          </w:p>
        </w:tc>
        <w:tc>
          <w:tcPr>
            <w:tcW w:w="945" w:type="dxa"/>
            <w:vAlign w:val="center"/>
          </w:tcPr>
          <w:p w14:paraId="4B15CDD0">
            <w:pPr>
              <w:pStyle w:val="41"/>
              <w:jc w:val="center"/>
            </w:pPr>
            <w:r>
              <w:t>采样层</w:t>
            </w:r>
          </w:p>
        </w:tc>
        <w:tc>
          <w:tcPr>
            <w:tcW w:w="2085" w:type="dxa"/>
            <w:vAlign w:val="center"/>
          </w:tcPr>
          <w:p w14:paraId="24FC3A78">
            <w:pPr>
              <w:pStyle w:val="41"/>
              <w:jc w:val="center"/>
            </w:pPr>
            <w:r>
              <w:t>检测项目</w:t>
            </w:r>
          </w:p>
        </w:tc>
        <w:tc>
          <w:tcPr>
            <w:tcW w:w="1135" w:type="dxa"/>
            <w:vAlign w:val="center"/>
          </w:tcPr>
          <w:p w14:paraId="34DC7D15">
            <w:pPr>
              <w:pStyle w:val="41"/>
              <w:jc w:val="center"/>
            </w:pPr>
            <w:r>
              <w:t>单位</w:t>
            </w:r>
          </w:p>
        </w:tc>
        <w:tc>
          <w:tcPr>
            <w:tcW w:w="1285" w:type="dxa"/>
            <w:vAlign w:val="center"/>
          </w:tcPr>
          <w:p w14:paraId="674BE863">
            <w:pPr>
              <w:pStyle w:val="41"/>
              <w:jc w:val="center"/>
            </w:pPr>
            <w:r>
              <w:t>检测结果</w:t>
            </w:r>
          </w:p>
        </w:tc>
        <w:tc>
          <w:tcPr>
            <w:tcW w:w="1261" w:type="dxa"/>
            <w:vAlign w:val="center"/>
          </w:tcPr>
          <w:p w14:paraId="3797114D">
            <w:pPr>
              <w:pStyle w:val="41"/>
              <w:jc w:val="center"/>
            </w:pPr>
            <w:r>
              <w:t>参考限值</w:t>
            </w:r>
          </w:p>
        </w:tc>
        <w:tc>
          <w:tcPr>
            <w:tcW w:w="1250" w:type="dxa"/>
            <w:vAlign w:val="center"/>
          </w:tcPr>
          <w:p w14:paraId="5B3ACE77">
            <w:pPr>
              <w:pStyle w:val="41"/>
              <w:jc w:val="center"/>
            </w:pPr>
            <w:r>
              <w:t>是否达标</w:t>
            </w:r>
          </w:p>
        </w:tc>
      </w:tr>
      <w:tr w14:paraId="4F70D6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restart"/>
            <w:vAlign w:val="center"/>
          </w:tcPr>
          <w:p w14:paraId="53E32912">
            <w:pPr>
              <w:pStyle w:val="41"/>
              <w:jc w:val="center"/>
            </w:pPr>
            <w:r>
              <w:t>厂址范围内</w:t>
            </w:r>
            <w:r>
              <w:rPr>
                <w:rFonts w:hint="eastAsia"/>
                <w:lang w:val="en-US" w:eastAsia="zh-CN"/>
              </w:rPr>
              <w:t>表层样</w:t>
            </w:r>
            <w:r>
              <w:t>■</w:t>
            </w:r>
            <w:r>
              <w:rPr>
                <w:rFonts w:hint="eastAsia"/>
                <w:lang w:val="en-US" w:eastAsia="zh-CN"/>
              </w:rPr>
              <w:t>C</w:t>
            </w:r>
            <w:r>
              <w:t>T1</w:t>
            </w:r>
          </w:p>
        </w:tc>
        <w:tc>
          <w:tcPr>
            <w:tcW w:w="945" w:type="dxa"/>
            <w:vMerge w:val="restart"/>
            <w:vAlign w:val="center"/>
          </w:tcPr>
          <w:p w14:paraId="3606A140">
            <w:pPr>
              <w:pStyle w:val="41"/>
              <w:jc w:val="center"/>
            </w:pPr>
            <w:r>
              <w:t>0-20cm</w:t>
            </w:r>
          </w:p>
        </w:tc>
        <w:tc>
          <w:tcPr>
            <w:tcW w:w="2085" w:type="dxa"/>
            <w:vAlign w:val="center"/>
          </w:tcPr>
          <w:p w14:paraId="6993F5E5">
            <w:pPr>
              <w:pStyle w:val="41"/>
              <w:jc w:val="center"/>
            </w:pPr>
            <w:r>
              <w:t>铜</w:t>
            </w:r>
          </w:p>
        </w:tc>
        <w:tc>
          <w:tcPr>
            <w:tcW w:w="1135" w:type="dxa"/>
            <w:vAlign w:val="center"/>
          </w:tcPr>
          <w:p w14:paraId="66349156">
            <w:pPr>
              <w:pStyle w:val="41"/>
              <w:jc w:val="center"/>
            </w:pPr>
            <w:r>
              <w:t>mg/kg</w:t>
            </w:r>
          </w:p>
        </w:tc>
        <w:tc>
          <w:tcPr>
            <w:tcW w:w="1285" w:type="dxa"/>
            <w:vAlign w:val="center"/>
          </w:tcPr>
          <w:p w14:paraId="681BAEFB">
            <w:pPr>
              <w:pStyle w:val="41"/>
              <w:jc w:val="center"/>
              <w:rPr>
                <w:rFonts w:hint="default" w:eastAsia="宋体"/>
                <w:lang w:val="en-US" w:eastAsia="zh-CN"/>
              </w:rPr>
            </w:pPr>
            <w:r>
              <w:rPr>
                <w:rFonts w:hint="eastAsia"/>
                <w:lang w:val="en-US" w:eastAsia="zh-CN"/>
              </w:rPr>
              <w:t>30.9</w:t>
            </w:r>
          </w:p>
        </w:tc>
        <w:tc>
          <w:tcPr>
            <w:tcW w:w="1261" w:type="dxa"/>
            <w:vAlign w:val="center"/>
          </w:tcPr>
          <w:p w14:paraId="02FAD4B3">
            <w:pPr>
              <w:pStyle w:val="41"/>
              <w:jc w:val="center"/>
            </w:pPr>
            <w:r>
              <w:rPr>
                <w:rFonts w:hint="eastAsia"/>
              </w:rPr>
              <w:t>18000</w:t>
            </w:r>
          </w:p>
        </w:tc>
        <w:tc>
          <w:tcPr>
            <w:tcW w:w="1250" w:type="dxa"/>
            <w:vAlign w:val="center"/>
          </w:tcPr>
          <w:p w14:paraId="14310773">
            <w:pPr>
              <w:pStyle w:val="41"/>
              <w:jc w:val="center"/>
            </w:pPr>
            <w:r>
              <w:t>达标</w:t>
            </w:r>
          </w:p>
        </w:tc>
      </w:tr>
      <w:tr w14:paraId="69D1A2D4">
        <w:tblPrEx>
          <w:tblCellMar>
            <w:top w:w="0" w:type="dxa"/>
            <w:left w:w="108" w:type="dxa"/>
            <w:bottom w:w="0" w:type="dxa"/>
            <w:right w:w="108" w:type="dxa"/>
          </w:tblCellMar>
        </w:tblPrEx>
        <w:trPr>
          <w:trHeight w:val="425" w:hRule="atLeast"/>
          <w:jc w:val="center"/>
        </w:trPr>
        <w:tc>
          <w:tcPr>
            <w:tcW w:w="1100" w:type="dxa"/>
            <w:vMerge w:val="continue"/>
            <w:vAlign w:val="center"/>
          </w:tcPr>
          <w:p w14:paraId="3DE4C8F6">
            <w:pPr>
              <w:pStyle w:val="41"/>
              <w:jc w:val="center"/>
            </w:pPr>
          </w:p>
        </w:tc>
        <w:tc>
          <w:tcPr>
            <w:tcW w:w="945" w:type="dxa"/>
            <w:vMerge w:val="continue"/>
            <w:vAlign w:val="center"/>
          </w:tcPr>
          <w:p w14:paraId="7178C679">
            <w:pPr>
              <w:pStyle w:val="41"/>
              <w:jc w:val="center"/>
            </w:pPr>
          </w:p>
        </w:tc>
        <w:tc>
          <w:tcPr>
            <w:tcW w:w="2085" w:type="dxa"/>
            <w:vAlign w:val="center"/>
          </w:tcPr>
          <w:p w14:paraId="3EF3549D">
            <w:pPr>
              <w:pStyle w:val="41"/>
              <w:jc w:val="center"/>
            </w:pPr>
            <w:r>
              <w:t>镍</w:t>
            </w:r>
          </w:p>
        </w:tc>
        <w:tc>
          <w:tcPr>
            <w:tcW w:w="1135" w:type="dxa"/>
            <w:vAlign w:val="center"/>
          </w:tcPr>
          <w:p w14:paraId="23628D72">
            <w:pPr>
              <w:pStyle w:val="41"/>
              <w:jc w:val="center"/>
            </w:pPr>
            <w:r>
              <w:t>mg/kg</w:t>
            </w:r>
          </w:p>
        </w:tc>
        <w:tc>
          <w:tcPr>
            <w:tcW w:w="1285" w:type="dxa"/>
            <w:vAlign w:val="center"/>
          </w:tcPr>
          <w:p w14:paraId="47ACD7CF">
            <w:pPr>
              <w:pStyle w:val="41"/>
              <w:jc w:val="center"/>
              <w:rPr>
                <w:rFonts w:hint="default" w:eastAsia="宋体"/>
                <w:lang w:val="en-US" w:eastAsia="zh-CN"/>
              </w:rPr>
            </w:pPr>
            <w:r>
              <w:rPr>
                <w:rFonts w:hint="eastAsia"/>
                <w:lang w:val="en-US" w:eastAsia="zh-CN"/>
              </w:rPr>
              <w:t>27.8</w:t>
            </w:r>
          </w:p>
        </w:tc>
        <w:tc>
          <w:tcPr>
            <w:tcW w:w="1261" w:type="dxa"/>
            <w:vAlign w:val="center"/>
          </w:tcPr>
          <w:p w14:paraId="6C456DE2">
            <w:pPr>
              <w:pStyle w:val="41"/>
              <w:jc w:val="center"/>
            </w:pPr>
            <w:r>
              <w:rPr>
                <w:rFonts w:hint="eastAsia"/>
              </w:rPr>
              <w:t>900</w:t>
            </w:r>
          </w:p>
        </w:tc>
        <w:tc>
          <w:tcPr>
            <w:tcW w:w="1250" w:type="dxa"/>
            <w:vAlign w:val="center"/>
          </w:tcPr>
          <w:p w14:paraId="1D642CC3">
            <w:pPr>
              <w:pStyle w:val="41"/>
              <w:jc w:val="center"/>
            </w:pPr>
            <w:r>
              <w:t>达标</w:t>
            </w:r>
          </w:p>
        </w:tc>
      </w:tr>
      <w:tr w14:paraId="6AD78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0363E6E">
            <w:pPr>
              <w:pStyle w:val="41"/>
              <w:jc w:val="center"/>
            </w:pPr>
          </w:p>
        </w:tc>
        <w:tc>
          <w:tcPr>
            <w:tcW w:w="945" w:type="dxa"/>
            <w:vMerge w:val="continue"/>
            <w:vAlign w:val="center"/>
          </w:tcPr>
          <w:p w14:paraId="6FC7E8BC">
            <w:pPr>
              <w:pStyle w:val="41"/>
              <w:jc w:val="center"/>
            </w:pPr>
          </w:p>
        </w:tc>
        <w:tc>
          <w:tcPr>
            <w:tcW w:w="2085" w:type="dxa"/>
            <w:vAlign w:val="center"/>
          </w:tcPr>
          <w:p w14:paraId="53256104">
            <w:pPr>
              <w:pStyle w:val="41"/>
              <w:jc w:val="center"/>
            </w:pPr>
            <w:r>
              <w:t>铅</w:t>
            </w:r>
          </w:p>
        </w:tc>
        <w:tc>
          <w:tcPr>
            <w:tcW w:w="1135" w:type="dxa"/>
            <w:vAlign w:val="center"/>
          </w:tcPr>
          <w:p w14:paraId="57FE055C">
            <w:pPr>
              <w:pStyle w:val="41"/>
              <w:jc w:val="center"/>
            </w:pPr>
            <w:r>
              <w:t>mg/kg</w:t>
            </w:r>
          </w:p>
        </w:tc>
        <w:tc>
          <w:tcPr>
            <w:tcW w:w="1285" w:type="dxa"/>
            <w:vAlign w:val="center"/>
          </w:tcPr>
          <w:p w14:paraId="6C03F41F">
            <w:pPr>
              <w:pStyle w:val="41"/>
              <w:jc w:val="center"/>
              <w:rPr>
                <w:rFonts w:hint="default" w:eastAsia="宋体"/>
                <w:lang w:val="en-US" w:eastAsia="zh-CN"/>
              </w:rPr>
            </w:pPr>
            <w:r>
              <w:rPr>
                <w:rFonts w:hint="eastAsia"/>
                <w:lang w:val="en-US" w:eastAsia="zh-CN"/>
              </w:rPr>
              <w:t>21.2</w:t>
            </w:r>
          </w:p>
        </w:tc>
        <w:tc>
          <w:tcPr>
            <w:tcW w:w="1261" w:type="dxa"/>
            <w:vAlign w:val="center"/>
          </w:tcPr>
          <w:p w14:paraId="3FFEBBE1">
            <w:pPr>
              <w:pStyle w:val="41"/>
              <w:jc w:val="center"/>
            </w:pPr>
            <w:r>
              <w:rPr>
                <w:rFonts w:hint="eastAsia"/>
              </w:rPr>
              <w:t>800</w:t>
            </w:r>
          </w:p>
        </w:tc>
        <w:tc>
          <w:tcPr>
            <w:tcW w:w="1250" w:type="dxa"/>
            <w:vAlign w:val="center"/>
          </w:tcPr>
          <w:p w14:paraId="28C7664E">
            <w:pPr>
              <w:pStyle w:val="41"/>
              <w:jc w:val="center"/>
            </w:pPr>
            <w:r>
              <w:t>达标</w:t>
            </w:r>
          </w:p>
        </w:tc>
      </w:tr>
      <w:tr w14:paraId="0DDDF1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8E4A916">
            <w:pPr>
              <w:pStyle w:val="41"/>
              <w:jc w:val="center"/>
            </w:pPr>
          </w:p>
        </w:tc>
        <w:tc>
          <w:tcPr>
            <w:tcW w:w="945" w:type="dxa"/>
            <w:vMerge w:val="continue"/>
            <w:vAlign w:val="center"/>
          </w:tcPr>
          <w:p w14:paraId="60EA76FC">
            <w:pPr>
              <w:pStyle w:val="41"/>
              <w:jc w:val="center"/>
            </w:pPr>
          </w:p>
        </w:tc>
        <w:tc>
          <w:tcPr>
            <w:tcW w:w="2085" w:type="dxa"/>
            <w:vAlign w:val="center"/>
          </w:tcPr>
          <w:p w14:paraId="53EE2AB4">
            <w:pPr>
              <w:pStyle w:val="41"/>
              <w:jc w:val="center"/>
            </w:pPr>
            <w:r>
              <w:t>镉</w:t>
            </w:r>
          </w:p>
        </w:tc>
        <w:tc>
          <w:tcPr>
            <w:tcW w:w="1135" w:type="dxa"/>
            <w:vAlign w:val="center"/>
          </w:tcPr>
          <w:p w14:paraId="74F2A2A9">
            <w:pPr>
              <w:pStyle w:val="41"/>
              <w:jc w:val="center"/>
            </w:pPr>
            <w:r>
              <w:t>mg/kg</w:t>
            </w:r>
          </w:p>
        </w:tc>
        <w:tc>
          <w:tcPr>
            <w:tcW w:w="1285" w:type="dxa"/>
            <w:vAlign w:val="center"/>
          </w:tcPr>
          <w:p w14:paraId="08BCA79E">
            <w:pPr>
              <w:pStyle w:val="41"/>
              <w:jc w:val="center"/>
              <w:rPr>
                <w:rFonts w:hint="eastAsia" w:eastAsia="宋体"/>
                <w:lang w:eastAsia="zh-CN"/>
              </w:rPr>
            </w:pPr>
            <w:r>
              <w:rPr>
                <w:rFonts w:hint="eastAsia"/>
                <w:lang w:val="en-US" w:eastAsia="zh-CN"/>
              </w:rPr>
              <w:t>未检出</w:t>
            </w:r>
          </w:p>
        </w:tc>
        <w:tc>
          <w:tcPr>
            <w:tcW w:w="1261" w:type="dxa"/>
            <w:vAlign w:val="center"/>
          </w:tcPr>
          <w:p w14:paraId="51F29B03">
            <w:pPr>
              <w:pStyle w:val="41"/>
              <w:jc w:val="center"/>
            </w:pPr>
            <w:r>
              <w:rPr>
                <w:rFonts w:hint="eastAsia"/>
              </w:rPr>
              <w:t>65</w:t>
            </w:r>
          </w:p>
        </w:tc>
        <w:tc>
          <w:tcPr>
            <w:tcW w:w="1250" w:type="dxa"/>
            <w:vAlign w:val="center"/>
          </w:tcPr>
          <w:p w14:paraId="79A26514">
            <w:pPr>
              <w:pStyle w:val="41"/>
              <w:jc w:val="center"/>
            </w:pPr>
            <w:r>
              <w:t>达标</w:t>
            </w:r>
          </w:p>
        </w:tc>
      </w:tr>
      <w:tr w14:paraId="7890FD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685C1BA">
            <w:pPr>
              <w:pStyle w:val="41"/>
              <w:jc w:val="center"/>
            </w:pPr>
          </w:p>
        </w:tc>
        <w:tc>
          <w:tcPr>
            <w:tcW w:w="945" w:type="dxa"/>
            <w:vMerge w:val="continue"/>
            <w:vAlign w:val="center"/>
          </w:tcPr>
          <w:p w14:paraId="6A5D558A">
            <w:pPr>
              <w:pStyle w:val="41"/>
              <w:jc w:val="center"/>
            </w:pPr>
          </w:p>
        </w:tc>
        <w:tc>
          <w:tcPr>
            <w:tcW w:w="2085" w:type="dxa"/>
            <w:vAlign w:val="center"/>
          </w:tcPr>
          <w:p w14:paraId="45959D7D">
            <w:pPr>
              <w:pStyle w:val="41"/>
              <w:jc w:val="center"/>
            </w:pPr>
            <w:r>
              <w:t>铬 (六价)</w:t>
            </w:r>
          </w:p>
        </w:tc>
        <w:tc>
          <w:tcPr>
            <w:tcW w:w="1135" w:type="dxa"/>
            <w:vAlign w:val="center"/>
          </w:tcPr>
          <w:p w14:paraId="15361902">
            <w:pPr>
              <w:pStyle w:val="41"/>
              <w:jc w:val="center"/>
            </w:pPr>
            <w:r>
              <w:t>mg/kg</w:t>
            </w:r>
          </w:p>
        </w:tc>
        <w:tc>
          <w:tcPr>
            <w:tcW w:w="1285" w:type="dxa"/>
            <w:vAlign w:val="center"/>
          </w:tcPr>
          <w:p w14:paraId="5E5D0FC9">
            <w:pPr>
              <w:pStyle w:val="41"/>
              <w:jc w:val="center"/>
              <w:rPr>
                <w:rFonts w:hint="default" w:eastAsia="宋体"/>
                <w:lang w:val="en-US" w:eastAsia="zh-CN"/>
              </w:rPr>
            </w:pPr>
            <w:r>
              <w:rPr>
                <w:rFonts w:hint="eastAsia"/>
                <w:lang w:val="en-US" w:eastAsia="zh-CN"/>
              </w:rPr>
              <w:t>0.9</w:t>
            </w:r>
          </w:p>
        </w:tc>
        <w:tc>
          <w:tcPr>
            <w:tcW w:w="1261" w:type="dxa"/>
            <w:vAlign w:val="center"/>
          </w:tcPr>
          <w:p w14:paraId="4E2129E1">
            <w:pPr>
              <w:pStyle w:val="41"/>
              <w:jc w:val="center"/>
            </w:pPr>
            <w:r>
              <w:rPr>
                <w:rFonts w:hint="eastAsia"/>
              </w:rPr>
              <w:t>5.7</w:t>
            </w:r>
          </w:p>
        </w:tc>
        <w:tc>
          <w:tcPr>
            <w:tcW w:w="1250" w:type="dxa"/>
            <w:vAlign w:val="center"/>
          </w:tcPr>
          <w:p w14:paraId="0EE8BD31">
            <w:pPr>
              <w:pStyle w:val="41"/>
              <w:jc w:val="center"/>
            </w:pPr>
            <w:r>
              <w:t>达标</w:t>
            </w:r>
          </w:p>
        </w:tc>
      </w:tr>
      <w:tr w14:paraId="62314F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17998DA">
            <w:pPr>
              <w:pStyle w:val="41"/>
              <w:jc w:val="center"/>
            </w:pPr>
          </w:p>
        </w:tc>
        <w:tc>
          <w:tcPr>
            <w:tcW w:w="945" w:type="dxa"/>
            <w:vMerge w:val="continue"/>
            <w:vAlign w:val="center"/>
          </w:tcPr>
          <w:p w14:paraId="29FB9485">
            <w:pPr>
              <w:pStyle w:val="41"/>
              <w:jc w:val="center"/>
            </w:pPr>
          </w:p>
        </w:tc>
        <w:tc>
          <w:tcPr>
            <w:tcW w:w="2085" w:type="dxa"/>
            <w:vAlign w:val="center"/>
          </w:tcPr>
          <w:p w14:paraId="193747EE">
            <w:pPr>
              <w:pStyle w:val="41"/>
              <w:jc w:val="center"/>
            </w:pPr>
            <w:r>
              <w:t>砷</w:t>
            </w:r>
          </w:p>
        </w:tc>
        <w:tc>
          <w:tcPr>
            <w:tcW w:w="1135" w:type="dxa"/>
            <w:vAlign w:val="center"/>
          </w:tcPr>
          <w:p w14:paraId="21CC72ED">
            <w:pPr>
              <w:pStyle w:val="41"/>
              <w:jc w:val="center"/>
            </w:pPr>
            <w:r>
              <w:t>mg/kg</w:t>
            </w:r>
          </w:p>
        </w:tc>
        <w:tc>
          <w:tcPr>
            <w:tcW w:w="1285" w:type="dxa"/>
            <w:vAlign w:val="center"/>
          </w:tcPr>
          <w:p w14:paraId="40CC3201">
            <w:pPr>
              <w:pStyle w:val="41"/>
              <w:jc w:val="center"/>
              <w:rPr>
                <w:rFonts w:hint="default" w:eastAsia="宋体"/>
                <w:lang w:val="en-US" w:eastAsia="zh-CN"/>
              </w:rPr>
            </w:pPr>
            <w:r>
              <w:rPr>
                <w:rFonts w:hint="eastAsia"/>
                <w:lang w:val="en-US" w:eastAsia="zh-CN"/>
              </w:rPr>
              <w:t>7.06</w:t>
            </w:r>
          </w:p>
        </w:tc>
        <w:tc>
          <w:tcPr>
            <w:tcW w:w="1261" w:type="dxa"/>
            <w:vAlign w:val="center"/>
          </w:tcPr>
          <w:p w14:paraId="53071F06">
            <w:pPr>
              <w:pStyle w:val="41"/>
              <w:jc w:val="center"/>
            </w:pPr>
            <w:r>
              <w:rPr>
                <w:rFonts w:hint="eastAsia"/>
              </w:rPr>
              <w:t>60</w:t>
            </w:r>
          </w:p>
        </w:tc>
        <w:tc>
          <w:tcPr>
            <w:tcW w:w="1250" w:type="dxa"/>
            <w:vAlign w:val="center"/>
          </w:tcPr>
          <w:p w14:paraId="39C7CEA4">
            <w:pPr>
              <w:pStyle w:val="41"/>
              <w:jc w:val="center"/>
            </w:pPr>
            <w:r>
              <w:t>达标</w:t>
            </w:r>
          </w:p>
        </w:tc>
      </w:tr>
      <w:tr w14:paraId="77772B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AEF4333">
            <w:pPr>
              <w:pStyle w:val="41"/>
              <w:jc w:val="center"/>
            </w:pPr>
          </w:p>
        </w:tc>
        <w:tc>
          <w:tcPr>
            <w:tcW w:w="945" w:type="dxa"/>
            <w:vMerge w:val="continue"/>
            <w:vAlign w:val="center"/>
          </w:tcPr>
          <w:p w14:paraId="5B61CFF0">
            <w:pPr>
              <w:pStyle w:val="41"/>
              <w:jc w:val="center"/>
            </w:pPr>
          </w:p>
        </w:tc>
        <w:tc>
          <w:tcPr>
            <w:tcW w:w="2085" w:type="dxa"/>
            <w:vAlign w:val="center"/>
          </w:tcPr>
          <w:p w14:paraId="489652E3">
            <w:pPr>
              <w:pStyle w:val="41"/>
              <w:jc w:val="center"/>
            </w:pPr>
            <w:r>
              <w:t>汞</w:t>
            </w:r>
          </w:p>
        </w:tc>
        <w:tc>
          <w:tcPr>
            <w:tcW w:w="1135" w:type="dxa"/>
            <w:vAlign w:val="center"/>
          </w:tcPr>
          <w:p w14:paraId="18C882E9">
            <w:pPr>
              <w:pStyle w:val="41"/>
              <w:jc w:val="center"/>
            </w:pPr>
            <w:r>
              <w:t>mg/kg</w:t>
            </w:r>
          </w:p>
        </w:tc>
        <w:tc>
          <w:tcPr>
            <w:tcW w:w="1285" w:type="dxa"/>
            <w:vAlign w:val="center"/>
          </w:tcPr>
          <w:p w14:paraId="61264AE2">
            <w:pPr>
              <w:pStyle w:val="41"/>
              <w:jc w:val="center"/>
              <w:rPr>
                <w:rFonts w:hint="default" w:eastAsia="宋体"/>
                <w:lang w:val="en-US" w:eastAsia="zh-CN"/>
              </w:rPr>
            </w:pPr>
            <w:r>
              <w:rPr>
                <w:rFonts w:hint="eastAsia"/>
                <w:lang w:val="en-US" w:eastAsia="zh-CN"/>
              </w:rPr>
              <w:t>0.038</w:t>
            </w:r>
          </w:p>
        </w:tc>
        <w:tc>
          <w:tcPr>
            <w:tcW w:w="1261" w:type="dxa"/>
            <w:vAlign w:val="center"/>
          </w:tcPr>
          <w:p w14:paraId="4BA40AA3">
            <w:pPr>
              <w:pStyle w:val="41"/>
              <w:jc w:val="center"/>
            </w:pPr>
            <w:r>
              <w:rPr>
                <w:rFonts w:hint="eastAsia"/>
              </w:rPr>
              <w:t>38</w:t>
            </w:r>
          </w:p>
        </w:tc>
        <w:tc>
          <w:tcPr>
            <w:tcW w:w="1250" w:type="dxa"/>
            <w:vAlign w:val="center"/>
          </w:tcPr>
          <w:p w14:paraId="7EB3B77D">
            <w:pPr>
              <w:pStyle w:val="41"/>
              <w:jc w:val="center"/>
            </w:pPr>
            <w:r>
              <w:t>达标</w:t>
            </w:r>
          </w:p>
        </w:tc>
      </w:tr>
      <w:tr w14:paraId="6AB72D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0FB9D9C0">
            <w:pPr>
              <w:pStyle w:val="41"/>
              <w:jc w:val="center"/>
            </w:pPr>
          </w:p>
        </w:tc>
        <w:tc>
          <w:tcPr>
            <w:tcW w:w="945" w:type="dxa"/>
            <w:vMerge w:val="continue"/>
            <w:vAlign w:val="center"/>
          </w:tcPr>
          <w:p w14:paraId="44D115EA">
            <w:pPr>
              <w:pStyle w:val="41"/>
              <w:jc w:val="center"/>
            </w:pPr>
          </w:p>
        </w:tc>
        <w:tc>
          <w:tcPr>
            <w:tcW w:w="2085" w:type="dxa"/>
            <w:vAlign w:val="center"/>
          </w:tcPr>
          <w:p w14:paraId="2725EAD7">
            <w:pPr>
              <w:pStyle w:val="41"/>
              <w:jc w:val="center"/>
            </w:pPr>
            <w:r>
              <w:t>四氯化碳</w:t>
            </w:r>
          </w:p>
        </w:tc>
        <w:tc>
          <w:tcPr>
            <w:tcW w:w="1135" w:type="dxa"/>
            <w:vAlign w:val="center"/>
          </w:tcPr>
          <w:p w14:paraId="29017F64">
            <w:pPr>
              <w:pStyle w:val="41"/>
              <w:jc w:val="center"/>
            </w:pPr>
            <w:r>
              <w:t>mg/kg</w:t>
            </w:r>
          </w:p>
        </w:tc>
        <w:tc>
          <w:tcPr>
            <w:tcW w:w="1285" w:type="dxa"/>
            <w:vAlign w:val="center"/>
          </w:tcPr>
          <w:p w14:paraId="581987C4">
            <w:pPr>
              <w:pStyle w:val="41"/>
              <w:jc w:val="center"/>
            </w:pPr>
            <w:r>
              <w:rPr>
                <w:rFonts w:hint="eastAsia"/>
                <w:lang w:val="en-US" w:eastAsia="zh-CN"/>
              </w:rPr>
              <w:t>未检出</w:t>
            </w:r>
          </w:p>
        </w:tc>
        <w:tc>
          <w:tcPr>
            <w:tcW w:w="1261" w:type="dxa"/>
            <w:vAlign w:val="center"/>
          </w:tcPr>
          <w:p w14:paraId="56C69FC7">
            <w:pPr>
              <w:pStyle w:val="41"/>
              <w:jc w:val="center"/>
            </w:pPr>
            <w:r>
              <w:rPr>
                <w:rFonts w:hint="eastAsia"/>
              </w:rPr>
              <w:t>2.8</w:t>
            </w:r>
          </w:p>
        </w:tc>
        <w:tc>
          <w:tcPr>
            <w:tcW w:w="1250" w:type="dxa"/>
            <w:vAlign w:val="center"/>
          </w:tcPr>
          <w:p w14:paraId="221EF4C8">
            <w:pPr>
              <w:pStyle w:val="41"/>
              <w:jc w:val="center"/>
            </w:pPr>
            <w:r>
              <w:t>达标</w:t>
            </w:r>
          </w:p>
        </w:tc>
      </w:tr>
      <w:tr w14:paraId="1D358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44AEFA4">
            <w:pPr>
              <w:pStyle w:val="41"/>
              <w:jc w:val="center"/>
            </w:pPr>
          </w:p>
        </w:tc>
        <w:tc>
          <w:tcPr>
            <w:tcW w:w="945" w:type="dxa"/>
            <w:vMerge w:val="continue"/>
            <w:vAlign w:val="center"/>
          </w:tcPr>
          <w:p w14:paraId="0C0664B7">
            <w:pPr>
              <w:pStyle w:val="41"/>
              <w:jc w:val="center"/>
            </w:pPr>
          </w:p>
        </w:tc>
        <w:tc>
          <w:tcPr>
            <w:tcW w:w="2085" w:type="dxa"/>
            <w:vAlign w:val="center"/>
          </w:tcPr>
          <w:p w14:paraId="7FB4CD95">
            <w:pPr>
              <w:pStyle w:val="41"/>
              <w:jc w:val="center"/>
            </w:pPr>
            <w:r>
              <w:t>氯仿</w:t>
            </w:r>
          </w:p>
        </w:tc>
        <w:tc>
          <w:tcPr>
            <w:tcW w:w="1135" w:type="dxa"/>
            <w:vAlign w:val="center"/>
          </w:tcPr>
          <w:p w14:paraId="5B0B10BF">
            <w:pPr>
              <w:pStyle w:val="41"/>
              <w:jc w:val="center"/>
            </w:pPr>
            <w:r>
              <w:t>mg/kg</w:t>
            </w:r>
          </w:p>
        </w:tc>
        <w:tc>
          <w:tcPr>
            <w:tcW w:w="1285" w:type="dxa"/>
            <w:vAlign w:val="center"/>
          </w:tcPr>
          <w:p w14:paraId="03F5C40F">
            <w:pPr>
              <w:pStyle w:val="41"/>
              <w:jc w:val="center"/>
            </w:pPr>
            <w:r>
              <w:rPr>
                <w:rFonts w:hint="eastAsia"/>
                <w:lang w:val="en-US" w:eastAsia="zh-CN"/>
              </w:rPr>
              <w:t>未检出</w:t>
            </w:r>
          </w:p>
        </w:tc>
        <w:tc>
          <w:tcPr>
            <w:tcW w:w="1261" w:type="dxa"/>
            <w:vAlign w:val="center"/>
          </w:tcPr>
          <w:p w14:paraId="5C526A1C">
            <w:pPr>
              <w:pStyle w:val="41"/>
              <w:jc w:val="center"/>
            </w:pPr>
            <w:r>
              <w:rPr>
                <w:rFonts w:hint="eastAsia"/>
              </w:rPr>
              <w:t>0.9</w:t>
            </w:r>
          </w:p>
        </w:tc>
        <w:tc>
          <w:tcPr>
            <w:tcW w:w="1250" w:type="dxa"/>
            <w:vAlign w:val="center"/>
          </w:tcPr>
          <w:p w14:paraId="348A6111">
            <w:pPr>
              <w:pStyle w:val="41"/>
              <w:jc w:val="center"/>
            </w:pPr>
            <w:r>
              <w:t>达标</w:t>
            </w:r>
          </w:p>
        </w:tc>
      </w:tr>
      <w:tr w14:paraId="7E58B2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8071D99">
            <w:pPr>
              <w:pStyle w:val="41"/>
              <w:jc w:val="center"/>
            </w:pPr>
          </w:p>
        </w:tc>
        <w:tc>
          <w:tcPr>
            <w:tcW w:w="945" w:type="dxa"/>
            <w:vMerge w:val="continue"/>
            <w:vAlign w:val="center"/>
          </w:tcPr>
          <w:p w14:paraId="461161D1">
            <w:pPr>
              <w:pStyle w:val="41"/>
              <w:jc w:val="center"/>
            </w:pPr>
          </w:p>
        </w:tc>
        <w:tc>
          <w:tcPr>
            <w:tcW w:w="2085" w:type="dxa"/>
            <w:vAlign w:val="center"/>
          </w:tcPr>
          <w:p w14:paraId="36BE062B">
            <w:pPr>
              <w:pStyle w:val="41"/>
              <w:jc w:val="center"/>
            </w:pPr>
            <w:r>
              <w:t>氯甲烷</w:t>
            </w:r>
          </w:p>
        </w:tc>
        <w:tc>
          <w:tcPr>
            <w:tcW w:w="1135" w:type="dxa"/>
            <w:vAlign w:val="center"/>
          </w:tcPr>
          <w:p w14:paraId="06F0940B">
            <w:pPr>
              <w:pStyle w:val="41"/>
              <w:jc w:val="center"/>
            </w:pPr>
            <w:r>
              <w:t>mg/kg</w:t>
            </w:r>
          </w:p>
        </w:tc>
        <w:tc>
          <w:tcPr>
            <w:tcW w:w="1285" w:type="dxa"/>
            <w:vAlign w:val="center"/>
          </w:tcPr>
          <w:p w14:paraId="277C7D6E">
            <w:pPr>
              <w:pStyle w:val="41"/>
              <w:jc w:val="center"/>
            </w:pPr>
            <w:r>
              <w:rPr>
                <w:rFonts w:hint="eastAsia"/>
                <w:lang w:val="en-US" w:eastAsia="zh-CN"/>
              </w:rPr>
              <w:t>未检出</w:t>
            </w:r>
          </w:p>
        </w:tc>
        <w:tc>
          <w:tcPr>
            <w:tcW w:w="1261" w:type="dxa"/>
            <w:vAlign w:val="center"/>
          </w:tcPr>
          <w:p w14:paraId="2C5905DB">
            <w:pPr>
              <w:pStyle w:val="41"/>
              <w:jc w:val="center"/>
            </w:pPr>
            <w:r>
              <w:rPr>
                <w:rFonts w:hint="eastAsia"/>
              </w:rPr>
              <w:t>37</w:t>
            </w:r>
          </w:p>
        </w:tc>
        <w:tc>
          <w:tcPr>
            <w:tcW w:w="1250" w:type="dxa"/>
            <w:vAlign w:val="center"/>
          </w:tcPr>
          <w:p w14:paraId="3B3CA2A4">
            <w:pPr>
              <w:pStyle w:val="41"/>
              <w:jc w:val="center"/>
            </w:pPr>
            <w:r>
              <w:t>达标</w:t>
            </w:r>
          </w:p>
        </w:tc>
      </w:tr>
      <w:tr w14:paraId="74BF78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37CBB13">
            <w:pPr>
              <w:pStyle w:val="41"/>
              <w:jc w:val="center"/>
            </w:pPr>
          </w:p>
        </w:tc>
        <w:tc>
          <w:tcPr>
            <w:tcW w:w="945" w:type="dxa"/>
            <w:vMerge w:val="continue"/>
            <w:vAlign w:val="center"/>
          </w:tcPr>
          <w:p w14:paraId="1EB098B1">
            <w:pPr>
              <w:pStyle w:val="41"/>
              <w:jc w:val="center"/>
            </w:pPr>
          </w:p>
        </w:tc>
        <w:tc>
          <w:tcPr>
            <w:tcW w:w="2085" w:type="dxa"/>
            <w:vAlign w:val="center"/>
          </w:tcPr>
          <w:p w14:paraId="65155A43">
            <w:pPr>
              <w:pStyle w:val="41"/>
              <w:jc w:val="center"/>
            </w:pPr>
            <w:r>
              <w:t>1, 1-二氯乙烷</w:t>
            </w:r>
          </w:p>
        </w:tc>
        <w:tc>
          <w:tcPr>
            <w:tcW w:w="1135" w:type="dxa"/>
            <w:vAlign w:val="center"/>
          </w:tcPr>
          <w:p w14:paraId="54C25BBC">
            <w:pPr>
              <w:pStyle w:val="41"/>
              <w:jc w:val="center"/>
            </w:pPr>
            <w:r>
              <w:t>mg/kg</w:t>
            </w:r>
          </w:p>
        </w:tc>
        <w:tc>
          <w:tcPr>
            <w:tcW w:w="1285" w:type="dxa"/>
            <w:vAlign w:val="center"/>
          </w:tcPr>
          <w:p w14:paraId="633F3A6A">
            <w:pPr>
              <w:pStyle w:val="41"/>
              <w:jc w:val="center"/>
            </w:pPr>
            <w:r>
              <w:rPr>
                <w:rFonts w:hint="eastAsia"/>
                <w:lang w:val="en-US" w:eastAsia="zh-CN"/>
              </w:rPr>
              <w:t>未检出</w:t>
            </w:r>
          </w:p>
        </w:tc>
        <w:tc>
          <w:tcPr>
            <w:tcW w:w="1261" w:type="dxa"/>
            <w:vAlign w:val="center"/>
          </w:tcPr>
          <w:p w14:paraId="3A19D1E6">
            <w:pPr>
              <w:pStyle w:val="41"/>
              <w:jc w:val="center"/>
            </w:pPr>
            <w:r>
              <w:rPr>
                <w:rFonts w:hint="eastAsia"/>
              </w:rPr>
              <w:t>9</w:t>
            </w:r>
          </w:p>
        </w:tc>
        <w:tc>
          <w:tcPr>
            <w:tcW w:w="1250" w:type="dxa"/>
            <w:vAlign w:val="center"/>
          </w:tcPr>
          <w:p w14:paraId="24E6107F">
            <w:pPr>
              <w:pStyle w:val="41"/>
              <w:jc w:val="center"/>
            </w:pPr>
            <w:r>
              <w:t>达标</w:t>
            </w:r>
          </w:p>
        </w:tc>
      </w:tr>
      <w:tr w14:paraId="05EEB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33A44EE">
            <w:pPr>
              <w:pStyle w:val="41"/>
              <w:jc w:val="center"/>
            </w:pPr>
          </w:p>
        </w:tc>
        <w:tc>
          <w:tcPr>
            <w:tcW w:w="945" w:type="dxa"/>
            <w:vMerge w:val="continue"/>
            <w:vAlign w:val="center"/>
          </w:tcPr>
          <w:p w14:paraId="02A73ED1">
            <w:pPr>
              <w:pStyle w:val="41"/>
              <w:jc w:val="center"/>
            </w:pPr>
          </w:p>
        </w:tc>
        <w:tc>
          <w:tcPr>
            <w:tcW w:w="2085" w:type="dxa"/>
            <w:vAlign w:val="center"/>
          </w:tcPr>
          <w:p w14:paraId="2CD81F12">
            <w:pPr>
              <w:pStyle w:val="41"/>
              <w:jc w:val="center"/>
            </w:pPr>
            <w:r>
              <w:t>1,2-二氯乙烷</w:t>
            </w:r>
          </w:p>
        </w:tc>
        <w:tc>
          <w:tcPr>
            <w:tcW w:w="1135" w:type="dxa"/>
            <w:vAlign w:val="center"/>
          </w:tcPr>
          <w:p w14:paraId="4A0EDC85">
            <w:pPr>
              <w:pStyle w:val="41"/>
              <w:jc w:val="center"/>
            </w:pPr>
            <w:r>
              <w:t>mg/kg</w:t>
            </w:r>
          </w:p>
        </w:tc>
        <w:tc>
          <w:tcPr>
            <w:tcW w:w="1285" w:type="dxa"/>
            <w:vAlign w:val="center"/>
          </w:tcPr>
          <w:p w14:paraId="1ECC16D0">
            <w:pPr>
              <w:pStyle w:val="41"/>
              <w:jc w:val="center"/>
            </w:pPr>
            <w:r>
              <w:rPr>
                <w:rFonts w:hint="eastAsia"/>
                <w:lang w:val="en-US" w:eastAsia="zh-CN"/>
              </w:rPr>
              <w:t>未检出</w:t>
            </w:r>
          </w:p>
        </w:tc>
        <w:tc>
          <w:tcPr>
            <w:tcW w:w="1261" w:type="dxa"/>
            <w:vAlign w:val="center"/>
          </w:tcPr>
          <w:p w14:paraId="6A1A6CC2">
            <w:pPr>
              <w:pStyle w:val="41"/>
              <w:jc w:val="center"/>
            </w:pPr>
            <w:r>
              <w:rPr>
                <w:rFonts w:hint="eastAsia"/>
              </w:rPr>
              <w:t>5</w:t>
            </w:r>
          </w:p>
        </w:tc>
        <w:tc>
          <w:tcPr>
            <w:tcW w:w="1250" w:type="dxa"/>
            <w:vAlign w:val="center"/>
          </w:tcPr>
          <w:p w14:paraId="578E5EA5">
            <w:pPr>
              <w:pStyle w:val="41"/>
              <w:jc w:val="center"/>
            </w:pPr>
            <w:r>
              <w:t>达标</w:t>
            </w:r>
          </w:p>
        </w:tc>
      </w:tr>
      <w:tr w14:paraId="38F729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EFF68CD">
            <w:pPr>
              <w:pStyle w:val="41"/>
              <w:jc w:val="center"/>
            </w:pPr>
          </w:p>
        </w:tc>
        <w:tc>
          <w:tcPr>
            <w:tcW w:w="945" w:type="dxa"/>
            <w:vMerge w:val="continue"/>
            <w:vAlign w:val="center"/>
          </w:tcPr>
          <w:p w14:paraId="4762EBCF">
            <w:pPr>
              <w:pStyle w:val="41"/>
              <w:jc w:val="center"/>
            </w:pPr>
          </w:p>
        </w:tc>
        <w:tc>
          <w:tcPr>
            <w:tcW w:w="2085" w:type="dxa"/>
            <w:vAlign w:val="center"/>
          </w:tcPr>
          <w:p w14:paraId="11BA0F84">
            <w:pPr>
              <w:pStyle w:val="41"/>
              <w:jc w:val="center"/>
            </w:pPr>
            <w:r>
              <w:t>1, 1-二氯乙烯</w:t>
            </w:r>
          </w:p>
        </w:tc>
        <w:tc>
          <w:tcPr>
            <w:tcW w:w="1135" w:type="dxa"/>
            <w:vAlign w:val="center"/>
          </w:tcPr>
          <w:p w14:paraId="06EDCE97">
            <w:pPr>
              <w:pStyle w:val="41"/>
              <w:jc w:val="center"/>
            </w:pPr>
            <w:r>
              <w:t>mg/kg</w:t>
            </w:r>
          </w:p>
        </w:tc>
        <w:tc>
          <w:tcPr>
            <w:tcW w:w="1285" w:type="dxa"/>
            <w:vAlign w:val="center"/>
          </w:tcPr>
          <w:p w14:paraId="70748EBE">
            <w:pPr>
              <w:pStyle w:val="41"/>
              <w:jc w:val="center"/>
            </w:pPr>
            <w:r>
              <w:rPr>
                <w:rFonts w:hint="eastAsia"/>
                <w:lang w:val="en-US" w:eastAsia="zh-CN"/>
              </w:rPr>
              <w:t>未检出</w:t>
            </w:r>
          </w:p>
        </w:tc>
        <w:tc>
          <w:tcPr>
            <w:tcW w:w="1261" w:type="dxa"/>
            <w:vAlign w:val="center"/>
          </w:tcPr>
          <w:p w14:paraId="70DF80CE">
            <w:pPr>
              <w:pStyle w:val="41"/>
              <w:jc w:val="center"/>
            </w:pPr>
            <w:r>
              <w:rPr>
                <w:rFonts w:hint="eastAsia"/>
              </w:rPr>
              <w:t>66</w:t>
            </w:r>
          </w:p>
        </w:tc>
        <w:tc>
          <w:tcPr>
            <w:tcW w:w="1250" w:type="dxa"/>
            <w:vAlign w:val="center"/>
          </w:tcPr>
          <w:p w14:paraId="3BD9D200">
            <w:pPr>
              <w:pStyle w:val="41"/>
              <w:jc w:val="center"/>
            </w:pPr>
            <w:r>
              <w:t>达标</w:t>
            </w:r>
          </w:p>
        </w:tc>
      </w:tr>
      <w:tr w14:paraId="21FDAF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385D427">
            <w:pPr>
              <w:pStyle w:val="41"/>
              <w:jc w:val="center"/>
            </w:pPr>
          </w:p>
        </w:tc>
        <w:tc>
          <w:tcPr>
            <w:tcW w:w="945" w:type="dxa"/>
            <w:vMerge w:val="continue"/>
            <w:vAlign w:val="center"/>
          </w:tcPr>
          <w:p w14:paraId="1D4B2DFA">
            <w:pPr>
              <w:pStyle w:val="41"/>
              <w:jc w:val="center"/>
            </w:pPr>
          </w:p>
        </w:tc>
        <w:tc>
          <w:tcPr>
            <w:tcW w:w="2085" w:type="dxa"/>
            <w:vAlign w:val="center"/>
          </w:tcPr>
          <w:p w14:paraId="3E1B0EC6">
            <w:pPr>
              <w:pStyle w:val="41"/>
              <w:jc w:val="center"/>
            </w:pPr>
            <w:r>
              <w:t>顺- 1,2-二氯乙烯</w:t>
            </w:r>
          </w:p>
        </w:tc>
        <w:tc>
          <w:tcPr>
            <w:tcW w:w="1135" w:type="dxa"/>
            <w:vAlign w:val="center"/>
          </w:tcPr>
          <w:p w14:paraId="58882E90">
            <w:pPr>
              <w:pStyle w:val="41"/>
              <w:jc w:val="center"/>
            </w:pPr>
            <w:r>
              <w:t>mg/kg</w:t>
            </w:r>
          </w:p>
        </w:tc>
        <w:tc>
          <w:tcPr>
            <w:tcW w:w="1285" w:type="dxa"/>
            <w:vAlign w:val="center"/>
          </w:tcPr>
          <w:p w14:paraId="5F42C58F">
            <w:pPr>
              <w:pStyle w:val="41"/>
              <w:jc w:val="center"/>
            </w:pPr>
            <w:r>
              <w:rPr>
                <w:rFonts w:hint="eastAsia"/>
                <w:lang w:val="en-US" w:eastAsia="zh-CN"/>
              </w:rPr>
              <w:t>未检出</w:t>
            </w:r>
          </w:p>
        </w:tc>
        <w:tc>
          <w:tcPr>
            <w:tcW w:w="1261" w:type="dxa"/>
            <w:vAlign w:val="center"/>
          </w:tcPr>
          <w:p w14:paraId="198EE9D2">
            <w:pPr>
              <w:pStyle w:val="41"/>
              <w:jc w:val="center"/>
            </w:pPr>
            <w:r>
              <w:rPr>
                <w:rFonts w:hint="eastAsia"/>
              </w:rPr>
              <w:t>596</w:t>
            </w:r>
          </w:p>
        </w:tc>
        <w:tc>
          <w:tcPr>
            <w:tcW w:w="1250" w:type="dxa"/>
            <w:vAlign w:val="center"/>
          </w:tcPr>
          <w:p w14:paraId="29A4CEC5">
            <w:pPr>
              <w:pStyle w:val="41"/>
              <w:jc w:val="center"/>
            </w:pPr>
            <w:r>
              <w:t>达标</w:t>
            </w:r>
          </w:p>
        </w:tc>
      </w:tr>
      <w:tr w14:paraId="598762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D422CBC">
            <w:pPr>
              <w:pStyle w:val="41"/>
              <w:jc w:val="center"/>
            </w:pPr>
          </w:p>
        </w:tc>
        <w:tc>
          <w:tcPr>
            <w:tcW w:w="945" w:type="dxa"/>
            <w:vMerge w:val="continue"/>
            <w:vAlign w:val="center"/>
          </w:tcPr>
          <w:p w14:paraId="6B31F028">
            <w:pPr>
              <w:pStyle w:val="41"/>
              <w:jc w:val="center"/>
            </w:pPr>
          </w:p>
        </w:tc>
        <w:tc>
          <w:tcPr>
            <w:tcW w:w="2085" w:type="dxa"/>
            <w:vAlign w:val="center"/>
          </w:tcPr>
          <w:p w14:paraId="605E1B2C">
            <w:pPr>
              <w:pStyle w:val="41"/>
              <w:jc w:val="center"/>
            </w:pPr>
            <w:r>
              <w:t>反- 1,2-二氯乙烯</w:t>
            </w:r>
          </w:p>
        </w:tc>
        <w:tc>
          <w:tcPr>
            <w:tcW w:w="1135" w:type="dxa"/>
            <w:vAlign w:val="center"/>
          </w:tcPr>
          <w:p w14:paraId="4EB1AD27">
            <w:pPr>
              <w:pStyle w:val="41"/>
              <w:jc w:val="center"/>
            </w:pPr>
            <w:r>
              <w:t>mg/kg</w:t>
            </w:r>
          </w:p>
        </w:tc>
        <w:tc>
          <w:tcPr>
            <w:tcW w:w="1285" w:type="dxa"/>
            <w:vAlign w:val="center"/>
          </w:tcPr>
          <w:p w14:paraId="6837F39C">
            <w:pPr>
              <w:pStyle w:val="41"/>
              <w:jc w:val="center"/>
            </w:pPr>
            <w:r>
              <w:rPr>
                <w:rFonts w:hint="eastAsia"/>
                <w:lang w:val="en-US" w:eastAsia="zh-CN"/>
              </w:rPr>
              <w:t>未检出</w:t>
            </w:r>
          </w:p>
        </w:tc>
        <w:tc>
          <w:tcPr>
            <w:tcW w:w="1261" w:type="dxa"/>
            <w:vAlign w:val="center"/>
          </w:tcPr>
          <w:p w14:paraId="56257C47">
            <w:pPr>
              <w:pStyle w:val="41"/>
              <w:jc w:val="center"/>
            </w:pPr>
            <w:r>
              <w:rPr>
                <w:rFonts w:hint="eastAsia"/>
              </w:rPr>
              <w:t>54</w:t>
            </w:r>
          </w:p>
        </w:tc>
        <w:tc>
          <w:tcPr>
            <w:tcW w:w="1250" w:type="dxa"/>
            <w:vAlign w:val="center"/>
          </w:tcPr>
          <w:p w14:paraId="0A40550B">
            <w:pPr>
              <w:pStyle w:val="41"/>
              <w:jc w:val="center"/>
            </w:pPr>
            <w:r>
              <w:t>达标</w:t>
            </w:r>
          </w:p>
        </w:tc>
      </w:tr>
      <w:tr w14:paraId="769B1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5F4B727E">
            <w:pPr>
              <w:pStyle w:val="41"/>
              <w:jc w:val="center"/>
            </w:pPr>
          </w:p>
        </w:tc>
        <w:tc>
          <w:tcPr>
            <w:tcW w:w="945" w:type="dxa"/>
            <w:vMerge w:val="continue"/>
            <w:vAlign w:val="center"/>
          </w:tcPr>
          <w:p w14:paraId="3F8355C4">
            <w:pPr>
              <w:pStyle w:val="41"/>
              <w:jc w:val="center"/>
            </w:pPr>
          </w:p>
        </w:tc>
        <w:tc>
          <w:tcPr>
            <w:tcW w:w="2085" w:type="dxa"/>
            <w:vAlign w:val="center"/>
          </w:tcPr>
          <w:p w14:paraId="4CD0FACC">
            <w:pPr>
              <w:pStyle w:val="41"/>
              <w:jc w:val="center"/>
            </w:pPr>
            <w:r>
              <w:t>二氯甲烷</w:t>
            </w:r>
          </w:p>
        </w:tc>
        <w:tc>
          <w:tcPr>
            <w:tcW w:w="1135" w:type="dxa"/>
            <w:vAlign w:val="center"/>
          </w:tcPr>
          <w:p w14:paraId="161E8060">
            <w:pPr>
              <w:pStyle w:val="41"/>
              <w:jc w:val="center"/>
            </w:pPr>
            <w:r>
              <w:t>mg/kg</w:t>
            </w:r>
          </w:p>
        </w:tc>
        <w:tc>
          <w:tcPr>
            <w:tcW w:w="1285" w:type="dxa"/>
            <w:vAlign w:val="center"/>
          </w:tcPr>
          <w:p w14:paraId="41037D9C">
            <w:pPr>
              <w:pStyle w:val="41"/>
              <w:jc w:val="center"/>
            </w:pPr>
            <w:r>
              <w:rPr>
                <w:rFonts w:hint="eastAsia"/>
                <w:lang w:val="en-US" w:eastAsia="zh-CN"/>
              </w:rPr>
              <w:t>未检出</w:t>
            </w:r>
          </w:p>
        </w:tc>
        <w:tc>
          <w:tcPr>
            <w:tcW w:w="1261" w:type="dxa"/>
            <w:vAlign w:val="center"/>
          </w:tcPr>
          <w:p w14:paraId="235A4035">
            <w:pPr>
              <w:pStyle w:val="41"/>
              <w:jc w:val="center"/>
            </w:pPr>
            <w:r>
              <w:rPr>
                <w:rFonts w:hint="eastAsia"/>
              </w:rPr>
              <w:t>616</w:t>
            </w:r>
          </w:p>
        </w:tc>
        <w:tc>
          <w:tcPr>
            <w:tcW w:w="1250" w:type="dxa"/>
            <w:vAlign w:val="center"/>
          </w:tcPr>
          <w:p w14:paraId="7ECB07D0">
            <w:pPr>
              <w:pStyle w:val="41"/>
              <w:jc w:val="center"/>
            </w:pPr>
            <w:r>
              <w:t>达标</w:t>
            </w:r>
          </w:p>
        </w:tc>
      </w:tr>
      <w:tr w14:paraId="43D4F2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B767CD1">
            <w:pPr>
              <w:pStyle w:val="41"/>
              <w:jc w:val="center"/>
            </w:pPr>
          </w:p>
        </w:tc>
        <w:tc>
          <w:tcPr>
            <w:tcW w:w="945" w:type="dxa"/>
            <w:vMerge w:val="continue"/>
            <w:vAlign w:val="center"/>
          </w:tcPr>
          <w:p w14:paraId="452884DC">
            <w:pPr>
              <w:pStyle w:val="41"/>
              <w:jc w:val="center"/>
            </w:pPr>
          </w:p>
        </w:tc>
        <w:tc>
          <w:tcPr>
            <w:tcW w:w="2085" w:type="dxa"/>
            <w:vAlign w:val="center"/>
          </w:tcPr>
          <w:p w14:paraId="3AB2833F">
            <w:pPr>
              <w:pStyle w:val="41"/>
              <w:jc w:val="center"/>
            </w:pPr>
            <w:r>
              <w:t>1,2-二氯丙烷</w:t>
            </w:r>
          </w:p>
        </w:tc>
        <w:tc>
          <w:tcPr>
            <w:tcW w:w="1135" w:type="dxa"/>
            <w:vAlign w:val="center"/>
          </w:tcPr>
          <w:p w14:paraId="61209878">
            <w:pPr>
              <w:pStyle w:val="41"/>
              <w:jc w:val="center"/>
            </w:pPr>
            <w:r>
              <w:t>mg/kg</w:t>
            </w:r>
          </w:p>
        </w:tc>
        <w:tc>
          <w:tcPr>
            <w:tcW w:w="1285" w:type="dxa"/>
            <w:vAlign w:val="center"/>
          </w:tcPr>
          <w:p w14:paraId="69F7FF10">
            <w:pPr>
              <w:pStyle w:val="41"/>
              <w:jc w:val="center"/>
            </w:pPr>
            <w:r>
              <w:rPr>
                <w:rFonts w:hint="eastAsia"/>
                <w:lang w:val="en-US" w:eastAsia="zh-CN"/>
              </w:rPr>
              <w:t>未检出</w:t>
            </w:r>
          </w:p>
        </w:tc>
        <w:tc>
          <w:tcPr>
            <w:tcW w:w="1261" w:type="dxa"/>
            <w:vAlign w:val="center"/>
          </w:tcPr>
          <w:p w14:paraId="6B16C134">
            <w:pPr>
              <w:pStyle w:val="41"/>
              <w:jc w:val="center"/>
            </w:pPr>
            <w:r>
              <w:rPr>
                <w:rFonts w:hint="eastAsia"/>
              </w:rPr>
              <w:t>5</w:t>
            </w:r>
          </w:p>
        </w:tc>
        <w:tc>
          <w:tcPr>
            <w:tcW w:w="1250" w:type="dxa"/>
            <w:vAlign w:val="center"/>
          </w:tcPr>
          <w:p w14:paraId="0E4B7BE2">
            <w:pPr>
              <w:pStyle w:val="41"/>
              <w:jc w:val="center"/>
            </w:pPr>
            <w:r>
              <w:t>达标</w:t>
            </w:r>
          </w:p>
        </w:tc>
      </w:tr>
      <w:tr w14:paraId="4074BF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009263D">
            <w:pPr>
              <w:pStyle w:val="41"/>
              <w:jc w:val="center"/>
            </w:pPr>
          </w:p>
        </w:tc>
        <w:tc>
          <w:tcPr>
            <w:tcW w:w="945" w:type="dxa"/>
            <w:vMerge w:val="continue"/>
            <w:vAlign w:val="center"/>
          </w:tcPr>
          <w:p w14:paraId="7AD41AEE">
            <w:pPr>
              <w:pStyle w:val="41"/>
              <w:jc w:val="center"/>
            </w:pPr>
          </w:p>
        </w:tc>
        <w:tc>
          <w:tcPr>
            <w:tcW w:w="2085" w:type="dxa"/>
            <w:vAlign w:val="center"/>
          </w:tcPr>
          <w:p w14:paraId="2E301ADF">
            <w:pPr>
              <w:pStyle w:val="41"/>
              <w:jc w:val="center"/>
            </w:pPr>
            <w:r>
              <w:t>1, 1, 1,2- 四氯乙烷</w:t>
            </w:r>
          </w:p>
        </w:tc>
        <w:tc>
          <w:tcPr>
            <w:tcW w:w="1135" w:type="dxa"/>
            <w:vAlign w:val="center"/>
          </w:tcPr>
          <w:p w14:paraId="26EBDDC2">
            <w:pPr>
              <w:pStyle w:val="41"/>
              <w:jc w:val="center"/>
            </w:pPr>
            <w:r>
              <w:t>mg/kg</w:t>
            </w:r>
          </w:p>
        </w:tc>
        <w:tc>
          <w:tcPr>
            <w:tcW w:w="1285" w:type="dxa"/>
            <w:vAlign w:val="center"/>
          </w:tcPr>
          <w:p w14:paraId="69BDC398">
            <w:pPr>
              <w:pStyle w:val="41"/>
              <w:jc w:val="center"/>
            </w:pPr>
            <w:r>
              <w:rPr>
                <w:rFonts w:hint="eastAsia"/>
                <w:lang w:val="en-US" w:eastAsia="zh-CN"/>
              </w:rPr>
              <w:t>未检出</w:t>
            </w:r>
          </w:p>
        </w:tc>
        <w:tc>
          <w:tcPr>
            <w:tcW w:w="1261" w:type="dxa"/>
            <w:vAlign w:val="center"/>
          </w:tcPr>
          <w:p w14:paraId="1A1A9592">
            <w:pPr>
              <w:pStyle w:val="41"/>
              <w:jc w:val="center"/>
            </w:pPr>
            <w:r>
              <w:rPr>
                <w:rFonts w:hint="eastAsia"/>
              </w:rPr>
              <w:t>10</w:t>
            </w:r>
          </w:p>
        </w:tc>
        <w:tc>
          <w:tcPr>
            <w:tcW w:w="1250" w:type="dxa"/>
            <w:vAlign w:val="center"/>
          </w:tcPr>
          <w:p w14:paraId="68100B6E">
            <w:pPr>
              <w:pStyle w:val="41"/>
              <w:jc w:val="center"/>
            </w:pPr>
            <w:r>
              <w:t>达标</w:t>
            </w:r>
          </w:p>
        </w:tc>
      </w:tr>
      <w:tr w14:paraId="19E970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0C94C47">
            <w:pPr>
              <w:pStyle w:val="41"/>
              <w:jc w:val="center"/>
            </w:pPr>
          </w:p>
        </w:tc>
        <w:tc>
          <w:tcPr>
            <w:tcW w:w="945" w:type="dxa"/>
            <w:vMerge w:val="continue"/>
            <w:vAlign w:val="center"/>
          </w:tcPr>
          <w:p w14:paraId="2DDE23DA">
            <w:pPr>
              <w:pStyle w:val="41"/>
              <w:jc w:val="center"/>
            </w:pPr>
          </w:p>
        </w:tc>
        <w:tc>
          <w:tcPr>
            <w:tcW w:w="2085" w:type="dxa"/>
            <w:vAlign w:val="center"/>
          </w:tcPr>
          <w:p w14:paraId="6038A70D">
            <w:pPr>
              <w:pStyle w:val="41"/>
              <w:jc w:val="center"/>
            </w:pPr>
            <w:r>
              <w:t>1, 1,2,2- 四氯乙烷</w:t>
            </w:r>
          </w:p>
        </w:tc>
        <w:tc>
          <w:tcPr>
            <w:tcW w:w="1135" w:type="dxa"/>
            <w:vAlign w:val="center"/>
          </w:tcPr>
          <w:p w14:paraId="181F9202">
            <w:pPr>
              <w:pStyle w:val="41"/>
              <w:jc w:val="center"/>
            </w:pPr>
            <w:r>
              <w:t>mg/kg</w:t>
            </w:r>
          </w:p>
        </w:tc>
        <w:tc>
          <w:tcPr>
            <w:tcW w:w="1285" w:type="dxa"/>
            <w:vAlign w:val="center"/>
          </w:tcPr>
          <w:p w14:paraId="6A65A01F">
            <w:pPr>
              <w:pStyle w:val="41"/>
              <w:jc w:val="center"/>
            </w:pPr>
            <w:r>
              <w:rPr>
                <w:rFonts w:hint="eastAsia"/>
                <w:lang w:val="en-US" w:eastAsia="zh-CN"/>
              </w:rPr>
              <w:t>未检出</w:t>
            </w:r>
          </w:p>
        </w:tc>
        <w:tc>
          <w:tcPr>
            <w:tcW w:w="1261" w:type="dxa"/>
            <w:vAlign w:val="center"/>
          </w:tcPr>
          <w:p w14:paraId="69F85478">
            <w:pPr>
              <w:pStyle w:val="41"/>
              <w:jc w:val="center"/>
            </w:pPr>
            <w:r>
              <w:rPr>
                <w:rFonts w:hint="eastAsia"/>
              </w:rPr>
              <w:t>6.8</w:t>
            </w:r>
          </w:p>
        </w:tc>
        <w:tc>
          <w:tcPr>
            <w:tcW w:w="1250" w:type="dxa"/>
            <w:vAlign w:val="center"/>
          </w:tcPr>
          <w:p w14:paraId="7654419D">
            <w:pPr>
              <w:pStyle w:val="41"/>
              <w:jc w:val="center"/>
            </w:pPr>
            <w:r>
              <w:t>达标</w:t>
            </w:r>
          </w:p>
        </w:tc>
      </w:tr>
      <w:tr w14:paraId="137831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622AAABE">
            <w:pPr>
              <w:pStyle w:val="41"/>
              <w:jc w:val="center"/>
            </w:pPr>
          </w:p>
        </w:tc>
        <w:tc>
          <w:tcPr>
            <w:tcW w:w="945" w:type="dxa"/>
            <w:vMerge w:val="continue"/>
            <w:vAlign w:val="center"/>
          </w:tcPr>
          <w:p w14:paraId="70D2648E">
            <w:pPr>
              <w:pStyle w:val="41"/>
              <w:jc w:val="center"/>
            </w:pPr>
          </w:p>
        </w:tc>
        <w:tc>
          <w:tcPr>
            <w:tcW w:w="2085" w:type="dxa"/>
            <w:vAlign w:val="center"/>
          </w:tcPr>
          <w:p w14:paraId="10296461">
            <w:pPr>
              <w:pStyle w:val="41"/>
              <w:jc w:val="center"/>
            </w:pPr>
            <w:r>
              <w:t>四氯乙烯</w:t>
            </w:r>
          </w:p>
        </w:tc>
        <w:tc>
          <w:tcPr>
            <w:tcW w:w="1135" w:type="dxa"/>
            <w:vAlign w:val="center"/>
          </w:tcPr>
          <w:p w14:paraId="303CBF79">
            <w:pPr>
              <w:pStyle w:val="41"/>
              <w:jc w:val="center"/>
            </w:pPr>
            <w:r>
              <w:t>mg/kg</w:t>
            </w:r>
          </w:p>
        </w:tc>
        <w:tc>
          <w:tcPr>
            <w:tcW w:w="1285" w:type="dxa"/>
            <w:vAlign w:val="center"/>
          </w:tcPr>
          <w:p w14:paraId="2EBBE8D0">
            <w:pPr>
              <w:pStyle w:val="41"/>
              <w:jc w:val="center"/>
            </w:pPr>
            <w:r>
              <w:rPr>
                <w:rFonts w:hint="eastAsia"/>
                <w:lang w:val="en-US" w:eastAsia="zh-CN"/>
              </w:rPr>
              <w:t>未检出</w:t>
            </w:r>
          </w:p>
        </w:tc>
        <w:tc>
          <w:tcPr>
            <w:tcW w:w="1261" w:type="dxa"/>
            <w:vAlign w:val="center"/>
          </w:tcPr>
          <w:p w14:paraId="46CCE996">
            <w:pPr>
              <w:pStyle w:val="41"/>
              <w:jc w:val="center"/>
            </w:pPr>
            <w:r>
              <w:rPr>
                <w:rFonts w:hint="eastAsia"/>
              </w:rPr>
              <w:t>53</w:t>
            </w:r>
          </w:p>
        </w:tc>
        <w:tc>
          <w:tcPr>
            <w:tcW w:w="1250" w:type="dxa"/>
            <w:vAlign w:val="center"/>
          </w:tcPr>
          <w:p w14:paraId="2D24BAF9">
            <w:pPr>
              <w:pStyle w:val="41"/>
              <w:jc w:val="center"/>
            </w:pPr>
            <w:r>
              <w:t>达标</w:t>
            </w:r>
          </w:p>
        </w:tc>
      </w:tr>
      <w:tr w14:paraId="5B589D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0EC0699A">
            <w:pPr>
              <w:pStyle w:val="41"/>
              <w:jc w:val="center"/>
            </w:pPr>
          </w:p>
        </w:tc>
        <w:tc>
          <w:tcPr>
            <w:tcW w:w="945" w:type="dxa"/>
            <w:vMerge w:val="continue"/>
            <w:vAlign w:val="center"/>
          </w:tcPr>
          <w:p w14:paraId="382621B4">
            <w:pPr>
              <w:pStyle w:val="41"/>
              <w:jc w:val="center"/>
            </w:pPr>
          </w:p>
        </w:tc>
        <w:tc>
          <w:tcPr>
            <w:tcW w:w="2085" w:type="dxa"/>
            <w:vAlign w:val="center"/>
          </w:tcPr>
          <w:p w14:paraId="17FFC682">
            <w:pPr>
              <w:pStyle w:val="41"/>
              <w:jc w:val="center"/>
            </w:pPr>
            <w:r>
              <w:t>1, 1, 1-三氯乙烷</w:t>
            </w:r>
          </w:p>
        </w:tc>
        <w:tc>
          <w:tcPr>
            <w:tcW w:w="1135" w:type="dxa"/>
            <w:vAlign w:val="center"/>
          </w:tcPr>
          <w:p w14:paraId="3192C2CE">
            <w:pPr>
              <w:pStyle w:val="41"/>
              <w:jc w:val="center"/>
            </w:pPr>
            <w:r>
              <w:t>mg/kg</w:t>
            </w:r>
          </w:p>
        </w:tc>
        <w:tc>
          <w:tcPr>
            <w:tcW w:w="1285" w:type="dxa"/>
            <w:vAlign w:val="center"/>
          </w:tcPr>
          <w:p w14:paraId="4E4AA4DA">
            <w:pPr>
              <w:pStyle w:val="41"/>
              <w:jc w:val="center"/>
            </w:pPr>
            <w:r>
              <w:t>ND</w:t>
            </w:r>
          </w:p>
        </w:tc>
        <w:tc>
          <w:tcPr>
            <w:tcW w:w="1261" w:type="dxa"/>
            <w:vAlign w:val="center"/>
          </w:tcPr>
          <w:p w14:paraId="7D69DB8F">
            <w:pPr>
              <w:pStyle w:val="41"/>
              <w:jc w:val="center"/>
            </w:pPr>
            <w:r>
              <w:rPr>
                <w:rFonts w:hint="eastAsia"/>
              </w:rPr>
              <w:t>840</w:t>
            </w:r>
          </w:p>
        </w:tc>
        <w:tc>
          <w:tcPr>
            <w:tcW w:w="1250" w:type="dxa"/>
            <w:vAlign w:val="center"/>
          </w:tcPr>
          <w:p w14:paraId="4C4F1A1A">
            <w:pPr>
              <w:pStyle w:val="41"/>
              <w:jc w:val="center"/>
            </w:pPr>
            <w:r>
              <w:t>达标</w:t>
            </w:r>
          </w:p>
        </w:tc>
      </w:tr>
      <w:tr w14:paraId="3235A8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586007E5">
            <w:pPr>
              <w:pStyle w:val="41"/>
              <w:jc w:val="center"/>
            </w:pPr>
          </w:p>
        </w:tc>
        <w:tc>
          <w:tcPr>
            <w:tcW w:w="945" w:type="dxa"/>
            <w:vMerge w:val="continue"/>
            <w:vAlign w:val="center"/>
          </w:tcPr>
          <w:p w14:paraId="2C986070">
            <w:pPr>
              <w:pStyle w:val="41"/>
              <w:jc w:val="center"/>
            </w:pPr>
          </w:p>
        </w:tc>
        <w:tc>
          <w:tcPr>
            <w:tcW w:w="2085" w:type="dxa"/>
            <w:vAlign w:val="center"/>
          </w:tcPr>
          <w:p w14:paraId="68C77011">
            <w:pPr>
              <w:pStyle w:val="41"/>
              <w:jc w:val="center"/>
            </w:pPr>
            <w:r>
              <w:t>1, 1,2-三氯乙烷</w:t>
            </w:r>
          </w:p>
        </w:tc>
        <w:tc>
          <w:tcPr>
            <w:tcW w:w="1135" w:type="dxa"/>
            <w:vAlign w:val="center"/>
          </w:tcPr>
          <w:p w14:paraId="2334647F">
            <w:pPr>
              <w:pStyle w:val="41"/>
              <w:jc w:val="center"/>
            </w:pPr>
            <w:r>
              <w:t>mg/kg</w:t>
            </w:r>
          </w:p>
        </w:tc>
        <w:tc>
          <w:tcPr>
            <w:tcW w:w="1285" w:type="dxa"/>
            <w:vAlign w:val="center"/>
          </w:tcPr>
          <w:p w14:paraId="4F847C8A">
            <w:pPr>
              <w:pStyle w:val="41"/>
              <w:jc w:val="center"/>
            </w:pPr>
            <w:r>
              <w:rPr>
                <w:rFonts w:hint="eastAsia"/>
                <w:lang w:val="en-US" w:eastAsia="zh-CN"/>
              </w:rPr>
              <w:t>未检出</w:t>
            </w:r>
          </w:p>
        </w:tc>
        <w:tc>
          <w:tcPr>
            <w:tcW w:w="1261" w:type="dxa"/>
            <w:vAlign w:val="center"/>
          </w:tcPr>
          <w:p w14:paraId="3CF025DA">
            <w:pPr>
              <w:pStyle w:val="41"/>
              <w:jc w:val="center"/>
            </w:pPr>
            <w:r>
              <w:rPr>
                <w:rFonts w:hint="eastAsia"/>
              </w:rPr>
              <w:t>2.8</w:t>
            </w:r>
          </w:p>
        </w:tc>
        <w:tc>
          <w:tcPr>
            <w:tcW w:w="1250" w:type="dxa"/>
            <w:vAlign w:val="center"/>
          </w:tcPr>
          <w:p w14:paraId="7A90881E">
            <w:pPr>
              <w:pStyle w:val="41"/>
              <w:jc w:val="center"/>
            </w:pPr>
            <w:r>
              <w:t>达标</w:t>
            </w:r>
          </w:p>
        </w:tc>
      </w:tr>
      <w:tr w14:paraId="1A342D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F035E39">
            <w:pPr>
              <w:pStyle w:val="41"/>
              <w:jc w:val="center"/>
            </w:pPr>
          </w:p>
        </w:tc>
        <w:tc>
          <w:tcPr>
            <w:tcW w:w="945" w:type="dxa"/>
            <w:vMerge w:val="continue"/>
            <w:vAlign w:val="center"/>
          </w:tcPr>
          <w:p w14:paraId="69AE14DE">
            <w:pPr>
              <w:pStyle w:val="41"/>
              <w:jc w:val="center"/>
            </w:pPr>
          </w:p>
        </w:tc>
        <w:tc>
          <w:tcPr>
            <w:tcW w:w="2085" w:type="dxa"/>
            <w:vAlign w:val="center"/>
          </w:tcPr>
          <w:p w14:paraId="4FB83903">
            <w:pPr>
              <w:pStyle w:val="41"/>
              <w:jc w:val="center"/>
            </w:pPr>
            <w:r>
              <w:t>三氯乙烯</w:t>
            </w:r>
          </w:p>
        </w:tc>
        <w:tc>
          <w:tcPr>
            <w:tcW w:w="1135" w:type="dxa"/>
            <w:vAlign w:val="center"/>
          </w:tcPr>
          <w:p w14:paraId="4BB3A7DF">
            <w:pPr>
              <w:pStyle w:val="41"/>
              <w:jc w:val="center"/>
            </w:pPr>
            <w:r>
              <w:t>mg/kg</w:t>
            </w:r>
          </w:p>
        </w:tc>
        <w:tc>
          <w:tcPr>
            <w:tcW w:w="1285" w:type="dxa"/>
            <w:vAlign w:val="center"/>
          </w:tcPr>
          <w:p w14:paraId="4E6DFA73">
            <w:pPr>
              <w:pStyle w:val="41"/>
              <w:jc w:val="center"/>
            </w:pPr>
            <w:r>
              <w:rPr>
                <w:rFonts w:hint="eastAsia"/>
                <w:lang w:val="en-US" w:eastAsia="zh-CN"/>
              </w:rPr>
              <w:t>未检出</w:t>
            </w:r>
          </w:p>
        </w:tc>
        <w:tc>
          <w:tcPr>
            <w:tcW w:w="1261" w:type="dxa"/>
            <w:vAlign w:val="center"/>
          </w:tcPr>
          <w:p w14:paraId="20501BA0">
            <w:pPr>
              <w:pStyle w:val="41"/>
              <w:jc w:val="center"/>
            </w:pPr>
            <w:r>
              <w:rPr>
                <w:rFonts w:hint="eastAsia"/>
              </w:rPr>
              <w:t>2.8</w:t>
            </w:r>
          </w:p>
        </w:tc>
        <w:tc>
          <w:tcPr>
            <w:tcW w:w="1250" w:type="dxa"/>
            <w:vAlign w:val="center"/>
          </w:tcPr>
          <w:p w14:paraId="4EB97580">
            <w:pPr>
              <w:pStyle w:val="41"/>
              <w:jc w:val="center"/>
            </w:pPr>
            <w:r>
              <w:t>达标</w:t>
            </w:r>
          </w:p>
        </w:tc>
      </w:tr>
      <w:tr w14:paraId="793E4C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B9EB4A1">
            <w:pPr>
              <w:pStyle w:val="41"/>
              <w:jc w:val="center"/>
            </w:pPr>
          </w:p>
        </w:tc>
        <w:tc>
          <w:tcPr>
            <w:tcW w:w="945" w:type="dxa"/>
            <w:vMerge w:val="continue"/>
            <w:vAlign w:val="center"/>
          </w:tcPr>
          <w:p w14:paraId="02712D41">
            <w:pPr>
              <w:pStyle w:val="41"/>
              <w:jc w:val="center"/>
            </w:pPr>
          </w:p>
        </w:tc>
        <w:tc>
          <w:tcPr>
            <w:tcW w:w="2085" w:type="dxa"/>
            <w:vAlign w:val="center"/>
          </w:tcPr>
          <w:p w14:paraId="75CD06B2">
            <w:pPr>
              <w:pStyle w:val="41"/>
              <w:jc w:val="center"/>
            </w:pPr>
            <w:r>
              <w:t>1,2,3-三氯丙烷</w:t>
            </w:r>
          </w:p>
        </w:tc>
        <w:tc>
          <w:tcPr>
            <w:tcW w:w="1135" w:type="dxa"/>
            <w:vAlign w:val="center"/>
          </w:tcPr>
          <w:p w14:paraId="42A6B67F">
            <w:pPr>
              <w:pStyle w:val="41"/>
              <w:jc w:val="center"/>
            </w:pPr>
            <w:r>
              <w:t>Mg/kg</w:t>
            </w:r>
          </w:p>
        </w:tc>
        <w:tc>
          <w:tcPr>
            <w:tcW w:w="1285" w:type="dxa"/>
            <w:vAlign w:val="center"/>
          </w:tcPr>
          <w:p w14:paraId="47CB897D">
            <w:pPr>
              <w:pStyle w:val="41"/>
              <w:jc w:val="center"/>
            </w:pPr>
            <w:r>
              <w:rPr>
                <w:rFonts w:hint="eastAsia"/>
                <w:lang w:val="en-US" w:eastAsia="zh-CN"/>
              </w:rPr>
              <w:t>未检出</w:t>
            </w:r>
          </w:p>
        </w:tc>
        <w:tc>
          <w:tcPr>
            <w:tcW w:w="1261" w:type="dxa"/>
            <w:vAlign w:val="center"/>
          </w:tcPr>
          <w:p w14:paraId="6ABDA5CD">
            <w:pPr>
              <w:pStyle w:val="41"/>
              <w:jc w:val="center"/>
            </w:pPr>
            <w:r>
              <w:rPr>
                <w:rFonts w:hint="eastAsia"/>
              </w:rPr>
              <w:t>0.5</w:t>
            </w:r>
          </w:p>
        </w:tc>
        <w:tc>
          <w:tcPr>
            <w:tcW w:w="1250" w:type="dxa"/>
            <w:vAlign w:val="center"/>
          </w:tcPr>
          <w:p w14:paraId="17AB32E6">
            <w:pPr>
              <w:pStyle w:val="41"/>
              <w:jc w:val="center"/>
            </w:pPr>
            <w:r>
              <w:t>达标</w:t>
            </w:r>
          </w:p>
        </w:tc>
      </w:tr>
      <w:tr w14:paraId="28CA72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B6440FE">
            <w:pPr>
              <w:pStyle w:val="41"/>
              <w:jc w:val="center"/>
            </w:pPr>
          </w:p>
        </w:tc>
        <w:tc>
          <w:tcPr>
            <w:tcW w:w="945" w:type="dxa"/>
            <w:vMerge w:val="continue"/>
            <w:vAlign w:val="center"/>
          </w:tcPr>
          <w:p w14:paraId="26ADF7D0">
            <w:pPr>
              <w:pStyle w:val="41"/>
              <w:jc w:val="center"/>
            </w:pPr>
          </w:p>
        </w:tc>
        <w:tc>
          <w:tcPr>
            <w:tcW w:w="2085" w:type="dxa"/>
            <w:vAlign w:val="center"/>
          </w:tcPr>
          <w:p w14:paraId="38727C77">
            <w:pPr>
              <w:pStyle w:val="41"/>
              <w:jc w:val="center"/>
            </w:pPr>
            <w:r>
              <w:t>氯乙烯</w:t>
            </w:r>
          </w:p>
        </w:tc>
        <w:tc>
          <w:tcPr>
            <w:tcW w:w="1135" w:type="dxa"/>
            <w:vAlign w:val="center"/>
          </w:tcPr>
          <w:p w14:paraId="637F7E52">
            <w:pPr>
              <w:pStyle w:val="41"/>
              <w:jc w:val="center"/>
            </w:pPr>
            <w:r>
              <w:t>Mg/kg</w:t>
            </w:r>
          </w:p>
        </w:tc>
        <w:tc>
          <w:tcPr>
            <w:tcW w:w="1285" w:type="dxa"/>
            <w:vAlign w:val="center"/>
          </w:tcPr>
          <w:p w14:paraId="6820C034">
            <w:pPr>
              <w:pStyle w:val="41"/>
              <w:jc w:val="center"/>
            </w:pPr>
            <w:r>
              <w:rPr>
                <w:rFonts w:hint="eastAsia"/>
                <w:lang w:val="en-US" w:eastAsia="zh-CN"/>
              </w:rPr>
              <w:t>未检出</w:t>
            </w:r>
          </w:p>
        </w:tc>
        <w:tc>
          <w:tcPr>
            <w:tcW w:w="1261" w:type="dxa"/>
            <w:vAlign w:val="center"/>
          </w:tcPr>
          <w:p w14:paraId="6DD9D200">
            <w:pPr>
              <w:pStyle w:val="41"/>
              <w:jc w:val="center"/>
            </w:pPr>
            <w:r>
              <w:rPr>
                <w:rFonts w:hint="eastAsia"/>
              </w:rPr>
              <w:t>0.43</w:t>
            </w:r>
          </w:p>
        </w:tc>
        <w:tc>
          <w:tcPr>
            <w:tcW w:w="1250" w:type="dxa"/>
            <w:vAlign w:val="center"/>
          </w:tcPr>
          <w:p w14:paraId="4B48E801">
            <w:pPr>
              <w:pStyle w:val="41"/>
              <w:jc w:val="center"/>
            </w:pPr>
            <w:r>
              <w:t>达标</w:t>
            </w:r>
          </w:p>
        </w:tc>
      </w:tr>
      <w:tr w14:paraId="2B955F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A00CE27">
            <w:pPr>
              <w:pStyle w:val="41"/>
              <w:jc w:val="center"/>
            </w:pPr>
          </w:p>
        </w:tc>
        <w:tc>
          <w:tcPr>
            <w:tcW w:w="945" w:type="dxa"/>
            <w:vMerge w:val="continue"/>
            <w:vAlign w:val="center"/>
          </w:tcPr>
          <w:p w14:paraId="7B8DF6E9">
            <w:pPr>
              <w:pStyle w:val="41"/>
              <w:jc w:val="center"/>
            </w:pPr>
          </w:p>
        </w:tc>
        <w:tc>
          <w:tcPr>
            <w:tcW w:w="2085" w:type="dxa"/>
            <w:vAlign w:val="center"/>
          </w:tcPr>
          <w:p w14:paraId="78A47D8B">
            <w:pPr>
              <w:pStyle w:val="41"/>
              <w:jc w:val="center"/>
            </w:pPr>
            <w:r>
              <w:t>苯</w:t>
            </w:r>
          </w:p>
        </w:tc>
        <w:tc>
          <w:tcPr>
            <w:tcW w:w="1135" w:type="dxa"/>
            <w:vAlign w:val="center"/>
          </w:tcPr>
          <w:p w14:paraId="5917DD93">
            <w:pPr>
              <w:pStyle w:val="41"/>
              <w:jc w:val="center"/>
            </w:pPr>
            <w:r>
              <w:t>mg/kg</w:t>
            </w:r>
          </w:p>
        </w:tc>
        <w:tc>
          <w:tcPr>
            <w:tcW w:w="1285" w:type="dxa"/>
            <w:vAlign w:val="center"/>
          </w:tcPr>
          <w:p w14:paraId="1A61F991">
            <w:pPr>
              <w:pStyle w:val="41"/>
              <w:jc w:val="center"/>
            </w:pPr>
            <w:r>
              <w:rPr>
                <w:rFonts w:hint="eastAsia"/>
                <w:lang w:val="en-US" w:eastAsia="zh-CN"/>
              </w:rPr>
              <w:t>未检出</w:t>
            </w:r>
          </w:p>
        </w:tc>
        <w:tc>
          <w:tcPr>
            <w:tcW w:w="1261" w:type="dxa"/>
            <w:vAlign w:val="center"/>
          </w:tcPr>
          <w:p w14:paraId="45737321">
            <w:pPr>
              <w:pStyle w:val="41"/>
              <w:jc w:val="center"/>
            </w:pPr>
            <w:r>
              <w:rPr>
                <w:rFonts w:hint="eastAsia"/>
              </w:rPr>
              <w:t>4</w:t>
            </w:r>
          </w:p>
        </w:tc>
        <w:tc>
          <w:tcPr>
            <w:tcW w:w="1250" w:type="dxa"/>
            <w:vAlign w:val="center"/>
          </w:tcPr>
          <w:p w14:paraId="28D949D8">
            <w:pPr>
              <w:pStyle w:val="41"/>
              <w:jc w:val="center"/>
            </w:pPr>
            <w:r>
              <w:t>达标</w:t>
            </w:r>
          </w:p>
        </w:tc>
      </w:tr>
      <w:tr w14:paraId="3C202C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22BCABA">
            <w:pPr>
              <w:pStyle w:val="41"/>
              <w:jc w:val="center"/>
            </w:pPr>
          </w:p>
        </w:tc>
        <w:tc>
          <w:tcPr>
            <w:tcW w:w="945" w:type="dxa"/>
            <w:vMerge w:val="continue"/>
            <w:vAlign w:val="center"/>
          </w:tcPr>
          <w:p w14:paraId="0DDCEB0A">
            <w:pPr>
              <w:pStyle w:val="41"/>
              <w:jc w:val="center"/>
            </w:pPr>
          </w:p>
        </w:tc>
        <w:tc>
          <w:tcPr>
            <w:tcW w:w="2085" w:type="dxa"/>
            <w:vAlign w:val="center"/>
          </w:tcPr>
          <w:p w14:paraId="4C08833F">
            <w:pPr>
              <w:pStyle w:val="41"/>
              <w:jc w:val="center"/>
            </w:pPr>
            <w:r>
              <w:t>氯苯</w:t>
            </w:r>
          </w:p>
        </w:tc>
        <w:tc>
          <w:tcPr>
            <w:tcW w:w="1135" w:type="dxa"/>
            <w:vAlign w:val="center"/>
          </w:tcPr>
          <w:p w14:paraId="1E70F3C0">
            <w:pPr>
              <w:pStyle w:val="41"/>
              <w:jc w:val="center"/>
            </w:pPr>
            <w:r>
              <w:t>mg/kg</w:t>
            </w:r>
          </w:p>
        </w:tc>
        <w:tc>
          <w:tcPr>
            <w:tcW w:w="1285" w:type="dxa"/>
            <w:vAlign w:val="center"/>
          </w:tcPr>
          <w:p w14:paraId="34859D89">
            <w:pPr>
              <w:pStyle w:val="41"/>
              <w:jc w:val="center"/>
            </w:pPr>
            <w:r>
              <w:rPr>
                <w:rFonts w:hint="eastAsia"/>
                <w:lang w:val="en-US" w:eastAsia="zh-CN"/>
              </w:rPr>
              <w:t>未检出</w:t>
            </w:r>
          </w:p>
        </w:tc>
        <w:tc>
          <w:tcPr>
            <w:tcW w:w="1261" w:type="dxa"/>
            <w:vAlign w:val="center"/>
          </w:tcPr>
          <w:p w14:paraId="01B2E83A">
            <w:pPr>
              <w:pStyle w:val="41"/>
              <w:jc w:val="center"/>
            </w:pPr>
            <w:r>
              <w:rPr>
                <w:rFonts w:hint="eastAsia"/>
              </w:rPr>
              <w:t>270</w:t>
            </w:r>
          </w:p>
        </w:tc>
        <w:tc>
          <w:tcPr>
            <w:tcW w:w="1250" w:type="dxa"/>
            <w:vAlign w:val="center"/>
          </w:tcPr>
          <w:p w14:paraId="15BF2A25">
            <w:pPr>
              <w:pStyle w:val="41"/>
              <w:jc w:val="center"/>
            </w:pPr>
            <w:r>
              <w:t>达标</w:t>
            </w:r>
          </w:p>
        </w:tc>
      </w:tr>
      <w:tr w14:paraId="4EEC8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050F0F6E">
            <w:pPr>
              <w:pStyle w:val="41"/>
              <w:jc w:val="center"/>
            </w:pPr>
          </w:p>
        </w:tc>
        <w:tc>
          <w:tcPr>
            <w:tcW w:w="945" w:type="dxa"/>
            <w:vMerge w:val="continue"/>
            <w:vAlign w:val="center"/>
          </w:tcPr>
          <w:p w14:paraId="6428B2EB">
            <w:pPr>
              <w:pStyle w:val="41"/>
              <w:jc w:val="center"/>
            </w:pPr>
          </w:p>
        </w:tc>
        <w:tc>
          <w:tcPr>
            <w:tcW w:w="2085" w:type="dxa"/>
            <w:vAlign w:val="center"/>
          </w:tcPr>
          <w:p w14:paraId="4FDB2A4C">
            <w:pPr>
              <w:pStyle w:val="41"/>
              <w:jc w:val="center"/>
            </w:pPr>
            <w:r>
              <w:t>1,2-二氯苯</w:t>
            </w:r>
          </w:p>
        </w:tc>
        <w:tc>
          <w:tcPr>
            <w:tcW w:w="1135" w:type="dxa"/>
            <w:vAlign w:val="center"/>
          </w:tcPr>
          <w:p w14:paraId="6AB4895E">
            <w:pPr>
              <w:pStyle w:val="41"/>
              <w:jc w:val="center"/>
            </w:pPr>
            <w:r>
              <w:t>mg/kg</w:t>
            </w:r>
          </w:p>
        </w:tc>
        <w:tc>
          <w:tcPr>
            <w:tcW w:w="1285" w:type="dxa"/>
            <w:vAlign w:val="center"/>
          </w:tcPr>
          <w:p w14:paraId="25D02145">
            <w:pPr>
              <w:pStyle w:val="41"/>
              <w:jc w:val="center"/>
            </w:pPr>
            <w:r>
              <w:rPr>
                <w:rFonts w:hint="eastAsia"/>
                <w:lang w:val="en-US" w:eastAsia="zh-CN"/>
              </w:rPr>
              <w:t>未检出</w:t>
            </w:r>
          </w:p>
        </w:tc>
        <w:tc>
          <w:tcPr>
            <w:tcW w:w="1261" w:type="dxa"/>
            <w:vAlign w:val="center"/>
          </w:tcPr>
          <w:p w14:paraId="0A30D5D0">
            <w:pPr>
              <w:pStyle w:val="41"/>
              <w:jc w:val="center"/>
            </w:pPr>
            <w:r>
              <w:rPr>
                <w:rFonts w:hint="eastAsia"/>
              </w:rPr>
              <w:t>560</w:t>
            </w:r>
          </w:p>
        </w:tc>
        <w:tc>
          <w:tcPr>
            <w:tcW w:w="1250" w:type="dxa"/>
            <w:vAlign w:val="center"/>
          </w:tcPr>
          <w:p w14:paraId="53C668F9">
            <w:pPr>
              <w:pStyle w:val="41"/>
              <w:jc w:val="center"/>
            </w:pPr>
            <w:r>
              <w:t>达标</w:t>
            </w:r>
          </w:p>
        </w:tc>
      </w:tr>
      <w:tr w14:paraId="7E0CDB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5E6A7DC6">
            <w:pPr>
              <w:pStyle w:val="41"/>
              <w:jc w:val="center"/>
            </w:pPr>
          </w:p>
        </w:tc>
        <w:tc>
          <w:tcPr>
            <w:tcW w:w="945" w:type="dxa"/>
            <w:vMerge w:val="continue"/>
            <w:vAlign w:val="center"/>
          </w:tcPr>
          <w:p w14:paraId="08707096">
            <w:pPr>
              <w:pStyle w:val="41"/>
              <w:jc w:val="center"/>
            </w:pPr>
          </w:p>
        </w:tc>
        <w:tc>
          <w:tcPr>
            <w:tcW w:w="2085" w:type="dxa"/>
            <w:vAlign w:val="center"/>
          </w:tcPr>
          <w:p w14:paraId="1F2C8996">
            <w:pPr>
              <w:pStyle w:val="41"/>
              <w:jc w:val="center"/>
            </w:pPr>
            <w:r>
              <w:t>1,4-二氯苯</w:t>
            </w:r>
          </w:p>
        </w:tc>
        <w:tc>
          <w:tcPr>
            <w:tcW w:w="1135" w:type="dxa"/>
            <w:vAlign w:val="center"/>
          </w:tcPr>
          <w:p w14:paraId="7FAEE807">
            <w:pPr>
              <w:pStyle w:val="41"/>
              <w:jc w:val="center"/>
            </w:pPr>
            <w:r>
              <w:t>mg/kg</w:t>
            </w:r>
          </w:p>
        </w:tc>
        <w:tc>
          <w:tcPr>
            <w:tcW w:w="1285" w:type="dxa"/>
            <w:vAlign w:val="center"/>
          </w:tcPr>
          <w:p w14:paraId="5FDC7E93">
            <w:pPr>
              <w:pStyle w:val="41"/>
              <w:jc w:val="center"/>
            </w:pPr>
            <w:r>
              <w:rPr>
                <w:rFonts w:hint="eastAsia"/>
                <w:lang w:val="en-US" w:eastAsia="zh-CN"/>
              </w:rPr>
              <w:t>未检出</w:t>
            </w:r>
          </w:p>
        </w:tc>
        <w:tc>
          <w:tcPr>
            <w:tcW w:w="1261" w:type="dxa"/>
            <w:vAlign w:val="center"/>
          </w:tcPr>
          <w:p w14:paraId="5C9685F1">
            <w:pPr>
              <w:pStyle w:val="41"/>
              <w:jc w:val="center"/>
            </w:pPr>
            <w:r>
              <w:rPr>
                <w:rFonts w:hint="eastAsia"/>
              </w:rPr>
              <w:t>20</w:t>
            </w:r>
          </w:p>
        </w:tc>
        <w:tc>
          <w:tcPr>
            <w:tcW w:w="1250" w:type="dxa"/>
            <w:vAlign w:val="center"/>
          </w:tcPr>
          <w:p w14:paraId="0E8A7F8F">
            <w:pPr>
              <w:pStyle w:val="41"/>
              <w:jc w:val="center"/>
            </w:pPr>
            <w:r>
              <w:t>达标</w:t>
            </w:r>
          </w:p>
        </w:tc>
      </w:tr>
      <w:tr w14:paraId="517DB2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92FCCBE">
            <w:pPr>
              <w:pStyle w:val="41"/>
              <w:jc w:val="center"/>
            </w:pPr>
          </w:p>
        </w:tc>
        <w:tc>
          <w:tcPr>
            <w:tcW w:w="945" w:type="dxa"/>
            <w:vMerge w:val="continue"/>
            <w:vAlign w:val="center"/>
          </w:tcPr>
          <w:p w14:paraId="0F8B20BB">
            <w:pPr>
              <w:pStyle w:val="41"/>
              <w:jc w:val="center"/>
            </w:pPr>
          </w:p>
        </w:tc>
        <w:tc>
          <w:tcPr>
            <w:tcW w:w="2085" w:type="dxa"/>
            <w:vAlign w:val="center"/>
          </w:tcPr>
          <w:p w14:paraId="62824154">
            <w:pPr>
              <w:pStyle w:val="41"/>
              <w:jc w:val="center"/>
            </w:pPr>
            <w:r>
              <w:t>乙苯</w:t>
            </w:r>
          </w:p>
        </w:tc>
        <w:tc>
          <w:tcPr>
            <w:tcW w:w="1135" w:type="dxa"/>
            <w:vAlign w:val="center"/>
          </w:tcPr>
          <w:p w14:paraId="125791C5">
            <w:pPr>
              <w:pStyle w:val="41"/>
              <w:jc w:val="center"/>
            </w:pPr>
            <w:r>
              <w:t>mg/kg</w:t>
            </w:r>
          </w:p>
        </w:tc>
        <w:tc>
          <w:tcPr>
            <w:tcW w:w="1285" w:type="dxa"/>
            <w:vAlign w:val="center"/>
          </w:tcPr>
          <w:p w14:paraId="7BBB33EE">
            <w:pPr>
              <w:pStyle w:val="41"/>
              <w:jc w:val="center"/>
            </w:pPr>
            <w:r>
              <w:rPr>
                <w:rFonts w:hint="eastAsia"/>
                <w:lang w:val="en-US" w:eastAsia="zh-CN"/>
              </w:rPr>
              <w:t>未检出</w:t>
            </w:r>
          </w:p>
        </w:tc>
        <w:tc>
          <w:tcPr>
            <w:tcW w:w="1261" w:type="dxa"/>
            <w:vAlign w:val="center"/>
          </w:tcPr>
          <w:p w14:paraId="2C5A3988">
            <w:pPr>
              <w:pStyle w:val="41"/>
              <w:jc w:val="center"/>
            </w:pPr>
            <w:r>
              <w:rPr>
                <w:rFonts w:hint="eastAsia"/>
              </w:rPr>
              <w:t>28</w:t>
            </w:r>
          </w:p>
        </w:tc>
        <w:tc>
          <w:tcPr>
            <w:tcW w:w="1250" w:type="dxa"/>
            <w:vAlign w:val="center"/>
          </w:tcPr>
          <w:p w14:paraId="5F66DC61">
            <w:pPr>
              <w:pStyle w:val="41"/>
              <w:jc w:val="center"/>
            </w:pPr>
            <w:r>
              <w:t>达标</w:t>
            </w:r>
          </w:p>
        </w:tc>
      </w:tr>
      <w:tr w14:paraId="47BACB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65091457">
            <w:pPr>
              <w:pStyle w:val="41"/>
              <w:jc w:val="center"/>
            </w:pPr>
          </w:p>
        </w:tc>
        <w:tc>
          <w:tcPr>
            <w:tcW w:w="945" w:type="dxa"/>
            <w:vMerge w:val="continue"/>
            <w:vAlign w:val="center"/>
          </w:tcPr>
          <w:p w14:paraId="15DE2ED4">
            <w:pPr>
              <w:pStyle w:val="41"/>
              <w:jc w:val="center"/>
            </w:pPr>
          </w:p>
        </w:tc>
        <w:tc>
          <w:tcPr>
            <w:tcW w:w="2085" w:type="dxa"/>
            <w:vAlign w:val="center"/>
          </w:tcPr>
          <w:p w14:paraId="05237904">
            <w:pPr>
              <w:pStyle w:val="41"/>
              <w:jc w:val="center"/>
            </w:pPr>
            <w:r>
              <w:t>苯乙烯</w:t>
            </w:r>
          </w:p>
        </w:tc>
        <w:tc>
          <w:tcPr>
            <w:tcW w:w="1135" w:type="dxa"/>
            <w:vAlign w:val="center"/>
          </w:tcPr>
          <w:p w14:paraId="7107587F">
            <w:pPr>
              <w:pStyle w:val="41"/>
              <w:jc w:val="center"/>
            </w:pPr>
            <w:r>
              <w:t>Mg/kg</w:t>
            </w:r>
          </w:p>
        </w:tc>
        <w:tc>
          <w:tcPr>
            <w:tcW w:w="1285" w:type="dxa"/>
            <w:vAlign w:val="center"/>
          </w:tcPr>
          <w:p w14:paraId="2D626B7A">
            <w:pPr>
              <w:pStyle w:val="41"/>
              <w:jc w:val="center"/>
            </w:pPr>
            <w:r>
              <w:rPr>
                <w:rFonts w:hint="eastAsia"/>
                <w:lang w:val="en-US" w:eastAsia="zh-CN"/>
              </w:rPr>
              <w:t>未检出</w:t>
            </w:r>
          </w:p>
        </w:tc>
        <w:tc>
          <w:tcPr>
            <w:tcW w:w="1261" w:type="dxa"/>
            <w:vAlign w:val="center"/>
          </w:tcPr>
          <w:p w14:paraId="56A5CFC5">
            <w:pPr>
              <w:pStyle w:val="41"/>
              <w:jc w:val="center"/>
            </w:pPr>
            <w:r>
              <w:rPr>
                <w:rFonts w:hint="eastAsia"/>
              </w:rPr>
              <w:t>1290</w:t>
            </w:r>
          </w:p>
        </w:tc>
        <w:tc>
          <w:tcPr>
            <w:tcW w:w="1250" w:type="dxa"/>
            <w:vAlign w:val="center"/>
          </w:tcPr>
          <w:p w14:paraId="7AF48F04">
            <w:pPr>
              <w:pStyle w:val="41"/>
              <w:jc w:val="center"/>
            </w:pPr>
            <w:r>
              <w:t>达标</w:t>
            </w:r>
          </w:p>
        </w:tc>
      </w:tr>
      <w:tr w14:paraId="0694C3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B9342D1">
            <w:pPr>
              <w:pStyle w:val="41"/>
              <w:jc w:val="center"/>
            </w:pPr>
          </w:p>
        </w:tc>
        <w:tc>
          <w:tcPr>
            <w:tcW w:w="945" w:type="dxa"/>
            <w:vMerge w:val="continue"/>
            <w:vAlign w:val="center"/>
          </w:tcPr>
          <w:p w14:paraId="69E8F3BE">
            <w:pPr>
              <w:pStyle w:val="41"/>
              <w:jc w:val="center"/>
            </w:pPr>
          </w:p>
        </w:tc>
        <w:tc>
          <w:tcPr>
            <w:tcW w:w="2085" w:type="dxa"/>
            <w:vAlign w:val="center"/>
          </w:tcPr>
          <w:p w14:paraId="4E52C381">
            <w:pPr>
              <w:pStyle w:val="41"/>
              <w:jc w:val="center"/>
            </w:pPr>
            <w:r>
              <w:t>甲苯</w:t>
            </w:r>
          </w:p>
        </w:tc>
        <w:tc>
          <w:tcPr>
            <w:tcW w:w="1135" w:type="dxa"/>
            <w:vAlign w:val="center"/>
          </w:tcPr>
          <w:p w14:paraId="6685E140">
            <w:pPr>
              <w:pStyle w:val="41"/>
              <w:jc w:val="center"/>
            </w:pPr>
            <w:r>
              <w:t>mg/kg</w:t>
            </w:r>
          </w:p>
        </w:tc>
        <w:tc>
          <w:tcPr>
            <w:tcW w:w="1285" w:type="dxa"/>
            <w:vAlign w:val="center"/>
          </w:tcPr>
          <w:p w14:paraId="548ADA9C">
            <w:pPr>
              <w:pStyle w:val="41"/>
              <w:jc w:val="center"/>
            </w:pPr>
            <w:r>
              <w:rPr>
                <w:rFonts w:hint="eastAsia"/>
                <w:lang w:val="en-US" w:eastAsia="zh-CN"/>
              </w:rPr>
              <w:t>未检出</w:t>
            </w:r>
          </w:p>
        </w:tc>
        <w:tc>
          <w:tcPr>
            <w:tcW w:w="1261" w:type="dxa"/>
            <w:vAlign w:val="center"/>
          </w:tcPr>
          <w:p w14:paraId="7CC991DC">
            <w:pPr>
              <w:pStyle w:val="41"/>
              <w:jc w:val="center"/>
            </w:pPr>
            <w:r>
              <w:rPr>
                <w:rFonts w:hint="eastAsia"/>
              </w:rPr>
              <w:t>1200</w:t>
            </w:r>
          </w:p>
        </w:tc>
        <w:tc>
          <w:tcPr>
            <w:tcW w:w="1250" w:type="dxa"/>
            <w:vAlign w:val="center"/>
          </w:tcPr>
          <w:p w14:paraId="505F4230">
            <w:pPr>
              <w:pStyle w:val="41"/>
              <w:jc w:val="center"/>
            </w:pPr>
            <w:r>
              <w:t>达标</w:t>
            </w:r>
          </w:p>
        </w:tc>
      </w:tr>
      <w:tr w14:paraId="64E8F2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06F98005">
            <w:pPr>
              <w:pStyle w:val="41"/>
              <w:jc w:val="center"/>
            </w:pPr>
          </w:p>
        </w:tc>
        <w:tc>
          <w:tcPr>
            <w:tcW w:w="945" w:type="dxa"/>
            <w:vMerge w:val="continue"/>
            <w:vAlign w:val="center"/>
          </w:tcPr>
          <w:p w14:paraId="7B39ACB8">
            <w:pPr>
              <w:pStyle w:val="41"/>
              <w:jc w:val="center"/>
            </w:pPr>
          </w:p>
        </w:tc>
        <w:tc>
          <w:tcPr>
            <w:tcW w:w="2085" w:type="dxa"/>
            <w:vAlign w:val="center"/>
          </w:tcPr>
          <w:p w14:paraId="59828141">
            <w:pPr>
              <w:pStyle w:val="41"/>
              <w:jc w:val="center"/>
            </w:pPr>
            <w:r>
              <w:t>间二甲苯+对二甲苯</w:t>
            </w:r>
          </w:p>
        </w:tc>
        <w:tc>
          <w:tcPr>
            <w:tcW w:w="1135" w:type="dxa"/>
            <w:vAlign w:val="center"/>
          </w:tcPr>
          <w:p w14:paraId="61E411B4">
            <w:pPr>
              <w:pStyle w:val="41"/>
              <w:jc w:val="center"/>
            </w:pPr>
            <w:r>
              <w:t>Mg/kg</w:t>
            </w:r>
          </w:p>
        </w:tc>
        <w:tc>
          <w:tcPr>
            <w:tcW w:w="1285" w:type="dxa"/>
            <w:vAlign w:val="center"/>
          </w:tcPr>
          <w:p w14:paraId="78659A15">
            <w:pPr>
              <w:pStyle w:val="41"/>
              <w:jc w:val="center"/>
            </w:pPr>
            <w:r>
              <w:rPr>
                <w:rFonts w:hint="eastAsia"/>
                <w:lang w:val="en-US" w:eastAsia="zh-CN"/>
              </w:rPr>
              <w:t>未检出</w:t>
            </w:r>
          </w:p>
        </w:tc>
        <w:tc>
          <w:tcPr>
            <w:tcW w:w="1261" w:type="dxa"/>
            <w:vAlign w:val="center"/>
          </w:tcPr>
          <w:p w14:paraId="0C254A4C">
            <w:pPr>
              <w:pStyle w:val="41"/>
              <w:jc w:val="center"/>
            </w:pPr>
            <w:r>
              <w:rPr>
                <w:rFonts w:hint="eastAsia"/>
              </w:rPr>
              <w:t>570</w:t>
            </w:r>
          </w:p>
        </w:tc>
        <w:tc>
          <w:tcPr>
            <w:tcW w:w="1250" w:type="dxa"/>
            <w:vAlign w:val="center"/>
          </w:tcPr>
          <w:p w14:paraId="037E4156">
            <w:pPr>
              <w:pStyle w:val="41"/>
              <w:jc w:val="center"/>
            </w:pPr>
            <w:r>
              <w:t>达标</w:t>
            </w:r>
          </w:p>
        </w:tc>
      </w:tr>
      <w:tr w14:paraId="084CF3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2592C8D">
            <w:pPr>
              <w:pStyle w:val="41"/>
              <w:jc w:val="center"/>
            </w:pPr>
          </w:p>
        </w:tc>
        <w:tc>
          <w:tcPr>
            <w:tcW w:w="945" w:type="dxa"/>
            <w:vMerge w:val="continue"/>
            <w:vAlign w:val="center"/>
          </w:tcPr>
          <w:p w14:paraId="7B15A4A4">
            <w:pPr>
              <w:pStyle w:val="41"/>
              <w:jc w:val="center"/>
            </w:pPr>
          </w:p>
        </w:tc>
        <w:tc>
          <w:tcPr>
            <w:tcW w:w="2085" w:type="dxa"/>
            <w:vAlign w:val="center"/>
          </w:tcPr>
          <w:p w14:paraId="1491A8E1">
            <w:pPr>
              <w:pStyle w:val="41"/>
              <w:jc w:val="center"/>
            </w:pPr>
            <w:r>
              <w:t>邻二甲苯</w:t>
            </w:r>
          </w:p>
        </w:tc>
        <w:tc>
          <w:tcPr>
            <w:tcW w:w="1135" w:type="dxa"/>
            <w:vAlign w:val="center"/>
          </w:tcPr>
          <w:p w14:paraId="52898F42">
            <w:pPr>
              <w:pStyle w:val="41"/>
              <w:jc w:val="center"/>
            </w:pPr>
            <w:r>
              <w:t>mg/kg</w:t>
            </w:r>
          </w:p>
        </w:tc>
        <w:tc>
          <w:tcPr>
            <w:tcW w:w="1285" w:type="dxa"/>
            <w:vAlign w:val="center"/>
          </w:tcPr>
          <w:p w14:paraId="2CA18729">
            <w:pPr>
              <w:pStyle w:val="41"/>
              <w:jc w:val="center"/>
            </w:pPr>
            <w:r>
              <w:rPr>
                <w:rFonts w:hint="eastAsia"/>
                <w:lang w:val="en-US" w:eastAsia="zh-CN"/>
              </w:rPr>
              <w:t>未检出</w:t>
            </w:r>
          </w:p>
        </w:tc>
        <w:tc>
          <w:tcPr>
            <w:tcW w:w="1261" w:type="dxa"/>
            <w:vAlign w:val="center"/>
          </w:tcPr>
          <w:p w14:paraId="6589F0C1">
            <w:pPr>
              <w:pStyle w:val="41"/>
              <w:jc w:val="center"/>
            </w:pPr>
            <w:r>
              <w:rPr>
                <w:rFonts w:hint="eastAsia"/>
              </w:rPr>
              <w:t>640</w:t>
            </w:r>
          </w:p>
        </w:tc>
        <w:tc>
          <w:tcPr>
            <w:tcW w:w="1250" w:type="dxa"/>
            <w:vAlign w:val="center"/>
          </w:tcPr>
          <w:p w14:paraId="382BA3E3">
            <w:pPr>
              <w:pStyle w:val="41"/>
              <w:jc w:val="center"/>
            </w:pPr>
            <w:r>
              <w:t>达标</w:t>
            </w:r>
          </w:p>
        </w:tc>
      </w:tr>
      <w:tr w14:paraId="5449B2C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D220186">
            <w:pPr>
              <w:pStyle w:val="41"/>
              <w:jc w:val="center"/>
            </w:pPr>
          </w:p>
        </w:tc>
        <w:tc>
          <w:tcPr>
            <w:tcW w:w="945" w:type="dxa"/>
            <w:vMerge w:val="continue"/>
            <w:vAlign w:val="center"/>
          </w:tcPr>
          <w:p w14:paraId="5E2B8C0D">
            <w:pPr>
              <w:pStyle w:val="41"/>
              <w:jc w:val="center"/>
            </w:pPr>
          </w:p>
        </w:tc>
        <w:tc>
          <w:tcPr>
            <w:tcW w:w="2085" w:type="dxa"/>
            <w:vAlign w:val="center"/>
          </w:tcPr>
          <w:p w14:paraId="1009FFA0">
            <w:pPr>
              <w:pStyle w:val="41"/>
              <w:jc w:val="center"/>
            </w:pPr>
            <w:r>
              <w:t>硝基苯</w:t>
            </w:r>
          </w:p>
        </w:tc>
        <w:tc>
          <w:tcPr>
            <w:tcW w:w="1135" w:type="dxa"/>
            <w:vAlign w:val="center"/>
          </w:tcPr>
          <w:p w14:paraId="2540AC31">
            <w:pPr>
              <w:pStyle w:val="41"/>
              <w:jc w:val="center"/>
            </w:pPr>
            <w:r>
              <w:t>mg/kg</w:t>
            </w:r>
          </w:p>
        </w:tc>
        <w:tc>
          <w:tcPr>
            <w:tcW w:w="1285" w:type="dxa"/>
            <w:vAlign w:val="center"/>
          </w:tcPr>
          <w:p w14:paraId="2F8B3D66">
            <w:pPr>
              <w:pStyle w:val="41"/>
              <w:jc w:val="center"/>
            </w:pPr>
            <w:r>
              <w:rPr>
                <w:rFonts w:hint="eastAsia"/>
                <w:lang w:val="en-US" w:eastAsia="zh-CN"/>
              </w:rPr>
              <w:t>未检出</w:t>
            </w:r>
          </w:p>
        </w:tc>
        <w:tc>
          <w:tcPr>
            <w:tcW w:w="1261" w:type="dxa"/>
            <w:vAlign w:val="center"/>
          </w:tcPr>
          <w:p w14:paraId="14C6FB3C">
            <w:pPr>
              <w:pStyle w:val="41"/>
              <w:jc w:val="center"/>
            </w:pPr>
            <w:r>
              <w:rPr>
                <w:rFonts w:hint="eastAsia"/>
              </w:rPr>
              <w:t>76</w:t>
            </w:r>
          </w:p>
        </w:tc>
        <w:tc>
          <w:tcPr>
            <w:tcW w:w="1250" w:type="dxa"/>
            <w:vAlign w:val="center"/>
          </w:tcPr>
          <w:p w14:paraId="6C318A09">
            <w:pPr>
              <w:pStyle w:val="41"/>
              <w:jc w:val="center"/>
            </w:pPr>
            <w:r>
              <w:t>达标</w:t>
            </w:r>
          </w:p>
        </w:tc>
      </w:tr>
      <w:tr w14:paraId="1BB2DC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572845C8">
            <w:pPr>
              <w:pStyle w:val="41"/>
              <w:jc w:val="center"/>
            </w:pPr>
          </w:p>
        </w:tc>
        <w:tc>
          <w:tcPr>
            <w:tcW w:w="945" w:type="dxa"/>
            <w:vMerge w:val="continue"/>
            <w:vAlign w:val="center"/>
          </w:tcPr>
          <w:p w14:paraId="4DB21993">
            <w:pPr>
              <w:pStyle w:val="41"/>
              <w:jc w:val="center"/>
            </w:pPr>
          </w:p>
        </w:tc>
        <w:tc>
          <w:tcPr>
            <w:tcW w:w="2085" w:type="dxa"/>
            <w:vAlign w:val="center"/>
          </w:tcPr>
          <w:p w14:paraId="4DA5F7A3">
            <w:pPr>
              <w:pStyle w:val="41"/>
              <w:jc w:val="center"/>
            </w:pPr>
            <w:r>
              <w:t>苯胺</w:t>
            </w:r>
          </w:p>
        </w:tc>
        <w:tc>
          <w:tcPr>
            <w:tcW w:w="1135" w:type="dxa"/>
            <w:vAlign w:val="center"/>
          </w:tcPr>
          <w:p w14:paraId="7E3ABC44">
            <w:pPr>
              <w:pStyle w:val="41"/>
              <w:jc w:val="center"/>
            </w:pPr>
            <w:r>
              <w:t>mg/kg</w:t>
            </w:r>
          </w:p>
        </w:tc>
        <w:tc>
          <w:tcPr>
            <w:tcW w:w="1285" w:type="dxa"/>
            <w:vAlign w:val="center"/>
          </w:tcPr>
          <w:p w14:paraId="3AC840F9">
            <w:pPr>
              <w:pStyle w:val="41"/>
              <w:jc w:val="center"/>
            </w:pPr>
            <w:r>
              <w:rPr>
                <w:rFonts w:hint="eastAsia"/>
                <w:lang w:val="en-US" w:eastAsia="zh-CN"/>
              </w:rPr>
              <w:t>未检出</w:t>
            </w:r>
          </w:p>
        </w:tc>
        <w:tc>
          <w:tcPr>
            <w:tcW w:w="1261" w:type="dxa"/>
            <w:vAlign w:val="center"/>
          </w:tcPr>
          <w:p w14:paraId="7848EFF2">
            <w:pPr>
              <w:pStyle w:val="41"/>
              <w:jc w:val="center"/>
            </w:pPr>
            <w:r>
              <w:rPr>
                <w:rFonts w:hint="eastAsia"/>
              </w:rPr>
              <w:t>260</w:t>
            </w:r>
          </w:p>
        </w:tc>
        <w:tc>
          <w:tcPr>
            <w:tcW w:w="1250" w:type="dxa"/>
            <w:vAlign w:val="center"/>
          </w:tcPr>
          <w:p w14:paraId="2F9A00B0">
            <w:pPr>
              <w:pStyle w:val="41"/>
              <w:jc w:val="center"/>
            </w:pPr>
            <w:r>
              <w:t>达标</w:t>
            </w:r>
          </w:p>
        </w:tc>
      </w:tr>
      <w:tr w14:paraId="2CB2B0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68266546">
            <w:pPr>
              <w:pStyle w:val="41"/>
              <w:jc w:val="center"/>
            </w:pPr>
          </w:p>
        </w:tc>
        <w:tc>
          <w:tcPr>
            <w:tcW w:w="945" w:type="dxa"/>
            <w:vMerge w:val="continue"/>
            <w:vAlign w:val="center"/>
          </w:tcPr>
          <w:p w14:paraId="7956EE89">
            <w:pPr>
              <w:pStyle w:val="41"/>
              <w:jc w:val="center"/>
            </w:pPr>
          </w:p>
        </w:tc>
        <w:tc>
          <w:tcPr>
            <w:tcW w:w="2085" w:type="dxa"/>
            <w:vAlign w:val="center"/>
          </w:tcPr>
          <w:p w14:paraId="5CF8D53D">
            <w:pPr>
              <w:pStyle w:val="41"/>
              <w:jc w:val="center"/>
            </w:pPr>
            <w:r>
              <w:t>2-氯酚</w:t>
            </w:r>
          </w:p>
        </w:tc>
        <w:tc>
          <w:tcPr>
            <w:tcW w:w="1135" w:type="dxa"/>
            <w:vAlign w:val="center"/>
          </w:tcPr>
          <w:p w14:paraId="5B4EBB11">
            <w:pPr>
              <w:pStyle w:val="41"/>
              <w:jc w:val="center"/>
            </w:pPr>
            <w:r>
              <w:t>mg/kg</w:t>
            </w:r>
          </w:p>
        </w:tc>
        <w:tc>
          <w:tcPr>
            <w:tcW w:w="1285" w:type="dxa"/>
            <w:vAlign w:val="center"/>
          </w:tcPr>
          <w:p w14:paraId="55FA4ABB">
            <w:pPr>
              <w:pStyle w:val="41"/>
              <w:jc w:val="center"/>
            </w:pPr>
            <w:r>
              <w:rPr>
                <w:rFonts w:hint="eastAsia"/>
                <w:lang w:val="en-US" w:eastAsia="zh-CN"/>
              </w:rPr>
              <w:t>未检出</w:t>
            </w:r>
          </w:p>
        </w:tc>
        <w:tc>
          <w:tcPr>
            <w:tcW w:w="1261" w:type="dxa"/>
            <w:vAlign w:val="center"/>
          </w:tcPr>
          <w:p w14:paraId="45C2AB83">
            <w:pPr>
              <w:pStyle w:val="41"/>
              <w:jc w:val="center"/>
            </w:pPr>
            <w:r>
              <w:rPr>
                <w:rFonts w:hint="eastAsia"/>
              </w:rPr>
              <w:t>2256</w:t>
            </w:r>
          </w:p>
        </w:tc>
        <w:tc>
          <w:tcPr>
            <w:tcW w:w="1250" w:type="dxa"/>
            <w:vAlign w:val="center"/>
          </w:tcPr>
          <w:p w14:paraId="0D00237F">
            <w:pPr>
              <w:pStyle w:val="41"/>
              <w:jc w:val="center"/>
            </w:pPr>
            <w:r>
              <w:t>达标</w:t>
            </w:r>
          </w:p>
        </w:tc>
      </w:tr>
      <w:tr w14:paraId="394890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2FA6F0E">
            <w:pPr>
              <w:pStyle w:val="41"/>
              <w:jc w:val="center"/>
            </w:pPr>
          </w:p>
        </w:tc>
        <w:tc>
          <w:tcPr>
            <w:tcW w:w="945" w:type="dxa"/>
            <w:vMerge w:val="continue"/>
            <w:vAlign w:val="center"/>
          </w:tcPr>
          <w:p w14:paraId="5C4EA26B">
            <w:pPr>
              <w:pStyle w:val="41"/>
              <w:jc w:val="center"/>
            </w:pPr>
          </w:p>
        </w:tc>
        <w:tc>
          <w:tcPr>
            <w:tcW w:w="2085" w:type="dxa"/>
            <w:vAlign w:val="center"/>
          </w:tcPr>
          <w:p w14:paraId="67F6BB47">
            <w:pPr>
              <w:pStyle w:val="41"/>
              <w:jc w:val="center"/>
            </w:pPr>
            <w:r>
              <w:t>苯并[a]蒽</w:t>
            </w:r>
          </w:p>
        </w:tc>
        <w:tc>
          <w:tcPr>
            <w:tcW w:w="1135" w:type="dxa"/>
            <w:vAlign w:val="center"/>
          </w:tcPr>
          <w:p w14:paraId="7D26A615">
            <w:pPr>
              <w:pStyle w:val="41"/>
              <w:jc w:val="center"/>
            </w:pPr>
            <w:r>
              <w:t>mg/kg</w:t>
            </w:r>
          </w:p>
        </w:tc>
        <w:tc>
          <w:tcPr>
            <w:tcW w:w="1285" w:type="dxa"/>
            <w:vAlign w:val="center"/>
          </w:tcPr>
          <w:p w14:paraId="45ED894F">
            <w:pPr>
              <w:pStyle w:val="41"/>
              <w:jc w:val="center"/>
            </w:pPr>
            <w:r>
              <w:rPr>
                <w:rFonts w:hint="eastAsia"/>
                <w:lang w:val="en-US" w:eastAsia="zh-CN"/>
              </w:rPr>
              <w:t>未检出</w:t>
            </w:r>
          </w:p>
        </w:tc>
        <w:tc>
          <w:tcPr>
            <w:tcW w:w="1261" w:type="dxa"/>
            <w:vAlign w:val="center"/>
          </w:tcPr>
          <w:p w14:paraId="6E72AC50">
            <w:pPr>
              <w:pStyle w:val="41"/>
              <w:jc w:val="center"/>
            </w:pPr>
            <w:r>
              <w:rPr>
                <w:rFonts w:hint="eastAsia"/>
              </w:rPr>
              <w:t>15</w:t>
            </w:r>
          </w:p>
        </w:tc>
        <w:tc>
          <w:tcPr>
            <w:tcW w:w="1250" w:type="dxa"/>
            <w:vAlign w:val="center"/>
          </w:tcPr>
          <w:p w14:paraId="51675C64">
            <w:pPr>
              <w:pStyle w:val="41"/>
              <w:jc w:val="center"/>
            </w:pPr>
            <w:r>
              <w:t>达标</w:t>
            </w:r>
          </w:p>
        </w:tc>
      </w:tr>
      <w:tr w14:paraId="1528DF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52D9D65F">
            <w:pPr>
              <w:pStyle w:val="41"/>
              <w:jc w:val="center"/>
            </w:pPr>
          </w:p>
        </w:tc>
        <w:tc>
          <w:tcPr>
            <w:tcW w:w="945" w:type="dxa"/>
            <w:vMerge w:val="continue"/>
            <w:vAlign w:val="center"/>
          </w:tcPr>
          <w:p w14:paraId="564E5046">
            <w:pPr>
              <w:pStyle w:val="41"/>
              <w:jc w:val="center"/>
            </w:pPr>
          </w:p>
        </w:tc>
        <w:tc>
          <w:tcPr>
            <w:tcW w:w="2085" w:type="dxa"/>
            <w:vAlign w:val="center"/>
          </w:tcPr>
          <w:p w14:paraId="5F1D601C">
            <w:pPr>
              <w:pStyle w:val="41"/>
              <w:jc w:val="center"/>
            </w:pPr>
            <w:r>
              <w:t>苯并[a]芘</w:t>
            </w:r>
          </w:p>
        </w:tc>
        <w:tc>
          <w:tcPr>
            <w:tcW w:w="1135" w:type="dxa"/>
            <w:vAlign w:val="center"/>
          </w:tcPr>
          <w:p w14:paraId="671D02AA">
            <w:pPr>
              <w:pStyle w:val="41"/>
              <w:jc w:val="center"/>
            </w:pPr>
            <w:r>
              <w:t>mg/kg</w:t>
            </w:r>
          </w:p>
        </w:tc>
        <w:tc>
          <w:tcPr>
            <w:tcW w:w="1285" w:type="dxa"/>
            <w:vAlign w:val="center"/>
          </w:tcPr>
          <w:p w14:paraId="26EC5FA1">
            <w:pPr>
              <w:pStyle w:val="41"/>
              <w:jc w:val="center"/>
            </w:pPr>
            <w:r>
              <w:rPr>
                <w:rFonts w:hint="eastAsia"/>
                <w:lang w:val="en-US" w:eastAsia="zh-CN"/>
              </w:rPr>
              <w:t>未检出</w:t>
            </w:r>
          </w:p>
        </w:tc>
        <w:tc>
          <w:tcPr>
            <w:tcW w:w="1261" w:type="dxa"/>
            <w:vAlign w:val="center"/>
          </w:tcPr>
          <w:p w14:paraId="6A8FEAF6">
            <w:pPr>
              <w:pStyle w:val="41"/>
              <w:jc w:val="center"/>
            </w:pPr>
            <w:r>
              <w:rPr>
                <w:rFonts w:hint="eastAsia"/>
              </w:rPr>
              <w:t>1.5</w:t>
            </w:r>
          </w:p>
        </w:tc>
        <w:tc>
          <w:tcPr>
            <w:tcW w:w="1250" w:type="dxa"/>
            <w:vAlign w:val="center"/>
          </w:tcPr>
          <w:p w14:paraId="541D6DBE">
            <w:pPr>
              <w:pStyle w:val="41"/>
              <w:jc w:val="center"/>
            </w:pPr>
            <w:r>
              <w:t>达标</w:t>
            </w:r>
          </w:p>
        </w:tc>
      </w:tr>
      <w:tr w14:paraId="7A7A6F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7D8EC33">
            <w:pPr>
              <w:pStyle w:val="41"/>
              <w:jc w:val="center"/>
            </w:pPr>
          </w:p>
        </w:tc>
        <w:tc>
          <w:tcPr>
            <w:tcW w:w="945" w:type="dxa"/>
            <w:vMerge w:val="continue"/>
            <w:vAlign w:val="center"/>
          </w:tcPr>
          <w:p w14:paraId="656304A5">
            <w:pPr>
              <w:pStyle w:val="41"/>
              <w:jc w:val="center"/>
            </w:pPr>
          </w:p>
        </w:tc>
        <w:tc>
          <w:tcPr>
            <w:tcW w:w="2085" w:type="dxa"/>
            <w:vAlign w:val="center"/>
          </w:tcPr>
          <w:p w14:paraId="4BE48DC5">
            <w:pPr>
              <w:pStyle w:val="41"/>
              <w:jc w:val="center"/>
            </w:pPr>
            <w:r>
              <w:t>苯并[b]荧蒽</w:t>
            </w:r>
          </w:p>
        </w:tc>
        <w:tc>
          <w:tcPr>
            <w:tcW w:w="1135" w:type="dxa"/>
            <w:vAlign w:val="center"/>
          </w:tcPr>
          <w:p w14:paraId="22BDAB19">
            <w:pPr>
              <w:pStyle w:val="41"/>
              <w:jc w:val="center"/>
            </w:pPr>
            <w:r>
              <w:t>mg/kg</w:t>
            </w:r>
          </w:p>
        </w:tc>
        <w:tc>
          <w:tcPr>
            <w:tcW w:w="1285" w:type="dxa"/>
            <w:vAlign w:val="center"/>
          </w:tcPr>
          <w:p w14:paraId="644BF7D9">
            <w:pPr>
              <w:pStyle w:val="41"/>
              <w:jc w:val="center"/>
            </w:pPr>
            <w:r>
              <w:rPr>
                <w:rFonts w:hint="eastAsia"/>
                <w:lang w:val="en-US" w:eastAsia="zh-CN"/>
              </w:rPr>
              <w:t>未检出</w:t>
            </w:r>
          </w:p>
        </w:tc>
        <w:tc>
          <w:tcPr>
            <w:tcW w:w="1261" w:type="dxa"/>
            <w:vAlign w:val="center"/>
          </w:tcPr>
          <w:p w14:paraId="643D7EEA">
            <w:pPr>
              <w:pStyle w:val="41"/>
              <w:jc w:val="center"/>
            </w:pPr>
            <w:r>
              <w:rPr>
                <w:rFonts w:hint="eastAsia"/>
              </w:rPr>
              <w:t>15</w:t>
            </w:r>
          </w:p>
        </w:tc>
        <w:tc>
          <w:tcPr>
            <w:tcW w:w="1250" w:type="dxa"/>
            <w:vAlign w:val="center"/>
          </w:tcPr>
          <w:p w14:paraId="04AF836F">
            <w:pPr>
              <w:pStyle w:val="41"/>
              <w:jc w:val="center"/>
            </w:pPr>
            <w:r>
              <w:t>达标</w:t>
            </w:r>
          </w:p>
        </w:tc>
      </w:tr>
      <w:tr w14:paraId="07F8DD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01548AC">
            <w:pPr>
              <w:pStyle w:val="41"/>
              <w:jc w:val="center"/>
            </w:pPr>
          </w:p>
        </w:tc>
        <w:tc>
          <w:tcPr>
            <w:tcW w:w="945" w:type="dxa"/>
            <w:vMerge w:val="continue"/>
            <w:vAlign w:val="center"/>
          </w:tcPr>
          <w:p w14:paraId="76D6E15A">
            <w:pPr>
              <w:pStyle w:val="41"/>
              <w:jc w:val="center"/>
            </w:pPr>
          </w:p>
        </w:tc>
        <w:tc>
          <w:tcPr>
            <w:tcW w:w="2085" w:type="dxa"/>
            <w:vAlign w:val="center"/>
          </w:tcPr>
          <w:p w14:paraId="37A1BA37">
            <w:pPr>
              <w:pStyle w:val="41"/>
              <w:jc w:val="center"/>
            </w:pPr>
            <w:r>
              <w:t>苯并[k]荧蒽</w:t>
            </w:r>
          </w:p>
        </w:tc>
        <w:tc>
          <w:tcPr>
            <w:tcW w:w="1135" w:type="dxa"/>
            <w:vAlign w:val="center"/>
          </w:tcPr>
          <w:p w14:paraId="0550D7A0">
            <w:pPr>
              <w:pStyle w:val="41"/>
              <w:jc w:val="center"/>
            </w:pPr>
            <w:r>
              <w:t>mg/kg</w:t>
            </w:r>
          </w:p>
        </w:tc>
        <w:tc>
          <w:tcPr>
            <w:tcW w:w="1285" w:type="dxa"/>
            <w:vAlign w:val="center"/>
          </w:tcPr>
          <w:p w14:paraId="03BDF891">
            <w:pPr>
              <w:pStyle w:val="41"/>
              <w:jc w:val="center"/>
            </w:pPr>
            <w:r>
              <w:rPr>
                <w:rFonts w:hint="eastAsia"/>
                <w:lang w:val="en-US" w:eastAsia="zh-CN"/>
              </w:rPr>
              <w:t>未检出</w:t>
            </w:r>
          </w:p>
        </w:tc>
        <w:tc>
          <w:tcPr>
            <w:tcW w:w="1261" w:type="dxa"/>
            <w:vAlign w:val="center"/>
          </w:tcPr>
          <w:p w14:paraId="7D2C54D7">
            <w:pPr>
              <w:pStyle w:val="41"/>
              <w:jc w:val="center"/>
            </w:pPr>
            <w:r>
              <w:rPr>
                <w:rFonts w:hint="eastAsia"/>
              </w:rPr>
              <w:t>151</w:t>
            </w:r>
          </w:p>
        </w:tc>
        <w:tc>
          <w:tcPr>
            <w:tcW w:w="1250" w:type="dxa"/>
            <w:vAlign w:val="center"/>
          </w:tcPr>
          <w:p w14:paraId="5026AA60">
            <w:pPr>
              <w:pStyle w:val="41"/>
              <w:jc w:val="center"/>
            </w:pPr>
            <w:r>
              <w:t>达标</w:t>
            </w:r>
          </w:p>
        </w:tc>
      </w:tr>
      <w:tr w14:paraId="2D91A5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6AB2156">
            <w:pPr>
              <w:pStyle w:val="41"/>
              <w:jc w:val="center"/>
            </w:pPr>
          </w:p>
        </w:tc>
        <w:tc>
          <w:tcPr>
            <w:tcW w:w="945" w:type="dxa"/>
            <w:vMerge w:val="continue"/>
            <w:vAlign w:val="center"/>
          </w:tcPr>
          <w:p w14:paraId="2418150B">
            <w:pPr>
              <w:pStyle w:val="41"/>
              <w:jc w:val="center"/>
            </w:pPr>
          </w:p>
        </w:tc>
        <w:tc>
          <w:tcPr>
            <w:tcW w:w="2085" w:type="dxa"/>
            <w:vAlign w:val="center"/>
          </w:tcPr>
          <w:p w14:paraId="448D11BC">
            <w:pPr>
              <w:pStyle w:val="41"/>
              <w:jc w:val="center"/>
            </w:pPr>
            <w:r>
              <w:t>䓛</w:t>
            </w:r>
          </w:p>
        </w:tc>
        <w:tc>
          <w:tcPr>
            <w:tcW w:w="1135" w:type="dxa"/>
            <w:vAlign w:val="center"/>
          </w:tcPr>
          <w:p w14:paraId="61CA75B1">
            <w:pPr>
              <w:pStyle w:val="41"/>
              <w:jc w:val="center"/>
            </w:pPr>
            <w:r>
              <w:t>mg/kg</w:t>
            </w:r>
          </w:p>
        </w:tc>
        <w:tc>
          <w:tcPr>
            <w:tcW w:w="1285" w:type="dxa"/>
            <w:vAlign w:val="center"/>
          </w:tcPr>
          <w:p w14:paraId="7E4638B8">
            <w:pPr>
              <w:pStyle w:val="41"/>
              <w:jc w:val="center"/>
            </w:pPr>
            <w:r>
              <w:rPr>
                <w:rFonts w:hint="eastAsia"/>
                <w:lang w:val="en-US" w:eastAsia="zh-CN"/>
              </w:rPr>
              <w:t>未检出</w:t>
            </w:r>
          </w:p>
        </w:tc>
        <w:tc>
          <w:tcPr>
            <w:tcW w:w="1261" w:type="dxa"/>
            <w:vAlign w:val="center"/>
          </w:tcPr>
          <w:p w14:paraId="350CB04C">
            <w:pPr>
              <w:pStyle w:val="41"/>
              <w:jc w:val="center"/>
            </w:pPr>
            <w:r>
              <w:rPr>
                <w:rFonts w:hint="eastAsia"/>
              </w:rPr>
              <w:t>1293</w:t>
            </w:r>
          </w:p>
        </w:tc>
        <w:tc>
          <w:tcPr>
            <w:tcW w:w="1250" w:type="dxa"/>
            <w:vAlign w:val="center"/>
          </w:tcPr>
          <w:p w14:paraId="0867D472">
            <w:pPr>
              <w:pStyle w:val="41"/>
              <w:jc w:val="center"/>
            </w:pPr>
            <w:r>
              <w:t>达标</w:t>
            </w:r>
          </w:p>
        </w:tc>
      </w:tr>
      <w:tr w14:paraId="7E79F9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05776CCC">
            <w:pPr>
              <w:pStyle w:val="41"/>
              <w:jc w:val="center"/>
            </w:pPr>
          </w:p>
        </w:tc>
        <w:tc>
          <w:tcPr>
            <w:tcW w:w="945" w:type="dxa"/>
            <w:vMerge w:val="continue"/>
            <w:vAlign w:val="center"/>
          </w:tcPr>
          <w:p w14:paraId="0A1C3F7F">
            <w:pPr>
              <w:pStyle w:val="41"/>
              <w:jc w:val="center"/>
            </w:pPr>
          </w:p>
        </w:tc>
        <w:tc>
          <w:tcPr>
            <w:tcW w:w="2085" w:type="dxa"/>
            <w:vAlign w:val="center"/>
          </w:tcPr>
          <w:p w14:paraId="29FC1088">
            <w:pPr>
              <w:pStyle w:val="41"/>
              <w:jc w:val="center"/>
            </w:pPr>
            <w:r>
              <w:t>二苯并[a,h]蒽</w:t>
            </w:r>
          </w:p>
        </w:tc>
        <w:tc>
          <w:tcPr>
            <w:tcW w:w="1135" w:type="dxa"/>
            <w:vAlign w:val="center"/>
          </w:tcPr>
          <w:p w14:paraId="07BE32E1">
            <w:pPr>
              <w:pStyle w:val="41"/>
              <w:jc w:val="center"/>
            </w:pPr>
            <w:r>
              <w:t>Mg/kg</w:t>
            </w:r>
          </w:p>
        </w:tc>
        <w:tc>
          <w:tcPr>
            <w:tcW w:w="1285" w:type="dxa"/>
            <w:vAlign w:val="center"/>
          </w:tcPr>
          <w:p w14:paraId="58DF112B">
            <w:pPr>
              <w:pStyle w:val="41"/>
              <w:jc w:val="center"/>
            </w:pPr>
            <w:r>
              <w:rPr>
                <w:rFonts w:hint="eastAsia"/>
                <w:lang w:val="en-US" w:eastAsia="zh-CN"/>
              </w:rPr>
              <w:t>未检出</w:t>
            </w:r>
          </w:p>
        </w:tc>
        <w:tc>
          <w:tcPr>
            <w:tcW w:w="1261" w:type="dxa"/>
            <w:vAlign w:val="center"/>
          </w:tcPr>
          <w:p w14:paraId="68C69E66">
            <w:pPr>
              <w:pStyle w:val="41"/>
              <w:jc w:val="center"/>
            </w:pPr>
            <w:r>
              <w:rPr>
                <w:rFonts w:hint="eastAsia"/>
              </w:rPr>
              <w:t>1.5</w:t>
            </w:r>
          </w:p>
        </w:tc>
        <w:tc>
          <w:tcPr>
            <w:tcW w:w="1250" w:type="dxa"/>
            <w:vAlign w:val="center"/>
          </w:tcPr>
          <w:p w14:paraId="3E50E635">
            <w:pPr>
              <w:pStyle w:val="41"/>
              <w:jc w:val="center"/>
            </w:pPr>
            <w:r>
              <w:t>达标</w:t>
            </w:r>
          </w:p>
        </w:tc>
      </w:tr>
      <w:tr w14:paraId="3F6722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EA40528">
            <w:pPr>
              <w:pStyle w:val="41"/>
              <w:jc w:val="center"/>
            </w:pPr>
          </w:p>
        </w:tc>
        <w:tc>
          <w:tcPr>
            <w:tcW w:w="945" w:type="dxa"/>
            <w:vMerge w:val="continue"/>
            <w:vAlign w:val="center"/>
          </w:tcPr>
          <w:p w14:paraId="7A8C20FD">
            <w:pPr>
              <w:pStyle w:val="41"/>
              <w:jc w:val="center"/>
            </w:pPr>
          </w:p>
        </w:tc>
        <w:tc>
          <w:tcPr>
            <w:tcW w:w="2085" w:type="dxa"/>
            <w:vAlign w:val="center"/>
          </w:tcPr>
          <w:p w14:paraId="16CC0DE2">
            <w:pPr>
              <w:pStyle w:val="41"/>
              <w:jc w:val="center"/>
            </w:pPr>
            <w:r>
              <w:t>茚并[1,2,3-cd] 芘</w:t>
            </w:r>
          </w:p>
        </w:tc>
        <w:tc>
          <w:tcPr>
            <w:tcW w:w="1135" w:type="dxa"/>
            <w:vAlign w:val="center"/>
          </w:tcPr>
          <w:p w14:paraId="7EE1138F">
            <w:pPr>
              <w:pStyle w:val="41"/>
              <w:jc w:val="center"/>
            </w:pPr>
            <w:r>
              <w:t>mg/kg</w:t>
            </w:r>
          </w:p>
        </w:tc>
        <w:tc>
          <w:tcPr>
            <w:tcW w:w="1285" w:type="dxa"/>
            <w:vAlign w:val="center"/>
          </w:tcPr>
          <w:p w14:paraId="4D5BDFE3">
            <w:pPr>
              <w:pStyle w:val="41"/>
              <w:jc w:val="center"/>
            </w:pPr>
            <w:r>
              <w:rPr>
                <w:rFonts w:hint="eastAsia"/>
                <w:lang w:val="en-US" w:eastAsia="zh-CN"/>
              </w:rPr>
              <w:t>未检出</w:t>
            </w:r>
          </w:p>
        </w:tc>
        <w:tc>
          <w:tcPr>
            <w:tcW w:w="1261" w:type="dxa"/>
            <w:vAlign w:val="center"/>
          </w:tcPr>
          <w:p w14:paraId="4AC7BB05">
            <w:pPr>
              <w:pStyle w:val="41"/>
              <w:jc w:val="center"/>
            </w:pPr>
            <w:r>
              <w:rPr>
                <w:rFonts w:hint="eastAsia"/>
              </w:rPr>
              <w:t>15</w:t>
            </w:r>
          </w:p>
        </w:tc>
        <w:tc>
          <w:tcPr>
            <w:tcW w:w="1250" w:type="dxa"/>
            <w:vAlign w:val="center"/>
          </w:tcPr>
          <w:p w14:paraId="19EF81CD">
            <w:pPr>
              <w:pStyle w:val="41"/>
              <w:jc w:val="center"/>
            </w:pPr>
            <w:r>
              <w:t>达标</w:t>
            </w:r>
          </w:p>
        </w:tc>
      </w:tr>
      <w:tr w14:paraId="6C073A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A07F66F">
            <w:pPr>
              <w:pStyle w:val="41"/>
              <w:jc w:val="center"/>
            </w:pPr>
          </w:p>
        </w:tc>
        <w:tc>
          <w:tcPr>
            <w:tcW w:w="945" w:type="dxa"/>
            <w:vMerge w:val="continue"/>
            <w:vAlign w:val="center"/>
          </w:tcPr>
          <w:p w14:paraId="55A107F0">
            <w:pPr>
              <w:pStyle w:val="41"/>
              <w:jc w:val="center"/>
            </w:pPr>
          </w:p>
        </w:tc>
        <w:tc>
          <w:tcPr>
            <w:tcW w:w="2085" w:type="dxa"/>
            <w:vAlign w:val="center"/>
          </w:tcPr>
          <w:p w14:paraId="442A4407">
            <w:pPr>
              <w:pStyle w:val="41"/>
              <w:jc w:val="center"/>
            </w:pPr>
            <w:r>
              <w:t>萘</w:t>
            </w:r>
          </w:p>
        </w:tc>
        <w:tc>
          <w:tcPr>
            <w:tcW w:w="1135" w:type="dxa"/>
            <w:vAlign w:val="center"/>
          </w:tcPr>
          <w:p w14:paraId="1A686DA0">
            <w:pPr>
              <w:pStyle w:val="41"/>
              <w:jc w:val="center"/>
            </w:pPr>
            <w:r>
              <w:t>Mg/kg</w:t>
            </w:r>
          </w:p>
        </w:tc>
        <w:tc>
          <w:tcPr>
            <w:tcW w:w="1285" w:type="dxa"/>
            <w:vAlign w:val="center"/>
          </w:tcPr>
          <w:p w14:paraId="5336D1A8">
            <w:pPr>
              <w:pStyle w:val="41"/>
              <w:jc w:val="center"/>
            </w:pPr>
            <w:r>
              <w:rPr>
                <w:rFonts w:hint="eastAsia"/>
                <w:lang w:val="en-US" w:eastAsia="zh-CN"/>
              </w:rPr>
              <w:t>未检出</w:t>
            </w:r>
          </w:p>
        </w:tc>
        <w:tc>
          <w:tcPr>
            <w:tcW w:w="1261" w:type="dxa"/>
            <w:vAlign w:val="center"/>
          </w:tcPr>
          <w:p w14:paraId="3DC8A3D5">
            <w:pPr>
              <w:pStyle w:val="41"/>
              <w:jc w:val="center"/>
            </w:pPr>
            <w:r>
              <w:rPr>
                <w:rFonts w:hint="eastAsia"/>
              </w:rPr>
              <w:t>70</w:t>
            </w:r>
          </w:p>
        </w:tc>
        <w:tc>
          <w:tcPr>
            <w:tcW w:w="1250" w:type="dxa"/>
            <w:vAlign w:val="center"/>
          </w:tcPr>
          <w:p w14:paraId="51757B39">
            <w:pPr>
              <w:pStyle w:val="41"/>
              <w:jc w:val="center"/>
            </w:pPr>
            <w:r>
              <w:t>达标</w:t>
            </w:r>
          </w:p>
        </w:tc>
      </w:tr>
      <w:tr w14:paraId="72E54F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448289E">
            <w:pPr>
              <w:pStyle w:val="41"/>
              <w:jc w:val="center"/>
            </w:pPr>
          </w:p>
        </w:tc>
        <w:tc>
          <w:tcPr>
            <w:tcW w:w="945" w:type="dxa"/>
            <w:vMerge w:val="continue"/>
            <w:vAlign w:val="center"/>
          </w:tcPr>
          <w:p w14:paraId="1138928E">
            <w:pPr>
              <w:pStyle w:val="41"/>
              <w:jc w:val="center"/>
            </w:pPr>
          </w:p>
        </w:tc>
        <w:tc>
          <w:tcPr>
            <w:tcW w:w="2085" w:type="dxa"/>
            <w:vAlign w:val="center"/>
          </w:tcPr>
          <w:p w14:paraId="5BDC73DE">
            <w:pPr>
              <w:pStyle w:val="41"/>
              <w:jc w:val="center"/>
            </w:pPr>
            <w:r>
              <w:t>石油烃  (C10-C40 )</w:t>
            </w:r>
          </w:p>
        </w:tc>
        <w:tc>
          <w:tcPr>
            <w:tcW w:w="1135" w:type="dxa"/>
            <w:vAlign w:val="center"/>
          </w:tcPr>
          <w:p w14:paraId="789D1F12">
            <w:pPr>
              <w:pStyle w:val="41"/>
              <w:jc w:val="center"/>
            </w:pPr>
            <w:r>
              <w:t>mg/kg</w:t>
            </w:r>
          </w:p>
        </w:tc>
        <w:tc>
          <w:tcPr>
            <w:tcW w:w="1285" w:type="dxa"/>
            <w:vAlign w:val="center"/>
          </w:tcPr>
          <w:p w14:paraId="63491F2F">
            <w:pPr>
              <w:pStyle w:val="41"/>
              <w:jc w:val="center"/>
              <w:rPr>
                <w:rFonts w:hint="default" w:eastAsia="宋体"/>
                <w:lang w:val="en-US" w:eastAsia="zh-CN"/>
              </w:rPr>
            </w:pPr>
            <w:r>
              <w:rPr>
                <w:rFonts w:hint="eastAsia"/>
                <w:lang w:val="en-US" w:eastAsia="zh-CN"/>
              </w:rPr>
              <w:t>22.1</w:t>
            </w:r>
          </w:p>
        </w:tc>
        <w:tc>
          <w:tcPr>
            <w:tcW w:w="1261" w:type="dxa"/>
            <w:vAlign w:val="center"/>
          </w:tcPr>
          <w:p w14:paraId="3600391A">
            <w:pPr>
              <w:pStyle w:val="41"/>
              <w:jc w:val="center"/>
            </w:pPr>
            <w:r>
              <w:rPr>
                <w:rFonts w:hint="eastAsia"/>
              </w:rPr>
              <w:t>4500</w:t>
            </w:r>
          </w:p>
        </w:tc>
        <w:tc>
          <w:tcPr>
            <w:tcW w:w="1250" w:type="dxa"/>
            <w:vAlign w:val="center"/>
          </w:tcPr>
          <w:p w14:paraId="75C003E6">
            <w:pPr>
              <w:pStyle w:val="41"/>
              <w:jc w:val="center"/>
            </w:pPr>
            <w:r>
              <w:t>达标</w:t>
            </w:r>
          </w:p>
        </w:tc>
      </w:tr>
      <w:tr w14:paraId="1B678C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restart"/>
            <w:vAlign w:val="center"/>
          </w:tcPr>
          <w:p w14:paraId="27EC1725">
            <w:pPr>
              <w:pStyle w:val="41"/>
              <w:jc w:val="center"/>
              <w:rPr>
                <w:rFonts w:hint="default" w:eastAsia="宋体"/>
                <w:lang w:val="en-US" w:eastAsia="zh-CN"/>
              </w:rPr>
            </w:pPr>
            <w:r>
              <w:rPr>
                <w:rFonts w:hint="eastAsia"/>
                <w:lang w:val="en-US" w:eastAsia="zh-CN"/>
              </w:rPr>
              <w:t>CT2厂址范围内柱状样</w:t>
            </w:r>
          </w:p>
        </w:tc>
        <w:tc>
          <w:tcPr>
            <w:tcW w:w="945" w:type="dxa"/>
            <w:vMerge w:val="restart"/>
            <w:vAlign w:val="center"/>
          </w:tcPr>
          <w:p w14:paraId="4DA52D2B">
            <w:pPr>
              <w:pStyle w:val="41"/>
              <w:jc w:val="center"/>
            </w:pPr>
            <w:r>
              <w:t>0-50cm</w:t>
            </w:r>
          </w:p>
        </w:tc>
        <w:tc>
          <w:tcPr>
            <w:tcW w:w="2085" w:type="dxa"/>
            <w:vAlign w:val="center"/>
          </w:tcPr>
          <w:p w14:paraId="766B0DAD">
            <w:pPr>
              <w:pStyle w:val="41"/>
              <w:jc w:val="center"/>
            </w:pPr>
            <w:r>
              <w:rPr>
                <w:rFonts w:hint="eastAsia"/>
              </w:rPr>
              <w:t>砷</w:t>
            </w:r>
          </w:p>
        </w:tc>
        <w:tc>
          <w:tcPr>
            <w:tcW w:w="1135" w:type="dxa"/>
            <w:vAlign w:val="center"/>
          </w:tcPr>
          <w:p w14:paraId="08F72D9A">
            <w:pPr>
              <w:pStyle w:val="41"/>
              <w:jc w:val="center"/>
            </w:pPr>
            <w:r>
              <w:t>mg/kg</w:t>
            </w:r>
          </w:p>
        </w:tc>
        <w:tc>
          <w:tcPr>
            <w:tcW w:w="1285" w:type="dxa"/>
            <w:vAlign w:val="center"/>
          </w:tcPr>
          <w:p w14:paraId="2A95B53E">
            <w:pPr>
              <w:pStyle w:val="41"/>
              <w:jc w:val="center"/>
              <w:rPr>
                <w:rFonts w:hint="default" w:eastAsia="宋体"/>
                <w:lang w:val="en-US" w:eastAsia="zh-CN"/>
              </w:rPr>
            </w:pPr>
            <w:r>
              <w:rPr>
                <w:rFonts w:hint="eastAsia"/>
                <w:lang w:val="en-US" w:eastAsia="zh-CN"/>
              </w:rPr>
              <w:t>4.64</w:t>
            </w:r>
          </w:p>
        </w:tc>
        <w:tc>
          <w:tcPr>
            <w:tcW w:w="1261" w:type="dxa"/>
            <w:vAlign w:val="center"/>
          </w:tcPr>
          <w:p w14:paraId="7419B59E">
            <w:pPr>
              <w:pStyle w:val="41"/>
              <w:jc w:val="center"/>
            </w:pPr>
            <w:r>
              <w:rPr>
                <w:rFonts w:hint="eastAsia"/>
              </w:rPr>
              <w:t>60</w:t>
            </w:r>
          </w:p>
        </w:tc>
        <w:tc>
          <w:tcPr>
            <w:tcW w:w="1250" w:type="dxa"/>
            <w:vAlign w:val="center"/>
          </w:tcPr>
          <w:p w14:paraId="21AEC91D">
            <w:pPr>
              <w:pStyle w:val="41"/>
              <w:jc w:val="center"/>
            </w:pPr>
            <w:r>
              <w:t>达标</w:t>
            </w:r>
          </w:p>
        </w:tc>
      </w:tr>
      <w:tr w14:paraId="7AB2DD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73" w:hRule="atLeast"/>
          <w:jc w:val="center"/>
        </w:trPr>
        <w:tc>
          <w:tcPr>
            <w:tcW w:w="1100" w:type="dxa"/>
            <w:vMerge w:val="continue"/>
            <w:vAlign w:val="center"/>
          </w:tcPr>
          <w:p w14:paraId="6030889D">
            <w:pPr>
              <w:pStyle w:val="41"/>
              <w:jc w:val="center"/>
            </w:pPr>
          </w:p>
        </w:tc>
        <w:tc>
          <w:tcPr>
            <w:tcW w:w="945" w:type="dxa"/>
            <w:vMerge w:val="continue"/>
            <w:vAlign w:val="center"/>
          </w:tcPr>
          <w:p w14:paraId="18BC3392">
            <w:pPr>
              <w:pStyle w:val="41"/>
              <w:jc w:val="center"/>
            </w:pPr>
          </w:p>
        </w:tc>
        <w:tc>
          <w:tcPr>
            <w:tcW w:w="2085" w:type="dxa"/>
            <w:vAlign w:val="center"/>
          </w:tcPr>
          <w:p w14:paraId="114A9920">
            <w:pPr>
              <w:pStyle w:val="41"/>
              <w:jc w:val="center"/>
            </w:pPr>
            <w:r>
              <w:rPr>
                <w:rFonts w:hint="eastAsia"/>
              </w:rPr>
              <w:t>镉</w:t>
            </w:r>
          </w:p>
        </w:tc>
        <w:tc>
          <w:tcPr>
            <w:tcW w:w="1135" w:type="dxa"/>
            <w:vAlign w:val="center"/>
          </w:tcPr>
          <w:p w14:paraId="75E36B0A">
            <w:pPr>
              <w:pStyle w:val="41"/>
              <w:jc w:val="center"/>
            </w:pPr>
            <w:r>
              <w:t>mg/kg</w:t>
            </w:r>
          </w:p>
        </w:tc>
        <w:tc>
          <w:tcPr>
            <w:tcW w:w="1285" w:type="dxa"/>
            <w:vAlign w:val="center"/>
          </w:tcPr>
          <w:p w14:paraId="0EB8FDB2">
            <w:pPr>
              <w:pStyle w:val="41"/>
              <w:jc w:val="center"/>
            </w:pPr>
            <w:r>
              <w:rPr>
                <w:rFonts w:hint="eastAsia"/>
                <w:lang w:val="en-US" w:eastAsia="zh-CN"/>
              </w:rPr>
              <w:t>未检出</w:t>
            </w:r>
          </w:p>
        </w:tc>
        <w:tc>
          <w:tcPr>
            <w:tcW w:w="1261" w:type="dxa"/>
            <w:vAlign w:val="center"/>
          </w:tcPr>
          <w:p w14:paraId="327689E9">
            <w:pPr>
              <w:pStyle w:val="41"/>
              <w:jc w:val="center"/>
            </w:pPr>
            <w:r>
              <w:rPr>
                <w:rFonts w:hint="eastAsia"/>
              </w:rPr>
              <w:t>65</w:t>
            </w:r>
          </w:p>
        </w:tc>
        <w:tc>
          <w:tcPr>
            <w:tcW w:w="1250" w:type="dxa"/>
            <w:vAlign w:val="center"/>
          </w:tcPr>
          <w:p w14:paraId="16EF11D1">
            <w:pPr>
              <w:pStyle w:val="41"/>
              <w:jc w:val="center"/>
            </w:pPr>
            <w:r>
              <w:t>达标</w:t>
            </w:r>
          </w:p>
        </w:tc>
      </w:tr>
      <w:tr w14:paraId="0AA73C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EF1128A">
            <w:pPr>
              <w:pStyle w:val="41"/>
              <w:jc w:val="center"/>
            </w:pPr>
          </w:p>
        </w:tc>
        <w:tc>
          <w:tcPr>
            <w:tcW w:w="945" w:type="dxa"/>
            <w:vMerge w:val="continue"/>
            <w:vAlign w:val="center"/>
          </w:tcPr>
          <w:p w14:paraId="713604F3">
            <w:pPr>
              <w:pStyle w:val="41"/>
              <w:jc w:val="center"/>
            </w:pPr>
          </w:p>
        </w:tc>
        <w:tc>
          <w:tcPr>
            <w:tcW w:w="2085" w:type="dxa"/>
            <w:vAlign w:val="center"/>
          </w:tcPr>
          <w:p w14:paraId="5F31D6E5">
            <w:pPr>
              <w:pStyle w:val="41"/>
              <w:jc w:val="center"/>
            </w:pPr>
            <w:r>
              <w:rPr>
                <w:rFonts w:hint="eastAsia"/>
              </w:rPr>
              <w:t>六价铬</w:t>
            </w:r>
          </w:p>
        </w:tc>
        <w:tc>
          <w:tcPr>
            <w:tcW w:w="1135" w:type="dxa"/>
            <w:vAlign w:val="center"/>
          </w:tcPr>
          <w:p w14:paraId="062415EB">
            <w:pPr>
              <w:pStyle w:val="41"/>
              <w:jc w:val="center"/>
            </w:pPr>
            <w:r>
              <w:t>mg/kg</w:t>
            </w:r>
          </w:p>
        </w:tc>
        <w:tc>
          <w:tcPr>
            <w:tcW w:w="1285" w:type="dxa"/>
            <w:vAlign w:val="center"/>
          </w:tcPr>
          <w:p w14:paraId="01C4A2BC">
            <w:pPr>
              <w:pStyle w:val="41"/>
              <w:jc w:val="center"/>
            </w:pPr>
            <w:r>
              <w:rPr>
                <w:rFonts w:hint="eastAsia"/>
                <w:lang w:val="en-US" w:eastAsia="zh-CN"/>
              </w:rPr>
              <w:t>未检出</w:t>
            </w:r>
          </w:p>
        </w:tc>
        <w:tc>
          <w:tcPr>
            <w:tcW w:w="1261" w:type="dxa"/>
            <w:vAlign w:val="center"/>
          </w:tcPr>
          <w:p w14:paraId="47263D4B">
            <w:pPr>
              <w:pStyle w:val="41"/>
              <w:jc w:val="center"/>
            </w:pPr>
            <w:r>
              <w:rPr>
                <w:rFonts w:hint="eastAsia"/>
              </w:rPr>
              <w:t>5.7</w:t>
            </w:r>
          </w:p>
        </w:tc>
        <w:tc>
          <w:tcPr>
            <w:tcW w:w="1250" w:type="dxa"/>
            <w:vAlign w:val="center"/>
          </w:tcPr>
          <w:p w14:paraId="6E7CF9E1">
            <w:pPr>
              <w:pStyle w:val="41"/>
              <w:jc w:val="center"/>
            </w:pPr>
            <w:r>
              <w:t>达标</w:t>
            </w:r>
          </w:p>
        </w:tc>
      </w:tr>
      <w:tr w14:paraId="2C085E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CFC1503">
            <w:pPr>
              <w:pStyle w:val="41"/>
              <w:jc w:val="center"/>
            </w:pPr>
          </w:p>
        </w:tc>
        <w:tc>
          <w:tcPr>
            <w:tcW w:w="945" w:type="dxa"/>
            <w:vMerge w:val="continue"/>
            <w:vAlign w:val="center"/>
          </w:tcPr>
          <w:p w14:paraId="367C1E07">
            <w:pPr>
              <w:pStyle w:val="41"/>
              <w:jc w:val="center"/>
            </w:pPr>
          </w:p>
        </w:tc>
        <w:tc>
          <w:tcPr>
            <w:tcW w:w="2085" w:type="dxa"/>
            <w:vAlign w:val="center"/>
          </w:tcPr>
          <w:p w14:paraId="46C81012">
            <w:pPr>
              <w:pStyle w:val="41"/>
              <w:jc w:val="center"/>
            </w:pPr>
            <w:r>
              <w:rPr>
                <w:rFonts w:hint="eastAsia"/>
              </w:rPr>
              <w:t>铜</w:t>
            </w:r>
          </w:p>
        </w:tc>
        <w:tc>
          <w:tcPr>
            <w:tcW w:w="1135" w:type="dxa"/>
            <w:vAlign w:val="center"/>
          </w:tcPr>
          <w:p w14:paraId="3E92FF81">
            <w:pPr>
              <w:pStyle w:val="41"/>
              <w:jc w:val="center"/>
            </w:pPr>
            <w:r>
              <w:t>mg/kg</w:t>
            </w:r>
          </w:p>
        </w:tc>
        <w:tc>
          <w:tcPr>
            <w:tcW w:w="1285" w:type="dxa"/>
            <w:vAlign w:val="center"/>
          </w:tcPr>
          <w:p w14:paraId="310A8592">
            <w:pPr>
              <w:pStyle w:val="41"/>
              <w:jc w:val="center"/>
              <w:rPr>
                <w:rFonts w:hint="default" w:eastAsia="宋体"/>
                <w:lang w:val="en-US" w:eastAsia="zh-CN"/>
              </w:rPr>
            </w:pPr>
            <w:r>
              <w:rPr>
                <w:rFonts w:hint="eastAsia"/>
                <w:lang w:val="en-US" w:eastAsia="zh-CN"/>
              </w:rPr>
              <w:t>28.0</w:t>
            </w:r>
          </w:p>
        </w:tc>
        <w:tc>
          <w:tcPr>
            <w:tcW w:w="1261" w:type="dxa"/>
            <w:vAlign w:val="center"/>
          </w:tcPr>
          <w:p w14:paraId="68602B1A">
            <w:pPr>
              <w:pStyle w:val="41"/>
              <w:jc w:val="center"/>
            </w:pPr>
            <w:r>
              <w:rPr>
                <w:rFonts w:hint="eastAsia"/>
              </w:rPr>
              <w:t>18000</w:t>
            </w:r>
          </w:p>
        </w:tc>
        <w:tc>
          <w:tcPr>
            <w:tcW w:w="1250" w:type="dxa"/>
            <w:vAlign w:val="center"/>
          </w:tcPr>
          <w:p w14:paraId="3FC9D60E">
            <w:pPr>
              <w:pStyle w:val="41"/>
              <w:jc w:val="center"/>
            </w:pPr>
            <w:r>
              <w:t>达标</w:t>
            </w:r>
          </w:p>
        </w:tc>
      </w:tr>
      <w:tr w14:paraId="54D271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824C6D1">
            <w:pPr>
              <w:pStyle w:val="41"/>
              <w:jc w:val="center"/>
            </w:pPr>
          </w:p>
        </w:tc>
        <w:tc>
          <w:tcPr>
            <w:tcW w:w="945" w:type="dxa"/>
            <w:vMerge w:val="continue"/>
            <w:vAlign w:val="center"/>
          </w:tcPr>
          <w:p w14:paraId="03798A3F">
            <w:pPr>
              <w:pStyle w:val="41"/>
              <w:jc w:val="center"/>
            </w:pPr>
          </w:p>
        </w:tc>
        <w:tc>
          <w:tcPr>
            <w:tcW w:w="2085" w:type="dxa"/>
            <w:vAlign w:val="center"/>
          </w:tcPr>
          <w:p w14:paraId="4FA14393">
            <w:pPr>
              <w:pStyle w:val="41"/>
              <w:jc w:val="center"/>
            </w:pPr>
            <w:r>
              <w:rPr>
                <w:rFonts w:hint="eastAsia"/>
              </w:rPr>
              <w:t>铅</w:t>
            </w:r>
          </w:p>
        </w:tc>
        <w:tc>
          <w:tcPr>
            <w:tcW w:w="1135" w:type="dxa"/>
            <w:vAlign w:val="center"/>
          </w:tcPr>
          <w:p w14:paraId="27724EAA">
            <w:pPr>
              <w:pStyle w:val="41"/>
              <w:jc w:val="center"/>
            </w:pPr>
            <w:r>
              <w:t>mg/kg</w:t>
            </w:r>
          </w:p>
        </w:tc>
        <w:tc>
          <w:tcPr>
            <w:tcW w:w="1285" w:type="dxa"/>
            <w:vAlign w:val="center"/>
          </w:tcPr>
          <w:p w14:paraId="6E06CA1F">
            <w:pPr>
              <w:pStyle w:val="41"/>
              <w:jc w:val="center"/>
              <w:rPr>
                <w:rFonts w:hint="default" w:eastAsia="宋体"/>
                <w:lang w:val="en-US" w:eastAsia="zh-CN"/>
              </w:rPr>
            </w:pPr>
            <w:r>
              <w:rPr>
                <w:rFonts w:hint="eastAsia"/>
                <w:lang w:val="en-US" w:eastAsia="zh-CN"/>
              </w:rPr>
              <w:t>23.0</w:t>
            </w:r>
          </w:p>
        </w:tc>
        <w:tc>
          <w:tcPr>
            <w:tcW w:w="1261" w:type="dxa"/>
            <w:vAlign w:val="center"/>
          </w:tcPr>
          <w:p w14:paraId="3B7CC1F8">
            <w:pPr>
              <w:pStyle w:val="41"/>
              <w:jc w:val="center"/>
            </w:pPr>
            <w:r>
              <w:rPr>
                <w:rFonts w:hint="eastAsia"/>
              </w:rPr>
              <w:t>800</w:t>
            </w:r>
          </w:p>
        </w:tc>
        <w:tc>
          <w:tcPr>
            <w:tcW w:w="1250" w:type="dxa"/>
            <w:vAlign w:val="center"/>
          </w:tcPr>
          <w:p w14:paraId="536B2B3D">
            <w:pPr>
              <w:pStyle w:val="41"/>
              <w:jc w:val="center"/>
            </w:pPr>
            <w:r>
              <w:t>达标</w:t>
            </w:r>
          </w:p>
        </w:tc>
      </w:tr>
      <w:tr w14:paraId="6D142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33D34225">
            <w:pPr>
              <w:pStyle w:val="41"/>
              <w:jc w:val="center"/>
            </w:pPr>
          </w:p>
        </w:tc>
        <w:tc>
          <w:tcPr>
            <w:tcW w:w="945" w:type="dxa"/>
            <w:vMerge w:val="continue"/>
            <w:vAlign w:val="center"/>
          </w:tcPr>
          <w:p w14:paraId="16383B24">
            <w:pPr>
              <w:pStyle w:val="41"/>
              <w:jc w:val="center"/>
            </w:pPr>
          </w:p>
        </w:tc>
        <w:tc>
          <w:tcPr>
            <w:tcW w:w="2085" w:type="dxa"/>
            <w:vAlign w:val="center"/>
          </w:tcPr>
          <w:p w14:paraId="6CF0818A">
            <w:pPr>
              <w:pStyle w:val="41"/>
              <w:jc w:val="center"/>
            </w:pPr>
            <w:r>
              <w:rPr>
                <w:rFonts w:hint="eastAsia"/>
              </w:rPr>
              <w:t>汞</w:t>
            </w:r>
          </w:p>
        </w:tc>
        <w:tc>
          <w:tcPr>
            <w:tcW w:w="1135" w:type="dxa"/>
            <w:vAlign w:val="center"/>
          </w:tcPr>
          <w:p w14:paraId="69F38421">
            <w:pPr>
              <w:pStyle w:val="41"/>
              <w:jc w:val="center"/>
            </w:pPr>
            <w:r>
              <w:t>mg/kg</w:t>
            </w:r>
          </w:p>
        </w:tc>
        <w:tc>
          <w:tcPr>
            <w:tcW w:w="1285" w:type="dxa"/>
            <w:vAlign w:val="center"/>
          </w:tcPr>
          <w:p w14:paraId="1DA9094C">
            <w:pPr>
              <w:pStyle w:val="41"/>
              <w:jc w:val="center"/>
              <w:rPr>
                <w:rFonts w:hint="default" w:eastAsia="宋体"/>
                <w:lang w:val="en-US" w:eastAsia="zh-CN"/>
              </w:rPr>
            </w:pPr>
            <w:r>
              <w:rPr>
                <w:rFonts w:hint="eastAsia"/>
                <w:lang w:val="en-US" w:eastAsia="zh-CN"/>
              </w:rPr>
              <w:t>0.003</w:t>
            </w:r>
          </w:p>
        </w:tc>
        <w:tc>
          <w:tcPr>
            <w:tcW w:w="1261" w:type="dxa"/>
            <w:vAlign w:val="center"/>
          </w:tcPr>
          <w:p w14:paraId="37D2E3A6">
            <w:pPr>
              <w:pStyle w:val="41"/>
              <w:jc w:val="center"/>
            </w:pPr>
            <w:r>
              <w:rPr>
                <w:rFonts w:hint="eastAsia"/>
              </w:rPr>
              <w:t>38</w:t>
            </w:r>
          </w:p>
        </w:tc>
        <w:tc>
          <w:tcPr>
            <w:tcW w:w="1250" w:type="dxa"/>
            <w:vAlign w:val="center"/>
          </w:tcPr>
          <w:p w14:paraId="3B9C19EA">
            <w:pPr>
              <w:pStyle w:val="41"/>
              <w:jc w:val="center"/>
            </w:pPr>
            <w:r>
              <w:t>达标</w:t>
            </w:r>
          </w:p>
        </w:tc>
      </w:tr>
      <w:tr w14:paraId="56063B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E4605DD">
            <w:pPr>
              <w:pStyle w:val="41"/>
              <w:jc w:val="center"/>
            </w:pPr>
          </w:p>
        </w:tc>
        <w:tc>
          <w:tcPr>
            <w:tcW w:w="945" w:type="dxa"/>
            <w:vMerge w:val="continue"/>
            <w:vAlign w:val="center"/>
          </w:tcPr>
          <w:p w14:paraId="23ABD021">
            <w:pPr>
              <w:pStyle w:val="41"/>
              <w:jc w:val="center"/>
            </w:pPr>
          </w:p>
        </w:tc>
        <w:tc>
          <w:tcPr>
            <w:tcW w:w="2085" w:type="dxa"/>
            <w:vAlign w:val="center"/>
          </w:tcPr>
          <w:p w14:paraId="2044407C">
            <w:pPr>
              <w:pStyle w:val="41"/>
              <w:jc w:val="center"/>
            </w:pPr>
            <w:r>
              <w:rPr>
                <w:rFonts w:hint="eastAsia"/>
              </w:rPr>
              <w:t>镍</w:t>
            </w:r>
          </w:p>
        </w:tc>
        <w:tc>
          <w:tcPr>
            <w:tcW w:w="1135" w:type="dxa"/>
            <w:vAlign w:val="center"/>
          </w:tcPr>
          <w:p w14:paraId="0EFFEF53">
            <w:pPr>
              <w:pStyle w:val="41"/>
              <w:jc w:val="center"/>
            </w:pPr>
            <w:r>
              <w:t>mg/kg</w:t>
            </w:r>
          </w:p>
        </w:tc>
        <w:tc>
          <w:tcPr>
            <w:tcW w:w="1285" w:type="dxa"/>
            <w:vAlign w:val="center"/>
          </w:tcPr>
          <w:p w14:paraId="138C982B">
            <w:pPr>
              <w:pStyle w:val="41"/>
              <w:jc w:val="center"/>
              <w:rPr>
                <w:rFonts w:hint="default" w:eastAsia="宋体"/>
                <w:lang w:val="en-US" w:eastAsia="zh-CN"/>
              </w:rPr>
            </w:pPr>
            <w:r>
              <w:rPr>
                <w:rFonts w:hint="eastAsia"/>
                <w:lang w:val="en-US" w:eastAsia="zh-CN"/>
              </w:rPr>
              <w:t>21.2</w:t>
            </w:r>
          </w:p>
        </w:tc>
        <w:tc>
          <w:tcPr>
            <w:tcW w:w="1261" w:type="dxa"/>
            <w:vAlign w:val="center"/>
          </w:tcPr>
          <w:p w14:paraId="4A049DDE">
            <w:pPr>
              <w:pStyle w:val="41"/>
              <w:jc w:val="center"/>
            </w:pPr>
            <w:r>
              <w:rPr>
                <w:rFonts w:hint="eastAsia"/>
              </w:rPr>
              <w:t>900</w:t>
            </w:r>
          </w:p>
        </w:tc>
        <w:tc>
          <w:tcPr>
            <w:tcW w:w="1250" w:type="dxa"/>
            <w:vAlign w:val="center"/>
          </w:tcPr>
          <w:p w14:paraId="01B68705">
            <w:pPr>
              <w:pStyle w:val="41"/>
              <w:jc w:val="center"/>
            </w:pPr>
            <w:r>
              <w:t>达标</w:t>
            </w:r>
          </w:p>
        </w:tc>
      </w:tr>
      <w:tr w14:paraId="357C29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1100" w:type="dxa"/>
            <w:vMerge w:val="continue"/>
            <w:vAlign w:val="center"/>
          </w:tcPr>
          <w:p w14:paraId="57B7642D">
            <w:pPr>
              <w:pStyle w:val="41"/>
              <w:jc w:val="center"/>
            </w:pPr>
          </w:p>
        </w:tc>
        <w:tc>
          <w:tcPr>
            <w:tcW w:w="945" w:type="dxa"/>
            <w:vMerge w:val="continue"/>
            <w:vAlign w:val="center"/>
          </w:tcPr>
          <w:p w14:paraId="74786BCB">
            <w:pPr>
              <w:pStyle w:val="41"/>
              <w:jc w:val="center"/>
            </w:pPr>
          </w:p>
        </w:tc>
        <w:tc>
          <w:tcPr>
            <w:tcW w:w="2085" w:type="dxa"/>
            <w:vAlign w:val="center"/>
          </w:tcPr>
          <w:p w14:paraId="64F71097">
            <w:pPr>
              <w:pStyle w:val="41"/>
              <w:jc w:val="center"/>
            </w:pPr>
            <w:r>
              <w:rPr>
                <w:rFonts w:hint="eastAsia"/>
              </w:rPr>
              <w:t>石油烃</w:t>
            </w:r>
          </w:p>
        </w:tc>
        <w:tc>
          <w:tcPr>
            <w:tcW w:w="1135" w:type="dxa"/>
            <w:vAlign w:val="center"/>
          </w:tcPr>
          <w:p w14:paraId="709DC10F">
            <w:pPr>
              <w:pStyle w:val="41"/>
              <w:jc w:val="center"/>
            </w:pPr>
            <w:r>
              <w:t>mg/kg</w:t>
            </w:r>
          </w:p>
        </w:tc>
        <w:tc>
          <w:tcPr>
            <w:tcW w:w="1285" w:type="dxa"/>
            <w:vAlign w:val="center"/>
          </w:tcPr>
          <w:p w14:paraId="721D3E7A">
            <w:pPr>
              <w:pStyle w:val="41"/>
              <w:jc w:val="center"/>
              <w:rPr>
                <w:rFonts w:hint="default" w:eastAsia="宋体"/>
                <w:lang w:val="en-US" w:eastAsia="zh-CN"/>
              </w:rPr>
            </w:pPr>
            <w:r>
              <w:rPr>
                <w:rFonts w:hint="eastAsia"/>
                <w:lang w:val="en-US" w:eastAsia="zh-CN"/>
              </w:rPr>
              <w:t>26.4</w:t>
            </w:r>
          </w:p>
        </w:tc>
        <w:tc>
          <w:tcPr>
            <w:tcW w:w="1261" w:type="dxa"/>
            <w:vAlign w:val="center"/>
          </w:tcPr>
          <w:p w14:paraId="7371183C">
            <w:pPr>
              <w:pStyle w:val="41"/>
              <w:jc w:val="center"/>
            </w:pPr>
            <w:r>
              <w:rPr>
                <w:rFonts w:hint="eastAsia"/>
              </w:rPr>
              <w:t>4500</w:t>
            </w:r>
          </w:p>
        </w:tc>
        <w:tc>
          <w:tcPr>
            <w:tcW w:w="1250" w:type="dxa"/>
            <w:vAlign w:val="center"/>
          </w:tcPr>
          <w:p w14:paraId="6DCF4C9A">
            <w:pPr>
              <w:pStyle w:val="41"/>
              <w:jc w:val="center"/>
            </w:pPr>
            <w:r>
              <w:t>达标</w:t>
            </w:r>
          </w:p>
        </w:tc>
      </w:tr>
      <w:tr w14:paraId="20556D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1100" w:type="dxa"/>
            <w:vMerge w:val="continue"/>
            <w:vAlign w:val="center"/>
          </w:tcPr>
          <w:p w14:paraId="2B402CC0">
            <w:pPr>
              <w:pStyle w:val="41"/>
              <w:jc w:val="center"/>
            </w:pPr>
          </w:p>
        </w:tc>
        <w:tc>
          <w:tcPr>
            <w:tcW w:w="945" w:type="dxa"/>
            <w:vMerge w:val="continue"/>
            <w:vAlign w:val="center"/>
          </w:tcPr>
          <w:p w14:paraId="4C9A9583">
            <w:pPr>
              <w:pStyle w:val="41"/>
              <w:jc w:val="center"/>
            </w:pPr>
          </w:p>
        </w:tc>
        <w:tc>
          <w:tcPr>
            <w:tcW w:w="2085" w:type="dxa"/>
            <w:vAlign w:val="center"/>
          </w:tcPr>
          <w:p w14:paraId="7045FE4E">
            <w:pPr>
              <w:pStyle w:val="41"/>
              <w:jc w:val="center"/>
              <w:rPr>
                <w:rFonts w:hint="default" w:eastAsia="宋体"/>
                <w:lang w:val="en-US" w:eastAsia="zh-CN"/>
              </w:rPr>
            </w:pPr>
            <w:r>
              <w:rPr>
                <w:rFonts w:hint="eastAsia"/>
                <w:lang w:val="en-US" w:eastAsia="zh-CN"/>
              </w:rPr>
              <w:t>PH</w:t>
            </w:r>
          </w:p>
        </w:tc>
        <w:tc>
          <w:tcPr>
            <w:tcW w:w="1135" w:type="dxa"/>
            <w:vAlign w:val="center"/>
          </w:tcPr>
          <w:p w14:paraId="31DF8EFF">
            <w:pPr>
              <w:pStyle w:val="41"/>
              <w:jc w:val="center"/>
              <w:rPr>
                <w:rFonts w:hint="eastAsia" w:eastAsia="宋体"/>
                <w:lang w:val="en-US" w:eastAsia="zh-CN"/>
              </w:rPr>
            </w:pPr>
            <w:r>
              <w:rPr>
                <w:rFonts w:hint="eastAsia"/>
                <w:lang w:val="en-US" w:eastAsia="zh-CN"/>
              </w:rPr>
              <w:t>/</w:t>
            </w:r>
          </w:p>
        </w:tc>
        <w:tc>
          <w:tcPr>
            <w:tcW w:w="1285" w:type="dxa"/>
            <w:vAlign w:val="center"/>
          </w:tcPr>
          <w:p w14:paraId="30BF3482">
            <w:pPr>
              <w:pStyle w:val="41"/>
              <w:jc w:val="center"/>
              <w:rPr>
                <w:rFonts w:hint="default"/>
                <w:lang w:val="en-US" w:eastAsia="zh-CN"/>
              </w:rPr>
            </w:pPr>
            <w:r>
              <w:rPr>
                <w:rFonts w:hint="eastAsia"/>
                <w:lang w:val="en-US" w:eastAsia="zh-CN"/>
              </w:rPr>
              <w:t>6.62</w:t>
            </w:r>
          </w:p>
        </w:tc>
        <w:tc>
          <w:tcPr>
            <w:tcW w:w="1261" w:type="dxa"/>
            <w:vAlign w:val="center"/>
          </w:tcPr>
          <w:p w14:paraId="197BF53F">
            <w:pPr>
              <w:pStyle w:val="41"/>
              <w:jc w:val="center"/>
              <w:rPr>
                <w:rFonts w:hint="eastAsia" w:eastAsia="宋体"/>
                <w:lang w:val="en-US" w:eastAsia="zh-CN"/>
              </w:rPr>
            </w:pPr>
            <w:r>
              <w:rPr>
                <w:rFonts w:hint="eastAsia"/>
                <w:lang w:val="en-US" w:eastAsia="zh-CN"/>
              </w:rPr>
              <w:t>/</w:t>
            </w:r>
          </w:p>
        </w:tc>
        <w:tc>
          <w:tcPr>
            <w:tcW w:w="1250" w:type="dxa"/>
            <w:vAlign w:val="center"/>
          </w:tcPr>
          <w:p w14:paraId="5784F999">
            <w:pPr>
              <w:pStyle w:val="41"/>
              <w:jc w:val="center"/>
              <w:rPr>
                <w:rFonts w:hint="eastAsia" w:eastAsia="宋体"/>
                <w:lang w:val="en-US" w:eastAsia="zh-CN"/>
              </w:rPr>
            </w:pPr>
            <w:r>
              <w:rPr>
                <w:rFonts w:hint="eastAsia"/>
                <w:lang w:val="en-US" w:eastAsia="zh-CN"/>
              </w:rPr>
              <w:t>/</w:t>
            </w:r>
          </w:p>
        </w:tc>
      </w:tr>
      <w:tr w14:paraId="50ADC2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6DF55BB">
            <w:pPr>
              <w:pStyle w:val="41"/>
              <w:jc w:val="center"/>
            </w:pPr>
          </w:p>
        </w:tc>
        <w:tc>
          <w:tcPr>
            <w:tcW w:w="945" w:type="dxa"/>
            <w:vMerge w:val="restart"/>
            <w:vAlign w:val="center"/>
          </w:tcPr>
          <w:p w14:paraId="6611B53F">
            <w:pPr>
              <w:pStyle w:val="41"/>
              <w:jc w:val="center"/>
            </w:pPr>
            <w:r>
              <w:t>50-150cm</w:t>
            </w:r>
          </w:p>
        </w:tc>
        <w:tc>
          <w:tcPr>
            <w:tcW w:w="2085" w:type="dxa"/>
            <w:vAlign w:val="center"/>
          </w:tcPr>
          <w:p w14:paraId="09751232">
            <w:pPr>
              <w:pStyle w:val="41"/>
              <w:jc w:val="center"/>
            </w:pPr>
            <w:r>
              <w:rPr>
                <w:rFonts w:hint="eastAsia"/>
              </w:rPr>
              <w:t>砷</w:t>
            </w:r>
          </w:p>
        </w:tc>
        <w:tc>
          <w:tcPr>
            <w:tcW w:w="1135" w:type="dxa"/>
            <w:vAlign w:val="center"/>
          </w:tcPr>
          <w:p w14:paraId="0D92AFCD">
            <w:pPr>
              <w:pStyle w:val="41"/>
              <w:jc w:val="center"/>
            </w:pPr>
            <w:r>
              <w:t>mg/kg</w:t>
            </w:r>
          </w:p>
        </w:tc>
        <w:tc>
          <w:tcPr>
            <w:tcW w:w="1285" w:type="dxa"/>
            <w:vAlign w:val="center"/>
          </w:tcPr>
          <w:p w14:paraId="758D3564">
            <w:pPr>
              <w:pStyle w:val="41"/>
              <w:jc w:val="center"/>
              <w:rPr>
                <w:rFonts w:hint="default" w:eastAsia="宋体"/>
                <w:lang w:val="en-US" w:eastAsia="zh-CN"/>
              </w:rPr>
            </w:pPr>
            <w:r>
              <w:rPr>
                <w:rFonts w:hint="eastAsia"/>
                <w:lang w:val="en-US" w:eastAsia="zh-CN"/>
              </w:rPr>
              <w:t>4.49</w:t>
            </w:r>
          </w:p>
        </w:tc>
        <w:tc>
          <w:tcPr>
            <w:tcW w:w="1261" w:type="dxa"/>
            <w:vAlign w:val="center"/>
          </w:tcPr>
          <w:p w14:paraId="40732FD0">
            <w:pPr>
              <w:pStyle w:val="41"/>
              <w:jc w:val="center"/>
            </w:pPr>
            <w:r>
              <w:rPr>
                <w:rFonts w:hint="eastAsia"/>
              </w:rPr>
              <w:t>60</w:t>
            </w:r>
          </w:p>
        </w:tc>
        <w:tc>
          <w:tcPr>
            <w:tcW w:w="1250" w:type="dxa"/>
            <w:vAlign w:val="center"/>
          </w:tcPr>
          <w:p w14:paraId="23367CBF">
            <w:pPr>
              <w:pStyle w:val="41"/>
              <w:jc w:val="center"/>
            </w:pPr>
            <w:r>
              <w:t>达标</w:t>
            </w:r>
          </w:p>
        </w:tc>
      </w:tr>
      <w:tr w14:paraId="2E4D8E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38A5732">
            <w:pPr>
              <w:pStyle w:val="41"/>
              <w:jc w:val="center"/>
            </w:pPr>
          </w:p>
        </w:tc>
        <w:tc>
          <w:tcPr>
            <w:tcW w:w="945" w:type="dxa"/>
            <w:vMerge w:val="continue"/>
            <w:vAlign w:val="center"/>
          </w:tcPr>
          <w:p w14:paraId="7B6B2E6B">
            <w:pPr>
              <w:pStyle w:val="41"/>
              <w:jc w:val="center"/>
            </w:pPr>
          </w:p>
        </w:tc>
        <w:tc>
          <w:tcPr>
            <w:tcW w:w="2085" w:type="dxa"/>
            <w:vAlign w:val="center"/>
          </w:tcPr>
          <w:p w14:paraId="6467E83E">
            <w:pPr>
              <w:pStyle w:val="41"/>
              <w:jc w:val="center"/>
            </w:pPr>
            <w:r>
              <w:rPr>
                <w:rFonts w:hint="eastAsia"/>
              </w:rPr>
              <w:t>镉</w:t>
            </w:r>
          </w:p>
        </w:tc>
        <w:tc>
          <w:tcPr>
            <w:tcW w:w="1135" w:type="dxa"/>
            <w:vAlign w:val="center"/>
          </w:tcPr>
          <w:p w14:paraId="1D090E81">
            <w:pPr>
              <w:pStyle w:val="41"/>
              <w:jc w:val="center"/>
            </w:pPr>
            <w:r>
              <w:t>mg/kg</w:t>
            </w:r>
          </w:p>
        </w:tc>
        <w:tc>
          <w:tcPr>
            <w:tcW w:w="1285" w:type="dxa"/>
            <w:vAlign w:val="center"/>
          </w:tcPr>
          <w:p w14:paraId="145A6EB0">
            <w:pPr>
              <w:pStyle w:val="41"/>
              <w:jc w:val="center"/>
            </w:pPr>
            <w:r>
              <w:rPr>
                <w:rFonts w:hint="eastAsia"/>
                <w:lang w:val="en-US" w:eastAsia="zh-CN"/>
              </w:rPr>
              <w:t>未检出</w:t>
            </w:r>
          </w:p>
        </w:tc>
        <w:tc>
          <w:tcPr>
            <w:tcW w:w="1261" w:type="dxa"/>
            <w:vAlign w:val="center"/>
          </w:tcPr>
          <w:p w14:paraId="07245A13">
            <w:pPr>
              <w:pStyle w:val="41"/>
              <w:jc w:val="center"/>
            </w:pPr>
            <w:r>
              <w:rPr>
                <w:rFonts w:hint="eastAsia"/>
              </w:rPr>
              <w:t>65</w:t>
            </w:r>
          </w:p>
        </w:tc>
        <w:tc>
          <w:tcPr>
            <w:tcW w:w="1250" w:type="dxa"/>
            <w:vAlign w:val="center"/>
          </w:tcPr>
          <w:p w14:paraId="56132249">
            <w:pPr>
              <w:pStyle w:val="41"/>
              <w:jc w:val="center"/>
            </w:pPr>
            <w:r>
              <w:t>达标</w:t>
            </w:r>
          </w:p>
        </w:tc>
      </w:tr>
      <w:tr w14:paraId="131D98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C52135A">
            <w:pPr>
              <w:pStyle w:val="41"/>
              <w:jc w:val="center"/>
            </w:pPr>
          </w:p>
        </w:tc>
        <w:tc>
          <w:tcPr>
            <w:tcW w:w="945" w:type="dxa"/>
            <w:vMerge w:val="continue"/>
            <w:vAlign w:val="center"/>
          </w:tcPr>
          <w:p w14:paraId="41EF887A">
            <w:pPr>
              <w:pStyle w:val="41"/>
              <w:jc w:val="center"/>
            </w:pPr>
          </w:p>
        </w:tc>
        <w:tc>
          <w:tcPr>
            <w:tcW w:w="2085" w:type="dxa"/>
            <w:vAlign w:val="center"/>
          </w:tcPr>
          <w:p w14:paraId="0B8FE0EC">
            <w:pPr>
              <w:pStyle w:val="41"/>
              <w:jc w:val="center"/>
            </w:pPr>
            <w:r>
              <w:rPr>
                <w:rFonts w:hint="eastAsia"/>
              </w:rPr>
              <w:t>六价铬</w:t>
            </w:r>
          </w:p>
        </w:tc>
        <w:tc>
          <w:tcPr>
            <w:tcW w:w="1135" w:type="dxa"/>
            <w:vAlign w:val="center"/>
          </w:tcPr>
          <w:p w14:paraId="61AD7C10">
            <w:pPr>
              <w:pStyle w:val="41"/>
              <w:jc w:val="center"/>
            </w:pPr>
            <w:r>
              <w:t>mg/kg</w:t>
            </w:r>
          </w:p>
        </w:tc>
        <w:tc>
          <w:tcPr>
            <w:tcW w:w="1285" w:type="dxa"/>
            <w:vAlign w:val="center"/>
          </w:tcPr>
          <w:p w14:paraId="4F6A8227">
            <w:pPr>
              <w:pStyle w:val="41"/>
              <w:jc w:val="center"/>
            </w:pPr>
            <w:r>
              <w:rPr>
                <w:rFonts w:hint="eastAsia"/>
                <w:lang w:val="en-US" w:eastAsia="zh-CN"/>
              </w:rPr>
              <w:t>未检出</w:t>
            </w:r>
          </w:p>
        </w:tc>
        <w:tc>
          <w:tcPr>
            <w:tcW w:w="1261" w:type="dxa"/>
            <w:vAlign w:val="center"/>
          </w:tcPr>
          <w:p w14:paraId="346C0B6C">
            <w:pPr>
              <w:pStyle w:val="41"/>
              <w:jc w:val="center"/>
            </w:pPr>
            <w:r>
              <w:rPr>
                <w:rFonts w:hint="eastAsia"/>
              </w:rPr>
              <w:t>5.7</w:t>
            </w:r>
          </w:p>
        </w:tc>
        <w:tc>
          <w:tcPr>
            <w:tcW w:w="1250" w:type="dxa"/>
            <w:vAlign w:val="center"/>
          </w:tcPr>
          <w:p w14:paraId="7A76C9A9">
            <w:pPr>
              <w:pStyle w:val="41"/>
              <w:jc w:val="center"/>
            </w:pPr>
            <w:r>
              <w:t>达标</w:t>
            </w:r>
          </w:p>
        </w:tc>
      </w:tr>
      <w:tr w14:paraId="081446DB">
        <w:tblPrEx>
          <w:tblCellMar>
            <w:top w:w="0" w:type="dxa"/>
            <w:left w:w="108" w:type="dxa"/>
            <w:bottom w:w="0" w:type="dxa"/>
            <w:right w:w="108" w:type="dxa"/>
          </w:tblCellMar>
        </w:tblPrEx>
        <w:trPr>
          <w:trHeight w:val="425" w:hRule="atLeast"/>
          <w:jc w:val="center"/>
        </w:trPr>
        <w:tc>
          <w:tcPr>
            <w:tcW w:w="1100" w:type="dxa"/>
            <w:vMerge w:val="continue"/>
            <w:vAlign w:val="center"/>
          </w:tcPr>
          <w:p w14:paraId="6858EE6B">
            <w:pPr>
              <w:pStyle w:val="41"/>
              <w:jc w:val="center"/>
            </w:pPr>
          </w:p>
        </w:tc>
        <w:tc>
          <w:tcPr>
            <w:tcW w:w="945" w:type="dxa"/>
            <w:vMerge w:val="continue"/>
            <w:vAlign w:val="center"/>
          </w:tcPr>
          <w:p w14:paraId="3A576947">
            <w:pPr>
              <w:pStyle w:val="41"/>
              <w:jc w:val="center"/>
            </w:pPr>
          </w:p>
        </w:tc>
        <w:tc>
          <w:tcPr>
            <w:tcW w:w="2085" w:type="dxa"/>
            <w:vAlign w:val="center"/>
          </w:tcPr>
          <w:p w14:paraId="225E25AE">
            <w:pPr>
              <w:pStyle w:val="41"/>
              <w:jc w:val="center"/>
            </w:pPr>
            <w:r>
              <w:rPr>
                <w:rFonts w:hint="eastAsia"/>
              </w:rPr>
              <w:t>铜</w:t>
            </w:r>
          </w:p>
        </w:tc>
        <w:tc>
          <w:tcPr>
            <w:tcW w:w="1135" w:type="dxa"/>
            <w:vAlign w:val="center"/>
          </w:tcPr>
          <w:p w14:paraId="68EADB03">
            <w:pPr>
              <w:pStyle w:val="41"/>
              <w:jc w:val="center"/>
            </w:pPr>
            <w:r>
              <w:t>mg/kg</w:t>
            </w:r>
          </w:p>
        </w:tc>
        <w:tc>
          <w:tcPr>
            <w:tcW w:w="1285" w:type="dxa"/>
            <w:vAlign w:val="center"/>
          </w:tcPr>
          <w:p w14:paraId="08231844">
            <w:pPr>
              <w:pStyle w:val="41"/>
              <w:jc w:val="center"/>
              <w:rPr>
                <w:rFonts w:hint="default" w:eastAsia="宋体"/>
                <w:lang w:val="en-US" w:eastAsia="zh-CN"/>
              </w:rPr>
            </w:pPr>
            <w:r>
              <w:rPr>
                <w:rFonts w:hint="eastAsia"/>
                <w:lang w:val="en-US" w:eastAsia="zh-CN"/>
              </w:rPr>
              <w:t>25.2</w:t>
            </w:r>
          </w:p>
        </w:tc>
        <w:tc>
          <w:tcPr>
            <w:tcW w:w="1261" w:type="dxa"/>
            <w:vAlign w:val="center"/>
          </w:tcPr>
          <w:p w14:paraId="0914D3D8">
            <w:pPr>
              <w:pStyle w:val="41"/>
              <w:jc w:val="center"/>
            </w:pPr>
            <w:r>
              <w:rPr>
                <w:rFonts w:hint="eastAsia"/>
              </w:rPr>
              <w:t>18000</w:t>
            </w:r>
          </w:p>
        </w:tc>
        <w:tc>
          <w:tcPr>
            <w:tcW w:w="1250" w:type="dxa"/>
            <w:vAlign w:val="center"/>
          </w:tcPr>
          <w:p w14:paraId="1DDB82C3">
            <w:pPr>
              <w:pStyle w:val="41"/>
              <w:jc w:val="center"/>
            </w:pPr>
            <w:r>
              <w:t>达标</w:t>
            </w:r>
          </w:p>
        </w:tc>
      </w:tr>
      <w:tr w14:paraId="14FF9B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6D3CA61A">
            <w:pPr>
              <w:pStyle w:val="41"/>
              <w:jc w:val="center"/>
            </w:pPr>
          </w:p>
        </w:tc>
        <w:tc>
          <w:tcPr>
            <w:tcW w:w="945" w:type="dxa"/>
            <w:vMerge w:val="continue"/>
            <w:vAlign w:val="center"/>
          </w:tcPr>
          <w:p w14:paraId="1A49510F">
            <w:pPr>
              <w:pStyle w:val="41"/>
              <w:jc w:val="center"/>
            </w:pPr>
          </w:p>
        </w:tc>
        <w:tc>
          <w:tcPr>
            <w:tcW w:w="2085" w:type="dxa"/>
            <w:vAlign w:val="center"/>
          </w:tcPr>
          <w:p w14:paraId="5A828C5D">
            <w:pPr>
              <w:pStyle w:val="41"/>
              <w:jc w:val="center"/>
            </w:pPr>
            <w:r>
              <w:rPr>
                <w:rFonts w:hint="eastAsia"/>
              </w:rPr>
              <w:t>铅</w:t>
            </w:r>
          </w:p>
        </w:tc>
        <w:tc>
          <w:tcPr>
            <w:tcW w:w="1135" w:type="dxa"/>
            <w:vAlign w:val="center"/>
          </w:tcPr>
          <w:p w14:paraId="4CD894F7">
            <w:pPr>
              <w:pStyle w:val="41"/>
              <w:jc w:val="center"/>
            </w:pPr>
            <w:r>
              <w:t>mg/kg</w:t>
            </w:r>
          </w:p>
        </w:tc>
        <w:tc>
          <w:tcPr>
            <w:tcW w:w="1285" w:type="dxa"/>
            <w:vAlign w:val="center"/>
          </w:tcPr>
          <w:p w14:paraId="42973BF8">
            <w:pPr>
              <w:pStyle w:val="41"/>
              <w:jc w:val="center"/>
              <w:rPr>
                <w:rFonts w:hint="default" w:eastAsia="宋体"/>
                <w:lang w:val="en-US" w:eastAsia="zh-CN"/>
              </w:rPr>
            </w:pPr>
            <w:r>
              <w:rPr>
                <w:rFonts w:hint="eastAsia"/>
                <w:lang w:val="en-US" w:eastAsia="zh-CN"/>
              </w:rPr>
              <w:t>23.0</w:t>
            </w:r>
          </w:p>
        </w:tc>
        <w:tc>
          <w:tcPr>
            <w:tcW w:w="1261" w:type="dxa"/>
            <w:vAlign w:val="center"/>
          </w:tcPr>
          <w:p w14:paraId="68E138D0">
            <w:pPr>
              <w:pStyle w:val="41"/>
              <w:jc w:val="center"/>
            </w:pPr>
            <w:r>
              <w:rPr>
                <w:rFonts w:hint="eastAsia"/>
              </w:rPr>
              <w:t>800</w:t>
            </w:r>
          </w:p>
        </w:tc>
        <w:tc>
          <w:tcPr>
            <w:tcW w:w="1250" w:type="dxa"/>
            <w:vAlign w:val="center"/>
          </w:tcPr>
          <w:p w14:paraId="13C8F891">
            <w:pPr>
              <w:pStyle w:val="41"/>
              <w:jc w:val="center"/>
            </w:pPr>
            <w:r>
              <w:t>达标</w:t>
            </w:r>
          </w:p>
        </w:tc>
      </w:tr>
      <w:tr w14:paraId="5F91E7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A21A639">
            <w:pPr>
              <w:pStyle w:val="41"/>
              <w:jc w:val="center"/>
            </w:pPr>
          </w:p>
        </w:tc>
        <w:tc>
          <w:tcPr>
            <w:tcW w:w="945" w:type="dxa"/>
            <w:vMerge w:val="continue"/>
            <w:vAlign w:val="center"/>
          </w:tcPr>
          <w:p w14:paraId="393E3F93">
            <w:pPr>
              <w:pStyle w:val="41"/>
              <w:jc w:val="center"/>
            </w:pPr>
          </w:p>
        </w:tc>
        <w:tc>
          <w:tcPr>
            <w:tcW w:w="2085" w:type="dxa"/>
            <w:vAlign w:val="center"/>
          </w:tcPr>
          <w:p w14:paraId="1DC985C9">
            <w:pPr>
              <w:pStyle w:val="41"/>
              <w:jc w:val="center"/>
            </w:pPr>
            <w:r>
              <w:rPr>
                <w:rFonts w:hint="eastAsia"/>
              </w:rPr>
              <w:t>汞</w:t>
            </w:r>
          </w:p>
        </w:tc>
        <w:tc>
          <w:tcPr>
            <w:tcW w:w="1135" w:type="dxa"/>
            <w:vAlign w:val="center"/>
          </w:tcPr>
          <w:p w14:paraId="72499B27">
            <w:pPr>
              <w:pStyle w:val="41"/>
              <w:jc w:val="center"/>
            </w:pPr>
            <w:r>
              <w:t>mg/kg</w:t>
            </w:r>
          </w:p>
        </w:tc>
        <w:tc>
          <w:tcPr>
            <w:tcW w:w="1285" w:type="dxa"/>
            <w:vAlign w:val="center"/>
          </w:tcPr>
          <w:p w14:paraId="3B876391">
            <w:pPr>
              <w:pStyle w:val="41"/>
              <w:jc w:val="center"/>
              <w:rPr>
                <w:rFonts w:hint="eastAsia" w:eastAsia="宋体"/>
                <w:lang w:val="en-US" w:eastAsia="zh-CN"/>
              </w:rPr>
            </w:pPr>
            <w:r>
              <w:rPr>
                <w:rFonts w:hint="eastAsia"/>
                <w:lang w:val="en-US" w:eastAsia="zh-CN"/>
              </w:rPr>
              <w:t>未检出</w:t>
            </w:r>
          </w:p>
        </w:tc>
        <w:tc>
          <w:tcPr>
            <w:tcW w:w="1261" w:type="dxa"/>
            <w:vAlign w:val="center"/>
          </w:tcPr>
          <w:p w14:paraId="20D01B3A">
            <w:pPr>
              <w:pStyle w:val="41"/>
              <w:jc w:val="center"/>
            </w:pPr>
            <w:r>
              <w:rPr>
                <w:rFonts w:hint="eastAsia"/>
              </w:rPr>
              <w:t>38</w:t>
            </w:r>
          </w:p>
        </w:tc>
        <w:tc>
          <w:tcPr>
            <w:tcW w:w="1250" w:type="dxa"/>
            <w:vAlign w:val="center"/>
          </w:tcPr>
          <w:p w14:paraId="1FC6D4FE">
            <w:pPr>
              <w:pStyle w:val="41"/>
              <w:jc w:val="center"/>
            </w:pPr>
            <w:r>
              <w:t>达标</w:t>
            </w:r>
          </w:p>
        </w:tc>
      </w:tr>
      <w:tr w14:paraId="6FEE1355">
        <w:tblPrEx>
          <w:tblCellMar>
            <w:top w:w="0" w:type="dxa"/>
            <w:left w:w="108" w:type="dxa"/>
            <w:bottom w:w="0" w:type="dxa"/>
            <w:right w:w="108" w:type="dxa"/>
          </w:tblCellMar>
        </w:tblPrEx>
        <w:trPr>
          <w:trHeight w:val="425" w:hRule="atLeast"/>
          <w:jc w:val="center"/>
        </w:trPr>
        <w:tc>
          <w:tcPr>
            <w:tcW w:w="1100" w:type="dxa"/>
            <w:vMerge w:val="continue"/>
            <w:vAlign w:val="center"/>
          </w:tcPr>
          <w:p w14:paraId="09539910">
            <w:pPr>
              <w:pStyle w:val="41"/>
              <w:jc w:val="center"/>
            </w:pPr>
          </w:p>
        </w:tc>
        <w:tc>
          <w:tcPr>
            <w:tcW w:w="945" w:type="dxa"/>
            <w:vMerge w:val="continue"/>
            <w:vAlign w:val="center"/>
          </w:tcPr>
          <w:p w14:paraId="69AD8B07">
            <w:pPr>
              <w:pStyle w:val="41"/>
              <w:jc w:val="center"/>
            </w:pPr>
          </w:p>
        </w:tc>
        <w:tc>
          <w:tcPr>
            <w:tcW w:w="2085" w:type="dxa"/>
            <w:vAlign w:val="center"/>
          </w:tcPr>
          <w:p w14:paraId="1DAE5507">
            <w:pPr>
              <w:pStyle w:val="41"/>
              <w:jc w:val="center"/>
            </w:pPr>
            <w:r>
              <w:rPr>
                <w:rFonts w:hint="eastAsia"/>
              </w:rPr>
              <w:t>镍</w:t>
            </w:r>
          </w:p>
        </w:tc>
        <w:tc>
          <w:tcPr>
            <w:tcW w:w="1135" w:type="dxa"/>
            <w:vAlign w:val="center"/>
          </w:tcPr>
          <w:p w14:paraId="7F823A63">
            <w:pPr>
              <w:pStyle w:val="41"/>
              <w:jc w:val="center"/>
            </w:pPr>
            <w:r>
              <w:t>mg/kg</w:t>
            </w:r>
          </w:p>
        </w:tc>
        <w:tc>
          <w:tcPr>
            <w:tcW w:w="1285" w:type="dxa"/>
            <w:vAlign w:val="center"/>
          </w:tcPr>
          <w:p w14:paraId="56E8452D">
            <w:pPr>
              <w:pStyle w:val="41"/>
              <w:jc w:val="center"/>
              <w:rPr>
                <w:rFonts w:hint="default" w:eastAsia="宋体"/>
                <w:lang w:val="en-US" w:eastAsia="zh-CN"/>
              </w:rPr>
            </w:pPr>
            <w:r>
              <w:rPr>
                <w:rFonts w:hint="eastAsia"/>
                <w:lang w:val="en-US" w:eastAsia="zh-CN"/>
              </w:rPr>
              <w:t>21.2</w:t>
            </w:r>
          </w:p>
        </w:tc>
        <w:tc>
          <w:tcPr>
            <w:tcW w:w="1261" w:type="dxa"/>
            <w:vAlign w:val="center"/>
          </w:tcPr>
          <w:p w14:paraId="24B0E93C">
            <w:pPr>
              <w:pStyle w:val="41"/>
              <w:jc w:val="center"/>
            </w:pPr>
            <w:r>
              <w:rPr>
                <w:rFonts w:hint="eastAsia"/>
              </w:rPr>
              <w:t>900</w:t>
            </w:r>
          </w:p>
        </w:tc>
        <w:tc>
          <w:tcPr>
            <w:tcW w:w="1250" w:type="dxa"/>
            <w:vAlign w:val="center"/>
          </w:tcPr>
          <w:p w14:paraId="252C833F">
            <w:pPr>
              <w:pStyle w:val="41"/>
              <w:jc w:val="center"/>
            </w:pPr>
            <w:r>
              <w:t>达标</w:t>
            </w:r>
          </w:p>
        </w:tc>
      </w:tr>
      <w:tr w14:paraId="3FE4ED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66275CE">
            <w:pPr>
              <w:pStyle w:val="41"/>
              <w:jc w:val="center"/>
            </w:pPr>
          </w:p>
        </w:tc>
        <w:tc>
          <w:tcPr>
            <w:tcW w:w="945" w:type="dxa"/>
            <w:vMerge w:val="continue"/>
            <w:vAlign w:val="center"/>
          </w:tcPr>
          <w:p w14:paraId="325FAA81">
            <w:pPr>
              <w:pStyle w:val="41"/>
              <w:jc w:val="center"/>
            </w:pPr>
          </w:p>
        </w:tc>
        <w:tc>
          <w:tcPr>
            <w:tcW w:w="2085" w:type="dxa"/>
            <w:vAlign w:val="center"/>
          </w:tcPr>
          <w:p w14:paraId="2201A187">
            <w:pPr>
              <w:pStyle w:val="41"/>
              <w:jc w:val="center"/>
            </w:pPr>
            <w:r>
              <w:rPr>
                <w:rFonts w:hint="eastAsia"/>
              </w:rPr>
              <w:t>石油烃</w:t>
            </w:r>
          </w:p>
        </w:tc>
        <w:tc>
          <w:tcPr>
            <w:tcW w:w="1135" w:type="dxa"/>
            <w:vAlign w:val="center"/>
          </w:tcPr>
          <w:p w14:paraId="0F1B256E">
            <w:pPr>
              <w:pStyle w:val="41"/>
              <w:jc w:val="center"/>
            </w:pPr>
            <w:r>
              <w:t>mg/kg</w:t>
            </w:r>
          </w:p>
        </w:tc>
        <w:tc>
          <w:tcPr>
            <w:tcW w:w="1285" w:type="dxa"/>
            <w:vAlign w:val="center"/>
          </w:tcPr>
          <w:p w14:paraId="6D1C406E">
            <w:pPr>
              <w:pStyle w:val="41"/>
              <w:jc w:val="center"/>
              <w:rPr>
                <w:rFonts w:hint="default" w:eastAsia="宋体"/>
                <w:lang w:val="en-US" w:eastAsia="zh-CN"/>
              </w:rPr>
            </w:pPr>
            <w:r>
              <w:rPr>
                <w:rFonts w:hint="eastAsia"/>
                <w:lang w:val="en-US" w:eastAsia="zh-CN"/>
              </w:rPr>
              <w:t>24.8</w:t>
            </w:r>
          </w:p>
        </w:tc>
        <w:tc>
          <w:tcPr>
            <w:tcW w:w="1261" w:type="dxa"/>
            <w:vAlign w:val="center"/>
          </w:tcPr>
          <w:p w14:paraId="163891B8">
            <w:pPr>
              <w:pStyle w:val="41"/>
              <w:jc w:val="center"/>
            </w:pPr>
            <w:r>
              <w:rPr>
                <w:rFonts w:hint="eastAsia"/>
              </w:rPr>
              <w:t>4500</w:t>
            </w:r>
          </w:p>
        </w:tc>
        <w:tc>
          <w:tcPr>
            <w:tcW w:w="1250" w:type="dxa"/>
            <w:vAlign w:val="center"/>
          </w:tcPr>
          <w:p w14:paraId="625DAA38">
            <w:pPr>
              <w:pStyle w:val="41"/>
              <w:jc w:val="center"/>
            </w:pPr>
            <w:r>
              <w:t>达标</w:t>
            </w:r>
          </w:p>
        </w:tc>
      </w:tr>
      <w:tr w14:paraId="54AD17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3E50EF3">
            <w:pPr>
              <w:pStyle w:val="41"/>
              <w:jc w:val="center"/>
            </w:pPr>
          </w:p>
        </w:tc>
        <w:tc>
          <w:tcPr>
            <w:tcW w:w="945" w:type="dxa"/>
            <w:vMerge w:val="continue"/>
            <w:vAlign w:val="center"/>
          </w:tcPr>
          <w:p w14:paraId="13B8D3DB">
            <w:pPr>
              <w:pStyle w:val="41"/>
              <w:jc w:val="center"/>
            </w:pPr>
          </w:p>
        </w:tc>
        <w:tc>
          <w:tcPr>
            <w:tcW w:w="2085" w:type="dxa"/>
            <w:vAlign w:val="center"/>
          </w:tcPr>
          <w:p w14:paraId="39DCA562">
            <w:pPr>
              <w:pStyle w:val="41"/>
              <w:jc w:val="center"/>
              <w:rPr>
                <w:rFonts w:hint="eastAsia"/>
              </w:rPr>
            </w:pPr>
            <w:r>
              <w:rPr>
                <w:rFonts w:hint="eastAsia"/>
                <w:lang w:val="en-US" w:eastAsia="zh-CN"/>
              </w:rPr>
              <w:t>PH</w:t>
            </w:r>
          </w:p>
        </w:tc>
        <w:tc>
          <w:tcPr>
            <w:tcW w:w="1135" w:type="dxa"/>
            <w:vAlign w:val="center"/>
          </w:tcPr>
          <w:p w14:paraId="42409822">
            <w:pPr>
              <w:pStyle w:val="41"/>
              <w:jc w:val="center"/>
            </w:pPr>
            <w:r>
              <w:rPr>
                <w:rFonts w:hint="eastAsia"/>
                <w:lang w:val="en-US" w:eastAsia="zh-CN"/>
              </w:rPr>
              <w:t>/</w:t>
            </w:r>
          </w:p>
        </w:tc>
        <w:tc>
          <w:tcPr>
            <w:tcW w:w="1285" w:type="dxa"/>
            <w:vAlign w:val="center"/>
          </w:tcPr>
          <w:p w14:paraId="64E24D32">
            <w:pPr>
              <w:pStyle w:val="41"/>
              <w:jc w:val="center"/>
              <w:rPr>
                <w:rFonts w:hint="default"/>
                <w:lang w:val="en-US" w:eastAsia="zh-CN"/>
              </w:rPr>
            </w:pPr>
            <w:r>
              <w:rPr>
                <w:rFonts w:hint="eastAsia"/>
                <w:lang w:val="en-US" w:eastAsia="zh-CN"/>
              </w:rPr>
              <w:t>6.33</w:t>
            </w:r>
          </w:p>
        </w:tc>
        <w:tc>
          <w:tcPr>
            <w:tcW w:w="1261" w:type="dxa"/>
            <w:vAlign w:val="center"/>
          </w:tcPr>
          <w:p w14:paraId="2B40D6DA">
            <w:pPr>
              <w:pStyle w:val="41"/>
              <w:jc w:val="center"/>
              <w:rPr>
                <w:rFonts w:hint="eastAsia"/>
              </w:rPr>
            </w:pPr>
            <w:r>
              <w:rPr>
                <w:rFonts w:hint="eastAsia"/>
                <w:lang w:val="en-US" w:eastAsia="zh-CN"/>
              </w:rPr>
              <w:t>/</w:t>
            </w:r>
          </w:p>
        </w:tc>
        <w:tc>
          <w:tcPr>
            <w:tcW w:w="1250" w:type="dxa"/>
            <w:vAlign w:val="center"/>
          </w:tcPr>
          <w:p w14:paraId="3B682704">
            <w:pPr>
              <w:pStyle w:val="41"/>
              <w:jc w:val="center"/>
            </w:pPr>
            <w:r>
              <w:rPr>
                <w:rFonts w:hint="eastAsia"/>
                <w:lang w:val="en-US" w:eastAsia="zh-CN"/>
              </w:rPr>
              <w:t>/</w:t>
            </w:r>
          </w:p>
        </w:tc>
      </w:tr>
      <w:tr w14:paraId="0266E5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2A25AA4">
            <w:pPr>
              <w:pStyle w:val="41"/>
              <w:jc w:val="center"/>
            </w:pPr>
          </w:p>
        </w:tc>
        <w:tc>
          <w:tcPr>
            <w:tcW w:w="945" w:type="dxa"/>
            <w:vMerge w:val="restart"/>
            <w:vAlign w:val="center"/>
          </w:tcPr>
          <w:p w14:paraId="0EA0F25D">
            <w:pPr>
              <w:pStyle w:val="41"/>
              <w:jc w:val="center"/>
            </w:pPr>
            <w:r>
              <w:t>150-300cm</w:t>
            </w:r>
          </w:p>
        </w:tc>
        <w:tc>
          <w:tcPr>
            <w:tcW w:w="2085" w:type="dxa"/>
            <w:vAlign w:val="center"/>
          </w:tcPr>
          <w:p w14:paraId="696376A7">
            <w:pPr>
              <w:pStyle w:val="41"/>
              <w:jc w:val="center"/>
            </w:pPr>
            <w:r>
              <w:rPr>
                <w:rFonts w:hint="eastAsia"/>
              </w:rPr>
              <w:t>砷</w:t>
            </w:r>
          </w:p>
        </w:tc>
        <w:tc>
          <w:tcPr>
            <w:tcW w:w="1135" w:type="dxa"/>
            <w:vAlign w:val="center"/>
          </w:tcPr>
          <w:p w14:paraId="3D37F9B4">
            <w:pPr>
              <w:pStyle w:val="41"/>
              <w:jc w:val="center"/>
            </w:pPr>
            <w:r>
              <w:t>mg/kg</w:t>
            </w:r>
          </w:p>
        </w:tc>
        <w:tc>
          <w:tcPr>
            <w:tcW w:w="1285" w:type="dxa"/>
            <w:vAlign w:val="center"/>
          </w:tcPr>
          <w:p w14:paraId="6628E6B6">
            <w:pPr>
              <w:pStyle w:val="41"/>
              <w:jc w:val="center"/>
              <w:rPr>
                <w:rFonts w:hint="default" w:eastAsia="宋体"/>
                <w:lang w:val="en-US" w:eastAsia="zh-CN"/>
              </w:rPr>
            </w:pPr>
            <w:r>
              <w:rPr>
                <w:rFonts w:hint="eastAsia"/>
                <w:lang w:val="en-US" w:eastAsia="zh-CN"/>
              </w:rPr>
              <w:t>2.78</w:t>
            </w:r>
          </w:p>
        </w:tc>
        <w:tc>
          <w:tcPr>
            <w:tcW w:w="1261" w:type="dxa"/>
            <w:vAlign w:val="center"/>
          </w:tcPr>
          <w:p w14:paraId="7C48FA8D">
            <w:pPr>
              <w:pStyle w:val="41"/>
              <w:jc w:val="center"/>
            </w:pPr>
            <w:r>
              <w:rPr>
                <w:rFonts w:hint="eastAsia"/>
              </w:rPr>
              <w:t>60</w:t>
            </w:r>
          </w:p>
        </w:tc>
        <w:tc>
          <w:tcPr>
            <w:tcW w:w="1250" w:type="dxa"/>
            <w:vAlign w:val="center"/>
          </w:tcPr>
          <w:p w14:paraId="6E0CCF25">
            <w:pPr>
              <w:pStyle w:val="41"/>
              <w:jc w:val="center"/>
            </w:pPr>
            <w:r>
              <w:t>达标</w:t>
            </w:r>
          </w:p>
        </w:tc>
      </w:tr>
      <w:tr w14:paraId="07F7B6A2">
        <w:tblPrEx>
          <w:tblCellMar>
            <w:top w:w="0" w:type="dxa"/>
            <w:left w:w="108" w:type="dxa"/>
            <w:bottom w:w="0" w:type="dxa"/>
            <w:right w:w="108" w:type="dxa"/>
          </w:tblCellMar>
        </w:tblPrEx>
        <w:trPr>
          <w:trHeight w:val="425" w:hRule="atLeast"/>
          <w:jc w:val="center"/>
        </w:trPr>
        <w:tc>
          <w:tcPr>
            <w:tcW w:w="1100" w:type="dxa"/>
            <w:vMerge w:val="continue"/>
            <w:vAlign w:val="center"/>
          </w:tcPr>
          <w:p w14:paraId="4A3E8696">
            <w:pPr>
              <w:pStyle w:val="41"/>
              <w:jc w:val="center"/>
            </w:pPr>
          </w:p>
        </w:tc>
        <w:tc>
          <w:tcPr>
            <w:tcW w:w="945" w:type="dxa"/>
            <w:vMerge w:val="continue"/>
            <w:vAlign w:val="center"/>
          </w:tcPr>
          <w:p w14:paraId="0A0960B4">
            <w:pPr>
              <w:pStyle w:val="41"/>
              <w:jc w:val="center"/>
            </w:pPr>
          </w:p>
        </w:tc>
        <w:tc>
          <w:tcPr>
            <w:tcW w:w="2085" w:type="dxa"/>
            <w:vAlign w:val="center"/>
          </w:tcPr>
          <w:p w14:paraId="5AED8BD0">
            <w:pPr>
              <w:pStyle w:val="41"/>
              <w:jc w:val="center"/>
            </w:pPr>
            <w:r>
              <w:rPr>
                <w:rFonts w:hint="eastAsia"/>
              </w:rPr>
              <w:t>镉</w:t>
            </w:r>
          </w:p>
        </w:tc>
        <w:tc>
          <w:tcPr>
            <w:tcW w:w="1135" w:type="dxa"/>
            <w:vAlign w:val="center"/>
          </w:tcPr>
          <w:p w14:paraId="10AD900C">
            <w:pPr>
              <w:pStyle w:val="41"/>
              <w:jc w:val="center"/>
            </w:pPr>
            <w:r>
              <w:t>mg/kg</w:t>
            </w:r>
          </w:p>
        </w:tc>
        <w:tc>
          <w:tcPr>
            <w:tcW w:w="1285" w:type="dxa"/>
            <w:vAlign w:val="center"/>
          </w:tcPr>
          <w:p w14:paraId="7B8C57E8">
            <w:pPr>
              <w:pStyle w:val="41"/>
              <w:jc w:val="center"/>
            </w:pPr>
            <w:r>
              <w:rPr>
                <w:rFonts w:hint="eastAsia"/>
                <w:lang w:val="en-US" w:eastAsia="zh-CN"/>
              </w:rPr>
              <w:t>未检出</w:t>
            </w:r>
          </w:p>
        </w:tc>
        <w:tc>
          <w:tcPr>
            <w:tcW w:w="1261" w:type="dxa"/>
            <w:vAlign w:val="center"/>
          </w:tcPr>
          <w:p w14:paraId="27E34F4D">
            <w:pPr>
              <w:pStyle w:val="41"/>
              <w:jc w:val="center"/>
            </w:pPr>
            <w:r>
              <w:rPr>
                <w:rFonts w:hint="eastAsia"/>
              </w:rPr>
              <w:t>65</w:t>
            </w:r>
          </w:p>
        </w:tc>
        <w:tc>
          <w:tcPr>
            <w:tcW w:w="1250" w:type="dxa"/>
            <w:vAlign w:val="center"/>
          </w:tcPr>
          <w:p w14:paraId="06CA0147">
            <w:pPr>
              <w:pStyle w:val="41"/>
              <w:jc w:val="center"/>
            </w:pPr>
            <w:r>
              <w:t>达标</w:t>
            </w:r>
          </w:p>
        </w:tc>
      </w:tr>
      <w:tr w14:paraId="33788F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7B742AF">
            <w:pPr>
              <w:pStyle w:val="41"/>
              <w:jc w:val="center"/>
            </w:pPr>
          </w:p>
        </w:tc>
        <w:tc>
          <w:tcPr>
            <w:tcW w:w="945" w:type="dxa"/>
            <w:vMerge w:val="continue"/>
            <w:vAlign w:val="center"/>
          </w:tcPr>
          <w:p w14:paraId="55701EC1">
            <w:pPr>
              <w:pStyle w:val="41"/>
              <w:jc w:val="center"/>
            </w:pPr>
          </w:p>
        </w:tc>
        <w:tc>
          <w:tcPr>
            <w:tcW w:w="2085" w:type="dxa"/>
            <w:vAlign w:val="center"/>
          </w:tcPr>
          <w:p w14:paraId="191BBFB2">
            <w:pPr>
              <w:pStyle w:val="41"/>
              <w:jc w:val="center"/>
            </w:pPr>
            <w:r>
              <w:rPr>
                <w:rFonts w:hint="eastAsia"/>
              </w:rPr>
              <w:t>六价铬</w:t>
            </w:r>
          </w:p>
        </w:tc>
        <w:tc>
          <w:tcPr>
            <w:tcW w:w="1135" w:type="dxa"/>
            <w:vAlign w:val="center"/>
          </w:tcPr>
          <w:p w14:paraId="0BB09472">
            <w:pPr>
              <w:pStyle w:val="41"/>
              <w:jc w:val="center"/>
            </w:pPr>
            <w:r>
              <w:t>mg/kg</w:t>
            </w:r>
          </w:p>
        </w:tc>
        <w:tc>
          <w:tcPr>
            <w:tcW w:w="1285" w:type="dxa"/>
            <w:vAlign w:val="center"/>
          </w:tcPr>
          <w:p w14:paraId="1ED879D8">
            <w:pPr>
              <w:pStyle w:val="41"/>
              <w:jc w:val="center"/>
            </w:pPr>
            <w:r>
              <w:rPr>
                <w:rFonts w:hint="eastAsia"/>
                <w:lang w:val="en-US" w:eastAsia="zh-CN"/>
              </w:rPr>
              <w:t>未检出</w:t>
            </w:r>
          </w:p>
        </w:tc>
        <w:tc>
          <w:tcPr>
            <w:tcW w:w="1261" w:type="dxa"/>
            <w:vAlign w:val="center"/>
          </w:tcPr>
          <w:p w14:paraId="68016BC4">
            <w:pPr>
              <w:pStyle w:val="41"/>
              <w:jc w:val="center"/>
            </w:pPr>
            <w:r>
              <w:rPr>
                <w:rFonts w:hint="eastAsia"/>
              </w:rPr>
              <w:t>5.7</w:t>
            </w:r>
          </w:p>
        </w:tc>
        <w:tc>
          <w:tcPr>
            <w:tcW w:w="1250" w:type="dxa"/>
            <w:vAlign w:val="center"/>
          </w:tcPr>
          <w:p w14:paraId="06E6BAFA">
            <w:pPr>
              <w:pStyle w:val="41"/>
              <w:jc w:val="center"/>
            </w:pPr>
            <w:r>
              <w:t>达标</w:t>
            </w:r>
          </w:p>
        </w:tc>
      </w:tr>
      <w:tr w14:paraId="36921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10300E6F">
            <w:pPr>
              <w:pStyle w:val="41"/>
              <w:jc w:val="center"/>
            </w:pPr>
          </w:p>
        </w:tc>
        <w:tc>
          <w:tcPr>
            <w:tcW w:w="945" w:type="dxa"/>
            <w:vMerge w:val="continue"/>
            <w:vAlign w:val="center"/>
          </w:tcPr>
          <w:p w14:paraId="7853DCE5">
            <w:pPr>
              <w:pStyle w:val="41"/>
              <w:jc w:val="center"/>
            </w:pPr>
          </w:p>
        </w:tc>
        <w:tc>
          <w:tcPr>
            <w:tcW w:w="2085" w:type="dxa"/>
            <w:vAlign w:val="center"/>
          </w:tcPr>
          <w:p w14:paraId="5F699C7D">
            <w:pPr>
              <w:pStyle w:val="41"/>
              <w:jc w:val="center"/>
            </w:pPr>
            <w:r>
              <w:rPr>
                <w:rFonts w:hint="eastAsia"/>
              </w:rPr>
              <w:t>铜</w:t>
            </w:r>
          </w:p>
        </w:tc>
        <w:tc>
          <w:tcPr>
            <w:tcW w:w="1135" w:type="dxa"/>
            <w:vAlign w:val="center"/>
          </w:tcPr>
          <w:p w14:paraId="0B3E5618">
            <w:pPr>
              <w:pStyle w:val="41"/>
              <w:jc w:val="center"/>
            </w:pPr>
            <w:r>
              <w:t>mg/kg</w:t>
            </w:r>
          </w:p>
        </w:tc>
        <w:tc>
          <w:tcPr>
            <w:tcW w:w="1285" w:type="dxa"/>
            <w:vAlign w:val="center"/>
          </w:tcPr>
          <w:p w14:paraId="538A6DC5">
            <w:pPr>
              <w:pStyle w:val="41"/>
              <w:jc w:val="center"/>
              <w:rPr>
                <w:rFonts w:hint="default" w:eastAsia="宋体"/>
                <w:lang w:val="en-US" w:eastAsia="zh-CN"/>
              </w:rPr>
            </w:pPr>
            <w:r>
              <w:rPr>
                <w:rFonts w:hint="eastAsia"/>
                <w:lang w:val="en-US" w:eastAsia="zh-CN"/>
              </w:rPr>
              <w:t>23.9</w:t>
            </w:r>
          </w:p>
        </w:tc>
        <w:tc>
          <w:tcPr>
            <w:tcW w:w="1261" w:type="dxa"/>
            <w:vAlign w:val="center"/>
          </w:tcPr>
          <w:p w14:paraId="76D8629C">
            <w:pPr>
              <w:pStyle w:val="41"/>
              <w:jc w:val="center"/>
            </w:pPr>
            <w:r>
              <w:rPr>
                <w:rFonts w:hint="eastAsia"/>
              </w:rPr>
              <w:t>18000</w:t>
            </w:r>
          </w:p>
        </w:tc>
        <w:tc>
          <w:tcPr>
            <w:tcW w:w="1250" w:type="dxa"/>
            <w:vAlign w:val="center"/>
          </w:tcPr>
          <w:p w14:paraId="3B421303">
            <w:pPr>
              <w:pStyle w:val="41"/>
              <w:jc w:val="center"/>
            </w:pPr>
            <w:r>
              <w:t>达标</w:t>
            </w:r>
          </w:p>
        </w:tc>
      </w:tr>
      <w:tr w14:paraId="0CA8F2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55F8E23B">
            <w:pPr>
              <w:pStyle w:val="41"/>
              <w:jc w:val="center"/>
            </w:pPr>
          </w:p>
        </w:tc>
        <w:tc>
          <w:tcPr>
            <w:tcW w:w="945" w:type="dxa"/>
            <w:vMerge w:val="continue"/>
            <w:vAlign w:val="center"/>
          </w:tcPr>
          <w:p w14:paraId="4A386A91">
            <w:pPr>
              <w:pStyle w:val="41"/>
              <w:jc w:val="center"/>
            </w:pPr>
          </w:p>
        </w:tc>
        <w:tc>
          <w:tcPr>
            <w:tcW w:w="2085" w:type="dxa"/>
            <w:vAlign w:val="center"/>
          </w:tcPr>
          <w:p w14:paraId="374273AD">
            <w:pPr>
              <w:pStyle w:val="41"/>
              <w:jc w:val="center"/>
            </w:pPr>
            <w:r>
              <w:rPr>
                <w:rFonts w:hint="eastAsia"/>
              </w:rPr>
              <w:t>铅</w:t>
            </w:r>
          </w:p>
        </w:tc>
        <w:tc>
          <w:tcPr>
            <w:tcW w:w="1135" w:type="dxa"/>
            <w:vAlign w:val="center"/>
          </w:tcPr>
          <w:p w14:paraId="1575DEDD">
            <w:pPr>
              <w:pStyle w:val="41"/>
              <w:jc w:val="center"/>
            </w:pPr>
            <w:r>
              <w:t>mg/kg</w:t>
            </w:r>
          </w:p>
        </w:tc>
        <w:tc>
          <w:tcPr>
            <w:tcW w:w="1285" w:type="dxa"/>
            <w:vAlign w:val="center"/>
          </w:tcPr>
          <w:p w14:paraId="3F3775A0">
            <w:pPr>
              <w:pStyle w:val="41"/>
              <w:jc w:val="center"/>
              <w:rPr>
                <w:rFonts w:hint="default" w:eastAsia="宋体"/>
                <w:lang w:val="en-US" w:eastAsia="zh-CN"/>
              </w:rPr>
            </w:pPr>
            <w:r>
              <w:rPr>
                <w:rFonts w:hint="eastAsia"/>
                <w:lang w:val="en-US" w:eastAsia="zh-CN"/>
              </w:rPr>
              <w:t>16.1</w:t>
            </w:r>
          </w:p>
        </w:tc>
        <w:tc>
          <w:tcPr>
            <w:tcW w:w="1261" w:type="dxa"/>
            <w:vAlign w:val="center"/>
          </w:tcPr>
          <w:p w14:paraId="12799AD4">
            <w:pPr>
              <w:pStyle w:val="41"/>
              <w:jc w:val="center"/>
            </w:pPr>
            <w:r>
              <w:rPr>
                <w:rFonts w:hint="eastAsia"/>
              </w:rPr>
              <w:t>800</w:t>
            </w:r>
          </w:p>
        </w:tc>
        <w:tc>
          <w:tcPr>
            <w:tcW w:w="1250" w:type="dxa"/>
            <w:vAlign w:val="center"/>
          </w:tcPr>
          <w:p w14:paraId="641834E7">
            <w:pPr>
              <w:pStyle w:val="41"/>
              <w:jc w:val="center"/>
            </w:pPr>
            <w:r>
              <w:t>达标</w:t>
            </w:r>
          </w:p>
        </w:tc>
      </w:tr>
      <w:tr w14:paraId="24A03E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2E82071F">
            <w:pPr>
              <w:pStyle w:val="41"/>
              <w:jc w:val="center"/>
            </w:pPr>
          </w:p>
        </w:tc>
        <w:tc>
          <w:tcPr>
            <w:tcW w:w="945" w:type="dxa"/>
            <w:vMerge w:val="continue"/>
            <w:vAlign w:val="center"/>
          </w:tcPr>
          <w:p w14:paraId="73A14C5C">
            <w:pPr>
              <w:pStyle w:val="41"/>
              <w:jc w:val="center"/>
            </w:pPr>
          </w:p>
        </w:tc>
        <w:tc>
          <w:tcPr>
            <w:tcW w:w="2085" w:type="dxa"/>
            <w:vAlign w:val="center"/>
          </w:tcPr>
          <w:p w14:paraId="654EC8F6">
            <w:pPr>
              <w:pStyle w:val="41"/>
              <w:jc w:val="center"/>
            </w:pPr>
            <w:r>
              <w:rPr>
                <w:rFonts w:hint="eastAsia"/>
              </w:rPr>
              <w:t>汞</w:t>
            </w:r>
          </w:p>
        </w:tc>
        <w:tc>
          <w:tcPr>
            <w:tcW w:w="1135" w:type="dxa"/>
            <w:vAlign w:val="center"/>
          </w:tcPr>
          <w:p w14:paraId="501E4344">
            <w:pPr>
              <w:pStyle w:val="41"/>
              <w:jc w:val="center"/>
            </w:pPr>
            <w:r>
              <w:t>mg/kg</w:t>
            </w:r>
          </w:p>
        </w:tc>
        <w:tc>
          <w:tcPr>
            <w:tcW w:w="1285" w:type="dxa"/>
            <w:vAlign w:val="center"/>
          </w:tcPr>
          <w:p w14:paraId="5CFCE324">
            <w:pPr>
              <w:pStyle w:val="41"/>
              <w:jc w:val="center"/>
            </w:pPr>
            <w:r>
              <w:rPr>
                <w:rFonts w:hint="eastAsia"/>
                <w:lang w:val="en-US" w:eastAsia="zh-CN"/>
              </w:rPr>
              <w:t>未检出</w:t>
            </w:r>
          </w:p>
        </w:tc>
        <w:tc>
          <w:tcPr>
            <w:tcW w:w="1261" w:type="dxa"/>
            <w:vAlign w:val="center"/>
          </w:tcPr>
          <w:p w14:paraId="7AE19A3D">
            <w:pPr>
              <w:pStyle w:val="41"/>
              <w:jc w:val="center"/>
            </w:pPr>
            <w:r>
              <w:rPr>
                <w:rFonts w:hint="eastAsia"/>
              </w:rPr>
              <w:t>38</w:t>
            </w:r>
          </w:p>
        </w:tc>
        <w:tc>
          <w:tcPr>
            <w:tcW w:w="1250" w:type="dxa"/>
            <w:vAlign w:val="center"/>
          </w:tcPr>
          <w:p w14:paraId="2C36623F">
            <w:pPr>
              <w:pStyle w:val="41"/>
              <w:jc w:val="center"/>
            </w:pPr>
            <w:r>
              <w:t>达标</w:t>
            </w:r>
          </w:p>
        </w:tc>
      </w:tr>
      <w:tr w14:paraId="71964E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7448B17C">
            <w:pPr>
              <w:pStyle w:val="41"/>
              <w:jc w:val="center"/>
            </w:pPr>
          </w:p>
        </w:tc>
        <w:tc>
          <w:tcPr>
            <w:tcW w:w="945" w:type="dxa"/>
            <w:vMerge w:val="continue"/>
            <w:vAlign w:val="center"/>
          </w:tcPr>
          <w:p w14:paraId="7EC5EF4F">
            <w:pPr>
              <w:pStyle w:val="41"/>
              <w:jc w:val="center"/>
            </w:pPr>
          </w:p>
        </w:tc>
        <w:tc>
          <w:tcPr>
            <w:tcW w:w="2085" w:type="dxa"/>
            <w:vAlign w:val="center"/>
          </w:tcPr>
          <w:p w14:paraId="5FB2D497">
            <w:pPr>
              <w:pStyle w:val="41"/>
              <w:jc w:val="center"/>
            </w:pPr>
            <w:r>
              <w:rPr>
                <w:rFonts w:hint="eastAsia"/>
              </w:rPr>
              <w:t>镍</w:t>
            </w:r>
          </w:p>
        </w:tc>
        <w:tc>
          <w:tcPr>
            <w:tcW w:w="1135" w:type="dxa"/>
            <w:vAlign w:val="center"/>
          </w:tcPr>
          <w:p w14:paraId="4F203765">
            <w:pPr>
              <w:pStyle w:val="41"/>
              <w:jc w:val="center"/>
            </w:pPr>
            <w:r>
              <w:t>mg/kg</w:t>
            </w:r>
          </w:p>
        </w:tc>
        <w:tc>
          <w:tcPr>
            <w:tcW w:w="1285" w:type="dxa"/>
            <w:vAlign w:val="center"/>
          </w:tcPr>
          <w:p w14:paraId="163E32D8">
            <w:pPr>
              <w:pStyle w:val="41"/>
              <w:jc w:val="center"/>
              <w:rPr>
                <w:rFonts w:hint="default" w:eastAsia="宋体"/>
                <w:lang w:val="en-US" w:eastAsia="zh-CN"/>
              </w:rPr>
            </w:pPr>
            <w:r>
              <w:rPr>
                <w:rFonts w:hint="eastAsia"/>
                <w:lang w:val="en-US" w:eastAsia="zh-CN"/>
              </w:rPr>
              <w:t>18.3</w:t>
            </w:r>
          </w:p>
        </w:tc>
        <w:tc>
          <w:tcPr>
            <w:tcW w:w="1261" w:type="dxa"/>
            <w:vAlign w:val="center"/>
          </w:tcPr>
          <w:p w14:paraId="694A2E76">
            <w:pPr>
              <w:pStyle w:val="41"/>
              <w:jc w:val="center"/>
            </w:pPr>
            <w:r>
              <w:rPr>
                <w:rFonts w:hint="eastAsia"/>
              </w:rPr>
              <w:t>900</w:t>
            </w:r>
          </w:p>
        </w:tc>
        <w:tc>
          <w:tcPr>
            <w:tcW w:w="1250" w:type="dxa"/>
            <w:vAlign w:val="center"/>
          </w:tcPr>
          <w:p w14:paraId="655D84C1">
            <w:pPr>
              <w:pStyle w:val="41"/>
              <w:jc w:val="center"/>
            </w:pPr>
            <w:r>
              <w:t>达标</w:t>
            </w:r>
          </w:p>
        </w:tc>
      </w:tr>
      <w:tr w14:paraId="13675D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020B37F6">
            <w:pPr>
              <w:pStyle w:val="41"/>
              <w:jc w:val="center"/>
            </w:pPr>
          </w:p>
        </w:tc>
        <w:tc>
          <w:tcPr>
            <w:tcW w:w="945" w:type="dxa"/>
            <w:vMerge w:val="continue"/>
            <w:vAlign w:val="center"/>
          </w:tcPr>
          <w:p w14:paraId="79501F14">
            <w:pPr>
              <w:pStyle w:val="41"/>
              <w:jc w:val="center"/>
            </w:pPr>
          </w:p>
        </w:tc>
        <w:tc>
          <w:tcPr>
            <w:tcW w:w="2085" w:type="dxa"/>
            <w:vAlign w:val="center"/>
          </w:tcPr>
          <w:p w14:paraId="70CF6CB1">
            <w:pPr>
              <w:pStyle w:val="41"/>
              <w:jc w:val="center"/>
            </w:pPr>
            <w:r>
              <w:rPr>
                <w:rFonts w:hint="eastAsia"/>
              </w:rPr>
              <w:t>石油烃</w:t>
            </w:r>
          </w:p>
        </w:tc>
        <w:tc>
          <w:tcPr>
            <w:tcW w:w="1135" w:type="dxa"/>
            <w:vAlign w:val="center"/>
          </w:tcPr>
          <w:p w14:paraId="3B5ECD26">
            <w:pPr>
              <w:pStyle w:val="41"/>
              <w:jc w:val="center"/>
            </w:pPr>
            <w:r>
              <w:t>mg/kg</w:t>
            </w:r>
          </w:p>
        </w:tc>
        <w:tc>
          <w:tcPr>
            <w:tcW w:w="1285" w:type="dxa"/>
            <w:vAlign w:val="center"/>
          </w:tcPr>
          <w:p w14:paraId="515496DC">
            <w:pPr>
              <w:pStyle w:val="41"/>
              <w:jc w:val="center"/>
              <w:rPr>
                <w:rFonts w:hint="default" w:eastAsia="宋体"/>
                <w:lang w:val="en-US" w:eastAsia="zh-CN"/>
              </w:rPr>
            </w:pPr>
            <w:r>
              <w:rPr>
                <w:rFonts w:hint="eastAsia"/>
                <w:lang w:val="en-US" w:eastAsia="zh-CN"/>
              </w:rPr>
              <w:t>35.2</w:t>
            </w:r>
          </w:p>
        </w:tc>
        <w:tc>
          <w:tcPr>
            <w:tcW w:w="1261" w:type="dxa"/>
            <w:vAlign w:val="center"/>
          </w:tcPr>
          <w:p w14:paraId="2DA7617A">
            <w:pPr>
              <w:pStyle w:val="41"/>
              <w:jc w:val="center"/>
            </w:pPr>
            <w:r>
              <w:rPr>
                <w:rFonts w:hint="eastAsia"/>
              </w:rPr>
              <w:t>4500</w:t>
            </w:r>
          </w:p>
        </w:tc>
        <w:tc>
          <w:tcPr>
            <w:tcW w:w="1250" w:type="dxa"/>
            <w:vAlign w:val="center"/>
          </w:tcPr>
          <w:p w14:paraId="7620611C">
            <w:pPr>
              <w:pStyle w:val="41"/>
              <w:jc w:val="center"/>
            </w:pPr>
            <w:r>
              <w:t>达标</w:t>
            </w:r>
          </w:p>
        </w:tc>
      </w:tr>
      <w:tr w14:paraId="1CF0B8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100" w:type="dxa"/>
            <w:vMerge w:val="continue"/>
            <w:vAlign w:val="center"/>
          </w:tcPr>
          <w:p w14:paraId="4E120C69">
            <w:pPr>
              <w:pStyle w:val="41"/>
              <w:jc w:val="center"/>
            </w:pPr>
          </w:p>
        </w:tc>
        <w:tc>
          <w:tcPr>
            <w:tcW w:w="945" w:type="dxa"/>
            <w:vMerge w:val="continue"/>
            <w:vAlign w:val="center"/>
          </w:tcPr>
          <w:p w14:paraId="1E0AEE31">
            <w:pPr>
              <w:pStyle w:val="41"/>
              <w:jc w:val="center"/>
            </w:pPr>
          </w:p>
        </w:tc>
        <w:tc>
          <w:tcPr>
            <w:tcW w:w="2085" w:type="dxa"/>
            <w:vAlign w:val="center"/>
          </w:tcPr>
          <w:p w14:paraId="465B65C2">
            <w:pPr>
              <w:pStyle w:val="41"/>
              <w:jc w:val="center"/>
              <w:rPr>
                <w:rFonts w:hint="eastAsia"/>
              </w:rPr>
            </w:pPr>
            <w:r>
              <w:rPr>
                <w:rFonts w:hint="eastAsia"/>
                <w:lang w:val="en-US" w:eastAsia="zh-CN"/>
              </w:rPr>
              <w:t>PH</w:t>
            </w:r>
          </w:p>
        </w:tc>
        <w:tc>
          <w:tcPr>
            <w:tcW w:w="1135" w:type="dxa"/>
            <w:vAlign w:val="center"/>
          </w:tcPr>
          <w:p w14:paraId="4B30CD13">
            <w:pPr>
              <w:pStyle w:val="41"/>
              <w:jc w:val="center"/>
            </w:pPr>
            <w:r>
              <w:rPr>
                <w:rFonts w:hint="eastAsia"/>
                <w:lang w:val="en-US" w:eastAsia="zh-CN"/>
              </w:rPr>
              <w:t>/</w:t>
            </w:r>
          </w:p>
        </w:tc>
        <w:tc>
          <w:tcPr>
            <w:tcW w:w="1285" w:type="dxa"/>
            <w:vAlign w:val="center"/>
          </w:tcPr>
          <w:p w14:paraId="759DC1C2">
            <w:pPr>
              <w:pStyle w:val="41"/>
              <w:jc w:val="center"/>
              <w:rPr>
                <w:rFonts w:hint="default" w:eastAsia="宋体"/>
                <w:lang w:val="en-US" w:eastAsia="zh-CN"/>
              </w:rPr>
            </w:pPr>
            <w:r>
              <w:rPr>
                <w:rFonts w:hint="eastAsia"/>
                <w:lang w:val="en-US" w:eastAsia="zh-CN"/>
              </w:rPr>
              <w:t>6.48</w:t>
            </w:r>
          </w:p>
        </w:tc>
        <w:tc>
          <w:tcPr>
            <w:tcW w:w="1261" w:type="dxa"/>
            <w:vAlign w:val="center"/>
          </w:tcPr>
          <w:p w14:paraId="09A74456">
            <w:pPr>
              <w:pStyle w:val="41"/>
              <w:jc w:val="center"/>
              <w:rPr>
                <w:rFonts w:hint="eastAsia"/>
              </w:rPr>
            </w:pPr>
            <w:r>
              <w:rPr>
                <w:rFonts w:hint="eastAsia"/>
                <w:lang w:val="en-US" w:eastAsia="zh-CN"/>
              </w:rPr>
              <w:t>/</w:t>
            </w:r>
          </w:p>
        </w:tc>
        <w:tc>
          <w:tcPr>
            <w:tcW w:w="1250" w:type="dxa"/>
            <w:vAlign w:val="center"/>
          </w:tcPr>
          <w:p w14:paraId="4EA1B138">
            <w:pPr>
              <w:pStyle w:val="41"/>
              <w:jc w:val="center"/>
            </w:pPr>
            <w:r>
              <w:rPr>
                <w:rFonts w:hint="eastAsia"/>
                <w:lang w:val="en-US" w:eastAsia="zh-CN"/>
              </w:rPr>
              <w:t>/</w:t>
            </w:r>
          </w:p>
        </w:tc>
      </w:tr>
    </w:tbl>
    <w:p w14:paraId="59B2ED4A">
      <w:pPr>
        <w:ind w:firstLine="480"/>
        <w:rPr>
          <w:rFonts w:hint="eastAsia" w:ascii="Times New Roman" w:hAnsi="Times New Roman" w:cs="Times New Roman"/>
          <w:color w:val="auto"/>
          <w:u w:val="none"/>
          <w:lang w:val="en-US" w:eastAsia="zh-CN"/>
        </w:rPr>
      </w:pPr>
      <w:r>
        <w:rPr>
          <w:rFonts w:hint="default" w:ascii="Times New Roman" w:hAnsi="Times New Roman" w:cs="Times New Roman"/>
          <w:color w:val="auto"/>
          <w:kern w:val="0"/>
          <w:u w:val="none"/>
        </w:rPr>
        <w:t>由上表可知，项目所在地</w:t>
      </w:r>
      <w:r>
        <w:rPr>
          <w:rFonts w:hint="eastAsia" w:ascii="Times New Roman" w:hAnsi="Times New Roman" w:cs="Times New Roman"/>
          <w:color w:val="auto"/>
          <w:kern w:val="0"/>
          <w:u w:val="none"/>
          <w:lang w:val="en-US" w:eastAsia="zh-CN"/>
        </w:rPr>
        <w:t>厂房内</w:t>
      </w:r>
      <w:r>
        <w:rPr>
          <w:rFonts w:hint="default" w:ascii="Times New Roman" w:hAnsi="Times New Roman" w:cs="Times New Roman"/>
          <w:color w:val="auto"/>
          <w:kern w:val="0"/>
          <w:u w:val="none"/>
        </w:rPr>
        <w:t>点位各监测因子均达到《土壤环境质量建设用地土壤污染风险管控标准（试行）》（GB36600-2018）风险筛选值中的第二类用地的标准限值，项目区域土壤环境质量较好。</w:t>
      </w:r>
    </w:p>
    <w:p w14:paraId="4D7FE4DE">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引用</w:t>
      </w:r>
      <w:r>
        <w:rPr>
          <w:rFonts w:hint="default" w:ascii="Times New Roman" w:hAnsi="Times New Roman" w:cs="Times New Roman"/>
          <w:color w:val="auto"/>
          <w:u w:val="none"/>
        </w:rPr>
        <w:t>监测布点</w:t>
      </w:r>
    </w:p>
    <w:p w14:paraId="47B5AF9A">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本次项目</w:t>
      </w:r>
      <w:r>
        <w:rPr>
          <w:rFonts w:hint="default" w:ascii="Times New Roman" w:hAnsi="Times New Roman" w:cs="Times New Roman"/>
          <w:color w:val="auto"/>
          <w:u w:val="none"/>
        </w:rPr>
        <w:t>土壤引用《易亲工业科技（岳阳）有限公司年产1500万件消费类电子精密金属结构件和核心模组生产线(一期)项目</w:t>
      </w:r>
      <w:r>
        <w:rPr>
          <w:rFonts w:hint="default" w:ascii="Times New Roman" w:hAnsi="Times New Roman" w:cs="Times New Roman"/>
          <w:color w:val="auto"/>
          <w:u w:val="none"/>
          <w:lang w:val="en-US" w:eastAsia="zh-CN"/>
        </w:rPr>
        <w:t>环境影响报告书</w:t>
      </w:r>
      <w:r>
        <w:rPr>
          <w:rFonts w:hint="default" w:ascii="Times New Roman" w:hAnsi="Times New Roman" w:cs="Times New Roman"/>
          <w:color w:val="auto"/>
          <w:u w:val="none"/>
        </w:rPr>
        <w:t>》中的监测数据</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2022年6月20日，湖南谱实检测技术有限公司在易亲工业科技（岳阳）有限公司所在区域进行土壤采样后，将样品送至湖南谱实检测技术有限公司进行检测，监测点位：①场地内取3个柱状样（在 0-0.5m、 0.5-1.5m、 1.5-3m 分别取样）、1个表层样（0-0.2m）。②场地外取2个表层样（0-0.2m）。</w:t>
      </w:r>
    </w:p>
    <w:p w14:paraId="2C667F64">
      <w:pPr>
        <w:numPr>
          <w:ilvl w:val="0"/>
          <w:numId w:val="0"/>
        </w:numPr>
        <w:ind w:firstLine="480" w:firstLineChars="20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7、</w:t>
      </w:r>
      <w:r>
        <w:rPr>
          <w:rFonts w:hint="default" w:ascii="Times New Roman" w:hAnsi="Times New Roman" w:cs="Times New Roman"/>
          <w:color w:val="auto"/>
          <w:u w:val="none"/>
        </w:rPr>
        <w:t>监测项目</w:t>
      </w:r>
    </w:p>
    <w:p w14:paraId="4DDFFFE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表5.2-1</w:t>
      </w:r>
      <w:r>
        <w:rPr>
          <w:rFonts w:hint="eastAsia" w:cs="Times New Roman"/>
          <w:b/>
          <w:bCs/>
          <w:color w:val="auto"/>
          <w:u w:val="none"/>
          <w:lang w:val="en-US" w:eastAsia="zh-CN"/>
        </w:rPr>
        <w:t xml:space="preserve">3  </w:t>
      </w:r>
      <w:r>
        <w:rPr>
          <w:rFonts w:hint="default" w:ascii="Times New Roman" w:hAnsi="Times New Roman" w:cs="Times New Roman"/>
          <w:b/>
          <w:bCs/>
          <w:color w:val="auto"/>
          <w:u w:val="none"/>
        </w:rPr>
        <w:t>监测点位及监测因子</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3350"/>
        <w:gridCol w:w="3922"/>
      </w:tblGrid>
      <w:tr w14:paraId="7730A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vAlign w:val="center"/>
          </w:tcPr>
          <w:p w14:paraId="055A79D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编号</w:t>
            </w:r>
          </w:p>
        </w:tc>
        <w:tc>
          <w:tcPr>
            <w:tcW w:w="3147" w:type="dxa"/>
            <w:vAlign w:val="center"/>
          </w:tcPr>
          <w:p w14:paraId="566EA05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监测点名称</w:t>
            </w:r>
          </w:p>
        </w:tc>
        <w:tc>
          <w:tcPr>
            <w:tcW w:w="3685" w:type="dxa"/>
            <w:vAlign w:val="center"/>
          </w:tcPr>
          <w:p w14:paraId="6E8DDBA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监测因子</w:t>
            </w:r>
          </w:p>
        </w:tc>
      </w:tr>
      <w:tr w14:paraId="26520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681" w:type="dxa"/>
            <w:vAlign w:val="center"/>
          </w:tcPr>
          <w:p w14:paraId="77002429">
            <w:pPr>
              <w:pStyle w:val="41"/>
              <w:rPr>
                <w:rFonts w:hint="default" w:ascii="Times New Roman" w:hAnsi="Times New Roman" w:cs="Times New Roman"/>
                <w:color w:val="auto"/>
                <w:u w:val="none"/>
              </w:rPr>
            </w:pPr>
            <w:r>
              <w:rPr>
                <w:rFonts w:hint="default" w:ascii="Times New Roman" w:hAnsi="Times New Roman" w:cs="Times New Roman"/>
                <w:color w:val="auto"/>
                <w:u w:val="none"/>
              </w:rPr>
              <w:t>T1</w:t>
            </w:r>
          </w:p>
        </w:tc>
        <w:tc>
          <w:tcPr>
            <w:tcW w:w="3147" w:type="dxa"/>
            <w:vAlign w:val="center"/>
          </w:tcPr>
          <w:p w14:paraId="0A15B674">
            <w:pPr>
              <w:pStyle w:val="41"/>
              <w:rPr>
                <w:rFonts w:hint="default" w:ascii="Times New Roman" w:hAnsi="Times New Roman" w:cs="Times New Roman"/>
                <w:color w:val="auto"/>
                <w:u w:val="none"/>
              </w:rPr>
            </w:pPr>
            <w:r>
              <w:rPr>
                <w:rFonts w:hint="default" w:ascii="Times New Roman" w:hAnsi="Times New Roman" w:cs="Times New Roman"/>
                <w:color w:val="auto"/>
                <w:u w:val="none"/>
              </w:rPr>
              <w:t>厂址范围内表层样</w:t>
            </w:r>
          </w:p>
        </w:tc>
        <w:tc>
          <w:tcPr>
            <w:tcW w:w="3685" w:type="dxa"/>
            <w:vAlign w:val="center"/>
          </w:tcPr>
          <w:p w14:paraId="76A887BB">
            <w:pPr>
              <w:pStyle w:val="41"/>
              <w:rPr>
                <w:rFonts w:hint="default" w:ascii="Times New Roman" w:hAnsi="Times New Roman" w:cs="Times New Roman"/>
                <w:color w:val="auto"/>
                <w:u w:val="none"/>
              </w:rPr>
            </w:pPr>
            <w:r>
              <w:rPr>
                <w:rFonts w:hint="default" w:ascii="Times New Roman" w:hAnsi="Times New Roman" w:cs="Times New Roman"/>
                <w:color w:val="auto"/>
                <w:u w:val="none"/>
              </w:rPr>
              <w:t>测45项基本因子+石油烃</w:t>
            </w:r>
          </w:p>
        </w:tc>
      </w:tr>
      <w:tr w14:paraId="06AF1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vAlign w:val="center"/>
          </w:tcPr>
          <w:p w14:paraId="30F43D88">
            <w:pPr>
              <w:pStyle w:val="41"/>
              <w:rPr>
                <w:rFonts w:hint="default" w:ascii="Times New Roman" w:hAnsi="Times New Roman" w:cs="Times New Roman"/>
                <w:color w:val="auto"/>
                <w:u w:val="none"/>
              </w:rPr>
            </w:pPr>
            <w:r>
              <w:rPr>
                <w:rFonts w:hint="default" w:ascii="Times New Roman" w:hAnsi="Times New Roman" w:cs="Times New Roman"/>
                <w:color w:val="auto"/>
                <w:u w:val="none"/>
              </w:rPr>
              <w:t>T2</w:t>
            </w:r>
          </w:p>
        </w:tc>
        <w:tc>
          <w:tcPr>
            <w:tcW w:w="3147" w:type="dxa"/>
            <w:vAlign w:val="center"/>
          </w:tcPr>
          <w:p w14:paraId="0F1CD419">
            <w:pPr>
              <w:pStyle w:val="41"/>
              <w:rPr>
                <w:rFonts w:hint="default" w:ascii="Times New Roman" w:hAnsi="Times New Roman" w:cs="Times New Roman"/>
                <w:color w:val="auto"/>
                <w:u w:val="none"/>
              </w:rPr>
            </w:pPr>
            <w:r>
              <w:rPr>
                <w:rFonts w:hint="default" w:ascii="Times New Roman" w:hAnsi="Times New Roman" w:cs="Times New Roman"/>
                <w:color w:val="auto"/>
                <w:u w:val="none"/>
              </w:rPr>
              <w:t>生产车间外绿地柱状样</w:t>
            </w:r>
          </w:p>
        </w:tc>
        <w:tc>
          <w:tcPr>
            <w:tcW w:w="3685" w:type="dxa"/>
            <w:vAlign w:val="center"/>
          </w:tcPr>
          <w:p w14:paraId="78D8D79B">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3B0E0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681" w:type="dxa"/>
            <w:vAlign w:val="center"/>
          </w:tcPr>
          <w:p w14:paraId="0291F8BF">
            <w:pPr>
              <w:pStyle w:val="41"/>
              <w:rPr>
                <w:rFonts w:hint="default" w:ascii="Times New Roman" w:hAnsi="Times New Roman" w:cs="Times New Roman"/>
                <w:color w:val="auto"/>
                <w:u w:val="none"/>
              </w:rPr>
            </w:pPr>
            <w:r>
              <w:rPr>
                <w:rFonts w:hint="default" w:ascii="Times New Roman" w:hAnsi="Times New Roman" w:cs="Times New Roman"/>
                <w:color w:val="auto"/>
                <w:u w:val="none"/>
              </w:rPr>
              <w:t>T3</w:t>
            </w:r>
          </w:p>
        </w:tc>
        <w:tc>
          <w:tcPr>
            <w:tcW w:w="3147" w:type="dxa"/>
            <w:vAlign w:val="center"/>
          </w:tcPr>
          <w:p w14:paraId="62D61E0C">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生活区绿地柱状样</w:t>
            </w:r>
          </w:p>
        </w:tc>
        <w:tc>
          <w:tcPr>
            <w:tcW w:w="3685" w:type="dxa"/>
            <w:vAlign w:val="center"/>
          </w:tcPr>
          <w:p w14:paraId="433C480C">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3D879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vAlign w:val="center"/>
          </w:tcPr>
          <w:p w14:paraId="30D01B6A">
            <w:pPr>
              <w:pStyle w:val="41"/>
              <w:rPr>
                <w:rFonts w:hint="default" w:ascii="Times New Roman" w:hAnsi="Times New Roman" w:cs="Times New Roman"/>
                <w:color w:val="auto"/>
                <w:u w:val="none"/>
              </w:rPr>
            </w:pPr>
            <w:r>
              <w:rPr>
                <w:rFonts w:hint="default" w:ascii="Times New Roman" w:hAnsi="Times New Roman" w:cs="Times New Roman"/>
                <w:color w:val="auto"/>
                <w:u w:val="none"/>
              </w:rPr>
              <w:t>T4</w:t>
            </w:r>
          </w:p>
        </w:tc>
        <w:tc>
          <w:tcPr>
            <w:tcW w:w="3147" w:type="dxa"/>
            <w:vAlign w:val="center"/>
          </w:tcPr>
          <w:p w14:paraId="64C70BB8">
            <w:pPr>
              <w:pStyle w:val="41"/>
              <w:rPr>
                <w:rFonts w:hint="default" w:ascii="Times New Roman" w:hAnsi="Times New Roman" w:cs="Times New Roman"/>
                <w:color w:val="auto"/>
                <w:u w:val="none"/>
              </w:rPr>
            </w:pPr>
            <w:r>
              <w:rPr>
                <w:rFonts w:hint="default" w:ascii="Times New Roman" w:hAnsi="Times New Roman" w:cs="Times New Roman"/>
                <w:color w:val="auto"/>
                <w:u w:val="none"/>
              </w:rPr>
              <w:t>污水处理站用地柱状样</w:t>
            </w:r>
          </w:p>
        </w:tc>
        <w:tc>
          <w:tcPr>
            <w:tcW w:w="3685" w:type="dxa"/>
            <w:vAlign w:val="center"/>
          </w:tcPr>
          <w:p w14:paraId="04D93472">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13D50B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vAlign w:val="center"/>
          </w:tcPr>
          <w:p w14:paraId="11216C88">
            <w:pPr>
              <w:pStyle w:val="41"/>
              <w:rPr>
                <w:rFonts w:hint="default" w:ascii="Times New Roman" w:hAnsi="Times New Roman" w:cs="Times New Roman"/>
                <w:color w:val="auto"/>
                <w:u w:val="none"/>
              </w:rPr>
            </w:pPr>
            <w:r>
              <w:rPr>
                <w:rFonts w:hint="default" w:ascii="Times New Roman" w:hAnsi="Times New Roman" w:cs="Times New Roman"/>
                <w:color w:val="auto"/>
                <w:u w:val="none"/>
              </w:rPr>
              <w:t>T5</w:t>
            </w:r>
          </w:p>
        </w:tc>
        <w:tc>
          <w:tcPr>
            <w:tcW w:w="3147" w:type="dxa"/>
            <w:vAlign w:val="center"/>
          </w:tcPr>
          <w:p w14:paraId="20EF1E54">
            <w:pPr>
              <w:pStyle w:val="41"/>
              <w:rPr>
                <w:rFonts w:hint="default" w:ascii="Times New Roman" w:hAnsi="Times New Roman" w:cs="Times New Roman"/>
                <w:color w:val="auto"/>
                <w:u w:val="none"/>
              </w:rPr>
            </w:pPr>
            <w:r>
              <w:rPr>
                <w:rFonts w:hint="default" w:ascii="Times New Roman" w:hAnsi="Times New Roman" w:cs="Times New Roman"/>
                <w:color w:val="auto"/>
                <w:u w:val="none"/>
              </w:rPr>
              <w:t>厂界东侧林地表层样</w:t>
            </w:r>
          </w:p>
        </w:tc>
        <w:tc>
          <w:tcPr>
            <w:tcW w:w="3685" w:type="dxa"/>
            <w:vAlign w:val="center"/>
          </w:tcPr>
          <w:p w14:paraId="35C777EA">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r w14:paraId="0CC3F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81" w:type="dxa"/>
            <w:vAlign w:val="center"/>
          </w:tcPr>
          <w:p w14:paraId="15F7D5E2">
            <w:pPr>
              <w:pStyle w:val="41"/>
              <w:rPr>
                <w:rFonts w:hint="default" w:ascii="Times New Roman" w:hAnsi="Times New Roman" w:cs="Times New Roman"/>
                <w:color w:val="auto"/>
                <w:u w:val="none"/>
              </w:rPr>
            </w:pPr>
            <w:r>
              <w:rPr>
                <w:rFonts w:hint="default" w:ascii="Times New Roman" w:hAnsi="Times New Roman" w:cs="Times New Roman"/>
                <w:color w:val="auto"/>
                <w:u w:val="none"/>
              </w:rPr>
              <w:t>T6</w:t>
            </w:r>
          </w:p>
        </w:tc>
        <w:tc>
          <w:tcPr>
            <w:tcW w:w="3147" w:type="dxa"/>
            <w:vAlign w:val="center"/>
          </w:tcPr>
          <w:p w14:paraId="4C485CE3">
            <w:pPr>
              <w:pStyle w:val="41"/>
              <w:rPr>
                <w:rFonts w:hint="default" w:ascii="Times New Roman" w:hAnsi="Times New Roman" w:cs="Times New Roman"/>
                <w:color w:val="auto"/>
                <w:u w:val="none"/>
              </w:rPr>
            </w:pPr>
            <w:r>
              <w:rPr>
                <w:rFonts w:hint="default" w:ascii="Times New Roman" w:hAnsi="Times New Roman" w:cs="Times New Roman"/>
                <w:color w:val="auto"/>
                <w:u w:val="none"/>
              </w:rPr>
              <w:t>污水处理站外空地表层样</w:t>
            </w:r>
          </w:p>
        </w:tc>
        <w:tc>
          <w:tcPr>
            <w:tcW w:w="3685" w:type="dxa"/>
            <w:vAlign w:val="center"/>
          </w:tcPr>
          <w:p w14:paraId="04908C21">
            <w:pPr>
              <w:pStyle w:val="41"/>
              <w:rPr>
                <w:rFonts w:hint="default" w:ascii="Times New Roman" w:hAnsi="Times New Roman" w:cs="Times New Roman"/>
                <w:color w:val="auto"/>
                <w:u w:val="none"/>
              </w:rPr>
            </w:pPr>
            <w:r>
              <w:rPr>
                <w:rFonts w:hint="default" w:ascii="Times New Roman" w:hAnsi="Times New Roman" w:cs="Times New Roman"/>
                <w:color w:val="auto"/>
                <w:u w:val="none"/>
              </w:rPr>
              <w:t>pH、砷、镉、六价铬、铜、铅、汞、镍、石油烃</w:t>
            </w:r>
          </w:p>
        </w:tc>
      </w:tr>
    </w:tbl>
    <w:p w14:paraId="1C15D4E9">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8</w:t>
      </w:r>
      <w:r>
        <w:rPr>
          <w:rFonts w:hint="default" w:ascii="Times New Roman" w:hAnsi="Times New Roman" w:cs="Times New Roman"/>
          <w:color w:val="auto"/>
          <w:u w:val="none"/>
        </w:rPr>
        <w:t>、监测时间与采样频次</w:t>
      </w:r>
    </w:p>
    <w:p w14:paraId="1D859EAD">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湖南谱实检测技术有限公司于2022年6月20日对T1—T6监测点位进行监测，监测1天，监测一次。</w:t>
      </w:r>
    </w:p>
    <w:p w14:paraId="4579B911">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9</w:t>
      </w:r>
      <w:r>
        <w:rPr>
          <w:rFonts w:hint="default" w:ascii="Times New Roman" w:hAnsi="Times New Roman" w:cs="Times New Roman"/>
          <w:color w:val="auto"/>
          <w:u w:val="none"/>
        </w:rPr>
        <w:t>、评价标准及评价方法</w:t>
      </w:r>
    </w:p>
    <w:p w14:paraId="6EE5E57A">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（1）评价标准</w:t>
      </w:r>
    </w:p>
    <w:p w14:paraId="2484C88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土壤环境质量执行《土壤环境质量建设用地土壤污染风险管控标准（试行）》（GB36600-2018）风险筛选值中的第二类用地。</w:t>
      </w:r>
    </w:p>
    <w:p w14:paraId="291479CF">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（2）评价方法</w:t>
      </w:r>
    </w:p>
    <w:p w14:paraId="24890E3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各监测点的监测值与评价标准限值进行比较。</w:t>
      </w:r>
    </w:p>
    <w:p w14:paraId="26ABDBB4">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10</w:t>
      </w:r>
      <w:r>
        <w:rPr>
          <w:rFonts w:hint="default" w:ascii="Times New Roman" w:hAnsi="Times New Roman" w:cs="Times New Roman"/>
          <w:color w:val="auto"/>
          <w:u w:val="none"/>
        </w:rPr>
        <w:t>、监测结果及分析</w:t>
      </w:r>
    </w:p>
    <w:p w14:paraId="4E12D440">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土壤现状评价结果见表5.2-1</w:t>
      </w:r>
      <w:r>
        <w:rPr>
          <w:rFonts w:hint="eastAsia" w:ascii="Times New Roman" w:hAnsi="Times New Roman" w:cs="Times New Roman"/>
          <w:color w:val="auto"/>
          <w:kern w:val="0"/>
          <w:u w:val="none"/>
          <w:lang w:val="en-US" w:eastAsia="zh-CN"/>
        </w:rPr>
        <w:t>4</w:t>
      </w:r>
      <w:r>
        <w:rPr>
          <w:rFonts w:hint="default" w:ascii="Times New Roman" w:hAnsi="Times New Roman" w:cs="Times New Roman"/>
          <w:color w:val="auto"/>
          <w:kern w:val="0"/>
          <w:u w:val="none"/>
        </w:rPr>
        <w:t>至5.2-1</w:t>
      </w:r>
      <w:r>
        <w:rPr>
          <w:rFonts w:hint="eastAsia" w:ascii="Times New Roman" w:hAnsi="Times New Roman" w:cs="Times New Roman"/>
          <w:color w:val="auto"/>
          <w:kern w:val="0"/>
          <w:u w:val="none"/>
          <w:lang w:val="en-US" w:eastAsia="zh-CN"/>
        </w:rPr>
        <w:t>5</w:t>
      </w:r>
      <w:r>
        <w:rPr>
          <w:rFonts w:hint="default" w:ascii="Times New Roman" w:hAnsi="Times New Roman" w:cs="Times New Roman"/>
          <w:color w:val="auto"/>
          <w:kern w:val="0"/>
          <w:u w:val="none"/>
        </w:rPr>
        <w:t>。</w:t>
      </w:r>
    </w:p>
    <w:p w14:paraId="2837314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表5.2-1</w:t>
      </w:r>
      <w:r>
        <w:rPr>
          <w:rFonts w:hint="eastAsia" w:cs="Times New Roman"/>
          <w:b/>
          <w:bCs/>
          <w:color w:val="auto"/>
          <w:u w:val="none"/>
          <w:lang w:val="en-US" w:eastAsia="zh-CN"/>
        </w:rPr>
        <w:t>4</w:t>
      </w:r>
      <w:r>
        <w:rPr>
          <w:rFonts w:hint="default" w:ascii="Times New Roman" w:hAnsi="Times New Roman" w:cs="Times New Roman"/>
          <w:b/>
          <w:bCs/>
          <w:color w:val="auto"/>
          <w:u w:val="none"/>
        </w:rPr>
        <w:t xml:space="preserve">   土壤理化性质监测结果表1</w:t>
      </w:r>
    </w:p>
    <w:tbl>
      <w:tblPr>
        <w:tblStyle w:val="59"/>
        <w:tblW w:w="887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58"/>
        <w:gridCol w:w="1336"/>
        <w:gridCol w:w="786"/>
        <w:gridCol w:w="784"/>
        <w:gridCol w:w="861"/>
        <w:gridCol w:w="774"/>
        <w:gridCol w:w="680"/>
        <w:gridCol w:w="845"/>
        <w:gridCol w:w="788"/>
        <w:gridCol w:w="786"/>
        <w:gridCol w:w="877"/>
      </w:tblGrid>
      <w:tr w14:paraId="49F7B7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gridSpan w:val="2"/>
            <w:vMerge w:val="restart"/>
            <w:tcBorders>
              <w:tl2br w:val="nil"/>
              <w:tr2bl w:val="nil"/>
            </w:tcBorders>
            <w:vAlign w:val="center"/>
          </w:tcPr>
          <w:p w14:paraId="741FC4F9">
            <w:pPr>
              <w:pStyle w:val="41"/>
              <w:jc w:val="center"/>
              <w:rPr>
                <w:rFonts w:hint="default" w:ascii="Times New Roman" w:hAnsi="Times New Roman" w:cs="Times New Roman"/>
                <w:color w:val="auto"/>
                <w:sz w:val="21"/>
                <w:szCs w:val="21"/>
                <w:u w:val="none"/>
              </w:rPr>
            </w:pPr>
          </w:p>
          <w:p w14:paraId="65916D8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检测项目</w:t>
            </w:r>
          </w:p>
        </w:tc>
        <w:tc>
          <w:tcPr>
            <w:tcW w:w="0" w:type="auto"/>
            <w:gridSpan w:val="9"/>
            <w:tcBorders>
              <w:tl2br w:val="nil"/>
              <w:tr2bl w:val="nil"/>
            </w:tcBorders>
            <w:vAlign w:val="center"/>
          </w:tcPr>
          <w:p w14:paraId="223A656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检测结果</w:t>
            </w:r>
          </w:p>
        </w:tc>
      </w:tr>
      <w:tr w14:paraId="13FCB5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gridSpan w:val="2"/>
            <w:vMerge w:val="continue"/>
            <w:tcBorders>
              <w:tl2br w:val="nil"/>
              <w:tr2bl w:val="nil"/>
            </w:tcBorders>
            <w:vAlign w:val="center"/>
          </w:tcPr>
          <w:p w14:paraId="2C7E2BE3">
            <w:pPr>
              <w:pStyle w:val="41"/>
              <w:jc w:val="center"/>
              <w:rPr>
                <w:rFonts w:hint="default" w:ascii="Times New Roman" w:hAnsi="Times New Roman" w:cs="Times New Roman"/>
                <w:color w:val="auto"/>
                <w:sz w:val="21"/>
                <w:szCs w:val="21"/>
                <w:u w:val="none"/>
              </w:rPr>
            </w:pPr>
          </w:p>
        </w:tc>
        <w:tc>
          <w:tcPr>
            <w:tcW w:w="0" w:type="auto"/>
            <w:gridSpan w:val="3"/>
            <w:tcBorders>
              <w:tl2br w:val="nil"/>
              <w:tr2bl w:val="nil"/>
            </w:tcBorders>
            <w:vAlign w:val="center"/>
          </w:tcPr>
          <w:p w14:paraId="5873FB4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T2生产车间外周边柱状样(E：113°11′35.74″，N： 29°27′37.36″)</w:t>
            </w:r>
          </w:p>
        </w:tc>
        <w:tc>
          <w:tcPr>
            <w:tcW w:w="0" w:type="auto"/>
            <w:gridSpan w:val="3"/>
            <w:tcBorders>
              <w:tl2br w:val="nil"/>
              <w:tr2bl w:val="nil"/>
            </w:tcBorders>
            <w:vAlign w:val="center"/>
          </w:tcPr>
          <w:p w14:paraId="1A4F125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T3 生活区周边柱状样 (E：113°11′40.83″ ，N：29°27′36.84″)</w:t>
            </w:r>
          </w:p>
        </w:tc>
        <w:tc>
          <w:tcPr>
            <w:tcW w:w="0" w:type="auto"/>
            <w:gridSpan w:val="3"/>
            <w:tcBorders>
              <w:tl2br w:val="nil"/>
              <w:tr2bl w:val="nil"/>
            </w:tcBorders>
            <w:vAlign w:val="center"/>
          </w:tcPr>
          <w:p w14:paraId="6A94F50E">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T4 污水处理站用地柱状 样(E：113°11′30.38″，N：29°27′26.61″)</w:t>
            </w:r>
          </w:p>
        </w:tc>
      </w:tr>
      <w:tr w14:paraId="15FCC5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gridSpan w:val="2"/>
            <w:tcBorders>
              <w:tl2br w:val="nil"/>
              <w:tr2bl w:val="nil"/>
            </w:tcBorders>
            <w:vAlign w:val="center"/>
          </w:tcPr>
          <w:p w14:paraId="2287290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层次</w:t>
            </w:r>
          </w:p>
        </w:tc>
        <w:tc>
          <w:tcPr>
            <w:tcW w:w="0" w:type="auto"/>
            <w:tcBorders>
              <w:tl2br w:val="nil"/>
              <w:tr2bl w:val="nil"/>
            </w:tcBorders>
            <w:vAlign w:val="center"/>
          </w:tcPr>
          <w:p w14:paraId="7400D67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0-0.5m</w:t>
            </w:r>
          </w:p>
        </w:tc>
        <w:tc>
          <w:tcPr>
            <w:tcW w:w="0" w:type="auto"/>
            <w:tcBorders>
              <w:tl2br w:val="nil"/>
              <w:tr2bl w:val="nil"/>
            </w:tcBorders>
            <w:vAlign w:val="center"/>
          </w:tcPr>
          <w:p w14:paraId="0AEBC70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0.5- 1.5 m</w:t>
            </w:r>
          </w:p>
        </w:tc>
        <w:tc>
          <w:tcPr>
            <w:tcW w:w="0" w:type="auto"/>
            <w:tcBorders>
              <w:tl2br w:val="nil"/>
              <w:tr2bl w:val="nil"/>
            </w:tcBorders>
            <w:vAlign w:val="center"/>
          </w:tcPr>
          <w:p w14:paraId="6F34DE9C">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1.5-3.0 m</w:t>
            </w:r>
          </w:p>
        </w:tc>
        <w:tc>
          <w:tcPr>
            <w:tcW w:w="0" w:type="auto"/>
            <w:tcBorders>
              <w:tl2br w:val="nil"/>
              <w:tr2bl w:val="nil"/>
            </w:tcBorders>
            <w:vAlign w:val="center"/>
          </w:tcPr>
          <w:p w14:paraId="7EED37DE">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0-0.5m</w:t>
            </w:r>
          </w:p>
        </w:tc>
        <w:tc>
          <w:tcPr>
            <w:tcW w:w="0" w:type="auto"/>
            <w:tcBorders>
              <w:tl2br w:val="nil"/>
              <w:tr2bl w:val="nil"/>
            </w:tcBorders>
            <w:vAlign w:val="center"/>
          </w:tcPr>
          <w:p w14:paraId="510F1A8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0.5- 1.5 m</w:t>
            </w:r>
          </w:p>
        </w:tc>
        <w:tc>
          <w:tcPr>
            <w:tcW w:w="0" w:type="auto"/>
            <w:tcBorders>
              <w:tl2br w:val="nil"/>
              <w:tr2bl w:val="nil"/>
            </w:tcBorders>
            <w:vAlign w:val="center"/>
          </w:tcPr>
          <w:p w14:paraId="38BCA79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1.5-3.0 m</w:t>
            </w:r>
          </w:p>
        </w:tc>
        <w:tc>
          <w:tcPr>
            <w:tcW w:w="0" w:type="auto"/>
            <w:tcBorders>
              <w:tl2br w:val="nil"/>
              <w:tr2bl w:val="nil"/>
            </w:tcBorders>
            <w:vAlign w:val="center"/>
          </w:tcPr>
          <w:p w14:paraId="790867E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0-0.5m</w:t>
            </w:r>
          </w:p>
        </w:tc>
        <w:tc>
          <w:tcPr>
            <w:tcW w:w="0" w:type="auto"/>
            <w:tcBorders>
              <w:tl2br w:val="nil"/>
              <w:tr2bl w:val="nil"/>
            </w:tcBorders>
            <w:vAlign w:val="center"/>
          </w:tcPr>
          <w:p w14:paraId="4E1626A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0.5- 1.5 m</w:t>
            </w:r>
          </w:p>
        </w:tc>
        <w:tc>
          <w:tcPr>
            <w:tcW w:w="0" w:type="auto"/>
            <w:tcBorders>
              <w:tl2br w:val="nil"/>
              <w:tr2bl w:val="nil"/>
            </w:tcBorders>
            <w:vAlign w:val="center"/>
          </w:tcPr>
          <w:p w14:paraId="7E3A5C7E">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1.5-3.0 m</w:t>
            </w:r>
          </w:p>
        </w:tc>
      </w:tr>
      <w:tr w14:paraId="519731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restart"/>
            <w:tcBorders>
              <w:tl2br w:val="nil"/>
              <w:tr2bl w:val="nil"/>
            </w:tcBorders>
            <w:textDirection w:val="tbRlV"/>
            <w:vAlign w:val="center"/>
          </w:tcPr>
          <w:p w14:paraId="1111FBD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现 场 记 录</w:t>
            </w:r>
          </w:p>
        </w:tc>
        <w:tc>
          <w:tcPr>
            <w:tcW w:w="0" w:type="auto"/>
            <w:tcBorders>
              <w:tl2br w:val="nil"/>
              <w:tr2bl w:val="nil"/>
            </w:tcBorders>
            <w:vAlign w:val="center"/>
          </w:tcPr>
          <w:p w14:paraId="37A0F41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颜色</w:t>
            </w:r>
          </w:p>
        </w:tc>
        <w:tc>
          <w:tcPr>
            <w:tcW w:w="0" w:type="auto"/>
            <w:tcBorders>
              <w:tl2br w:val="nil"/>
              <w:tr2bl w:val="nil"/>
            </w:tcBorders>
            <w:vAlign w:val="center"/>
          </w:tcPr>
          <w:p w14:paraId="785B898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黄棕色</w:t>
            </w:r>
          </w:p>
        </w:tc>
        <w:tc>
          <w:tcPr>
            <w:tcW w:w="0" w:type="auto"/>
            <w:tcBorders>
              <w:tl2br w:val="nil"/>
              <w:tr2bl w:val="nil"/>
            </w:tcBorders>
            <w:vAlign w:val="center"/>
          </w:tcPr>
          <w:p w14:paraId="210E693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红棕色</w:t>
            </w:r>
          </w:p>
        </w:tc>
        <w:tc>
          <w:tcPr>
            <w:tcW w:w="0" w:type="auto"/>
            <w:tcBorders>
              <w:tl2br w:val="nil"/>
              <w:tr2bl w:val="nil"/>
            </w:tcBorders>
            <w:vAlign w:val="center"/>
          </w:tcPr>
          <w:p w14:paraId="777C83D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红棕色</w:t>
            </w:r>
          </w:p>
        </w:tc>
        <w:tc>
          <w:tcPr>
            <w:tcW w:w="0" w:type="auto"/>
            <w:tcBorders>
              <w:tl2br w:val="nil"/>
              <w:tr2bl w:val="nil"/>
            </w:tcBorders>
            <w:vAlign w:val="center"/>
          </w:tcPr>
          <w:p w14:paraId="1C35FA1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黄棕色</w:t>
            </w:r>
          </w:p>
        </w:tc>
        <w:tc>
          <w:tcPr>
            <w:tcW w:w="0" w:type="auto"/>
            <w:tcBorders>
              <w:tl2br w:val="nil"/>
              <w:tr2bl w:val="nil"/>
            </w:tcBorders>
            <w:vAlign w:val="center"/>
          </w:tcPr>
          <w:p w14:paraId="6F28F9F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红棕色</w:t>
            </w:r>
          </w:p>
        </w:tc>
        <w:tc>
          <w:tcPr>
            <w:tcW w:w="0" w:type="auto"/>
            <w:tcBorders>
              <w:tl2br w:val="nil"/>
              <w:tr2bl w:val="nil"/>
            </w:tcBorders>
            <w:vAlign w:val="center"/>
          </w:tcPr>
          <w:p w14:paraId="6F38BF6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黄棕色</w:t>
            </w:r>
          </w:p>
        </w:tc>
        <w:tc>
          <w:tcPr>
            <w:tcW w:w="0" w:type="auto"/>
            <w:tcBorders>
              <w:tl2br w:val="nil"/>
              <w:tr2bl w:val="nil"/>
            </w:tcBorders>
            <w:vAlign w:val="center"/>
          </w:tcPr>
          <w:p w14:paraId="253CFE38">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红棕色</w:t>
            </w:r>
          </w:p>
        </w:tc>
        <w:tc>
          <w:tcPr>
            <w:tcW w:w="0" w:type="auto"/>
            <w:tcBorders>
              <w:tl2br w:val="nil"/>
              <w:tr2bl w:val="nil"/>
            </w:tcBorders>
            <w:vAlign w:val="center"/>
          </w:tcPr>
          <w:p w14:paraId="18D5168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黄棕色</w:t>
            </w:r>
          </w:p>
        </w:tc>
        <w:tc>
          <w:tcPr>
            <w:tcW w:w="0" w:type="auto"/>
            <w:tcBorders>
              <w:tl2br w:val="nil"/>
              <w:tr2bl w:val="nil"/>
            </w:tcBorders>
            <w:vAlign w:val="center"/>
          </w:tcPr>
          <w:p w14:paraId="35D833A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黄棕色</w:t>
            </w:r>
          </w:p>
        </w:tc>
      </w:tr>
      <w:tr w14:paraId="2603FA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1017D38C">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56E0245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质地</w:t>
            </w:r>
          </w:p>
        </w:tc>
        <w:tc>
          <w:tcPr>
            <w:tcW w:w="0" w:type="auto"/>
            <w:tcBorders>
              <w:tl2br w:val="nil"/>
              <w:tr2bl w:val="nil"/>
            </w:tcBorders>
            <w:vAlign w:val="center"/>
          </w:tcPr>
          <w:p w14:paraId="162FD79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0E0171B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6830809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66D6023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7E7DFBE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1875A73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5A4A023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102CE8D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c>
          <w:tcPr>
            <w:tcW w:w="0" w:type="auto"/>
            <w:tcBorders>
              <w:tl2br w:val="nil"/>
              <w:tr2bl w:val="nil"/>
            </w:tcBorders>
            <w:vAlign w:val="center"/>
          </w:tcPr>
          <w:p w14:paraId="24F5DF3C">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轻壤土</w:t>
            </w:r>
          </w:p>
        </w:tc>
      </w:tr>
      <w:tr w14:paraId="5F7612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5C409805">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6EFFD05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湿度</w:t>
            </w:r>
          </w:p>
        </w:tc>
        <w:tc>
          <w:tcPr>
            <w:tcW w:w="0" w:type="auto"/>
            <w:tcBorders>
              <w:tl2br w:val="nil"/>
              <w:tr2bl w:val="nil"/>
            </w:tcBorders>
            <w:vAlign w:val="center"/>
          </w:tcPr>
          <w:p w14:paraId="20CA685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75B9FD9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353DC24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14A9CBB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38C795F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7D6AEED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3BE1650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636FF228">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c>
          <w:tcPr>
            <w:tcW w:w="0" w:type="auto"/>
            <w:tcBorders>
              <w:tl2br w:val="nil"/>
              <w:tr2bl w:val="nil"/>
            </w:tcBorders>
            <w:vAlign w:val="center"/>
          </w:tcPr>
          <w:p w14:paraId="0753DDC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潮湿</w:t>
            </w:r>
          </w:p>
        </w:tc>
      </w:tr>
      <w:tr w14:paraId="77A25B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59125124">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155F421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其他异物</w:t>
            </w:r>
          </w:p>
        </w:tc>
        <w:tc>
          <w:tcPr>
            <w:tcW w:w="0" w:type="auto"/>
            <w:tcBorders>
              <w:tl2br w:val="nil"/>
              <w:tr2bl w:val="nil"/>
            </w:tcBorders>
            <w:vAlign w:val="center"/>
          </w:tcPr>
          <w:p w14:paraId="461AEA6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有杂草</w:t>
            </w:r>
          </w:p>
        </w:tc>
        <w:tc>
          <w:tcPr>
            <w:tcW w:w="0" w:type="auto"/>
            <w:tcBorders>
              <w:tl2br w:val="nil"/>
              <w:tr2bl w:val="nil"/>
            </w:tcBorders>
            <w:vAlign w:val="center"/>
          </w:tcPr>
          <w:p w14:paraId="53E131A8">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w:t>
            </w:r>
          </w:p>
        </w:tc>
        <w:tc>
          <w:tcPr>
            <w:tcW w:w="0" w:type="auto"/>
            <w:tcBorders>
              <w:tl2br w:val="nil"/>
              <w:tr2bl w:val="nil"/>
            </w:tcBorders>
            <w:vAlign w:val="center"/>
          </w:tcPr>
          <w:p w14:paraId="5EE94E2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w:t>
            </w:r>
          </w:p>
        </w:tc>
        <w:tc>
          <w:tcPr>
            <w:tcW w:w="0" w:type="auto"/>
            <w:tcBorders>
              <w:tl2br w:val="nil"/>
              <w:tr2bl w:val="nil"/>
            </w:tcBorders>
            <w:vAlign w:val="center"/>
          </w:tcPr>
          <w:p w14:paraId="03B9A94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有杂草</w:t>
            </w:r>
          </w:p>
        </w:tc>
        <w:tc>
          <w:tcPr>
            <w:tcW w:w="0" w:type="auto"/>
            <w:tcBorders>
              <w:tl2br w:val="nil"/>
              <w:tr2bl w:val="nil"/>
            </w:tcBorders>
            <w:vAlign w:val="center"/>
          </w:tcPr>
          <w:p w14:paraId="18188EE8">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w:t>
            </w:r>
          </w:p>
        </w:tc>
        <w:tc>
          <w:tcPr>
            <w:tcW w:w="0" w:type="auto"/>
            <w:tcBorders>
              <w:tl2br w:val="nil"/>
              <w:tr2bl w:val="nil"/>
            </w:tcBorders>
            <w:vAlign w:val="center"/>
          </w:tcPr>
          <w:p w14:paraId="476FB32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w:t>
            </w:r>
          </w:p>
        </w:tc>
        <w:tc>
          <w:tcPr>
            <w:tcW w:w="0" w:type="auto"/>
            <w:tcBorders>
              <w:tl2br w:val="nil"/>
              <w:tr2bl w:val="nil"/>
            </w:tcBorders>
            <w:vAlign w:val="center"/>
          </w:tcPr>
          <w:p w14:paraId="7397140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有杂草</w:t>
            </w:r>
          </w:p>
        </w:tc>
        <w:tc>
          <w:tcPr>
            <w:tcW w:w="0" w:type="auto"/>
            <w:tcBorders>
              <w:tl2br w:val="nil"/>
              <w:tr2bl w:val="nil"/>
            </w:tcBorders>
            <w:vAlign w:val="center"/>
          </w:tcPr>
          <w:p w14:paraId="3F99A47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w:t>
            </w:r>
          </w:p>
        </w:tc>
        <w:tc>
          <w:tcPr>
            <w:tcW w:w="0" w:type="auto"/>
            <w:tcBorders>
              <w:tl2br w:val="nil"/>
              <w:tr2bl w:val="nil"/>
            </w:tcBorders>
            <w:vAlign w:val="center"/>
          </w:tcPr>
          <w:p w14:paraId="4F3965E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无</w:t>
            </w:r>
          </w:p>
        </w:tc>
      </w:tr>
      <w:tr w14:paraId="6B0C33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restart"/>
            <w:tcBorders>
              <w:tl2br w:val="nil"/>
              <w:tr2bl w:val="nil"/>
            </w:tcBorders>
            <w:textDirection w:val="tbRlV"/>
            <w:vAlign w:val="center"/>
          </w:tcPr>
          <w:p w14:paraId="4F713C41">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实 验 室 测 定</w:t>
            </w:r>
          </w:p>
        </w:tc>
        <w:tc>
          <w:tcPr>
            <w:tcW w:w="0" w:type="auto"/>
            <w:tcBorders>
              <w:tl2br w:val="nil"/>
              <w:tr2bl w:val="nil"/>
            </w:tcBorders>
            <w:vAlign w:val="center"/>
          </w:tcPr>
          <w:p w14:paraId="04C84C1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pH 值(无量纲)</w:t>
            </w:r>
          </w:p>
        </w:tc>
        <w:tc>
          <w:tcPr>
            <w:tcW w:w="0" w:type="auto"/>
            <w:tcBorders>
              <w:tl2br w:val="nil"/>
              <w:tr2bl w:val="nil"/>
            </w:tcBorders>
            <w:vAlign w:val="center"/>
          </w:tcPr>
          <w:p w14:paraId="6B5C1CD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6.54</w:t>
            </w:r>
          </w:p>
        </w:tc>
        <w:tc>
          <w:tcPr>
            <w:tcW w:w="0" w:type="auto"/>
            <w:tcBorders>
              <w:tl2br w:val="nil"/>
              <w:tr2bl w:val="nil"/>
            </w:tcBorders>
            <w:vAlign w:val="center"/>
          </w:tcPr>
          <w:p w14:paraId="4856194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6.39</w:t>
            </w:r>
          </w:p>
        </w:tc>
        <w:tc>
          <w:tcPr>
            <w:tcW w:w="0" w:type="auto"/>
            <w:tcBorders>
              <w:tl2br w:val="nil"/>
              <w:tr2bl w:val="nil"/>
            </w:tcBorders>
            <w:vAlign w:val="center"/>
          </w:tcPr>
          <w:p w14:paraId="6F674FC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6.45</w:t>
            </w:r>
          </w:p>
        </w:tc>
        <w:tc>
          <w:tcPr>
            <w:tcW w:w="0" w:type="auto"/>
            <w:tcBorders>
              <w:tl2br w:val="nil"/>
              <w:tr2bl w:val="nil"/>
            </w:tcBorders>
            <w:vAlign w:val="center"/>
          </w:tcPr>
          <w:p w14:paraId="55227F7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7.52</w:t>
            </w:r>
          </w:p>
        </w:tc>
        <w:tc>
          <w:tcPr>
            <w:tcW w:w="0" w:type="auto"/>
            <w:tcBorders>
              <w:tl2br w:val="nil"/>
              <w:tr2bl w:val="nil"/>
            </w:tcBorders>
            <w:vAlign w:val="center"/>
          </w:tcPr>
          <w:p w14:paraId="5245E82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7.61</w:t>
            </w:r>
          </w:p>
        </w:tc>
        <w:tc>
          <w:tcPr>
            <w:tcW w:w="0" w:type="auto"/>
            <w:tcBorders>
              <w:tl2br w:val="nil"/>
              <w:tr2bl w:val="nil"/>
            </w:tcBorders>
            <w:vAlign w:val="center"/>
          </w:tcPr>
          <w:p w14:paraId="041A874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7.46</w:t>
            </w:r>
          </w:p>
        </w:tc>
        <w:tc>
          <w:tcPr>
            <w:tcW w:w="0" w:type="auto"/>
            <w:tcBorders>
              <w:tl2br w:val="nil"/>
              <w:tr2bl w:val="nil"/>
            </w:tcBorders>
            <w:vAlign w:val="center"/>
          </w:tcPr>
          <w:p w14:paraId="5D1438F9">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6.55</w:t>
            </w:r>
          </w:p>
        </w:tc>
        <w:tc>
          <w:tcPr>
            <w:tcW w:w="0" w:type="auto"/>
            <w:tcBorders>
              <w:tl2br w:val="nil"/>
              <w:tr2bl w:val="nil"/>
            </w:tcBorders>
            <w:vAlign w:val="center"/>
          </w:tcPr>
          <w:p w14:paraId="6D1D87E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7.09</w:t>
            </w:r>
          </w:p>
        </w:tc>
        <w:tc>
          <w:tcPr>
            <w:tcW w:w="0" w:type="auto"/>
            <w:tcBorders>
              <w:tl2br w:val="nil"/>
              <w:tr2bl w:val="nil"/>
            </w:tcBorders>
            <w:vAlign w:val="center"/>
          </w:tcPr>
          <w:p w14:paraId="2CC20A6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7.26</w:t>
            </w:r>
          </w:p>
        </w:tc>
      </w:tr>
      <w:tr w14:paraId="1E401F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12D61AB1">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12186487">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阳离子交换量 (cmol(+)/kg)</w:t>
            </w:r>
          </w:p>
        </w:tc>
        <w:tc>
          <w:tcPr>
            <w:tcW w:w="0" w:type="auto"/>
            <w:tcBorders>
              <w:tl2br w:val="nil"/>
              <w:tr2bl w:val="nil"/>
            </w:tcBorders>
            <w:vAlign w:val="center"/>
          </w:tcPr>
          <w:p w14:paraId="71043E1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16.3</w:t>
            </w:r>
          </w:p>
        </w:tc>
        <w:tc>
          <w:tcPr>
            <w:tcW w:w="0" w:type="auto"/>
            <w:tcBorders>
              <w:tl2br w:val="nil"/>
              <w:tr2bl w:val="nil"/>
            </w:tcBorders>
            <w:vAlign w:val="center"/>
          </w:tcPr>
          <w:p w14:paraId="6ACCC3B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16.0</w:t>
            </w:r>
          </w:p>
        </w:tc>
        <w:tc>
          <w:tcPr>
            <w:tcW w:w="0" w:type="auto"/>
            <w:tcBorders>
              <w:tl2br w:val="nil"/>
              <w:tr2bl w:val="nil"/>
            </w:tcBorders>
            <w:vAlign w:val="center"/>
          </w:tcPr>
          <w:p w14:paraId="4DFEFA6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15.7</w:t>
            </w:r>
          </w:p>
        </w:tc>
        <w:tc>
          <w:tcPr>
            <w:tcW w:w="0" w:type="auto"/>
            <w:tcBorders>
              <w:tl2br w:val="nil"/>
              <w:tr2bl w:val="nil"/>
            </w:tcBorders>
            <w:vAlign w:val="center"/>
          </w:tcPr>
          <w:p w14:paraId="098CD9D8">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16.6</w:t>
            </w:r>
          </w:p>
        </w:tc>
        <w:tc>
          <w:tcPr>
            <w:tcW w:w="0" w:type="auto"/>
            <w:tcBorders>
              <w:tl2br w:val="nil"/>
              <w:tr2bl w:val="nil"/>
            </w:tcBorders>
            <w:vAlign w:val="center"/>
          </w:tcPr>
          <w:p w14:paraId="2018D63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15.3</w:t>
            </w:r>
          </w:p>
        </w:tc>
        <w:tc>
          <w:tcPr>
            <w:tcW w:w="0" w:type="auto"/>
            <w:tcBorders>
              <w:tl2br w:val="nil"/>
              <w:tr2bl w:val="nil"/>
            </w:tcBorders>
            <w:vAlign w:val="center"/>
          </w:tcPr>
          <w:p w14:paraId="571490D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16.4</w:t>
            </w:r>
          </w:p>
        </w:tc>
        <w:tc>
          <w:tcPr>
            <w:tcW w:w="0" w:type="auto"/>
            <w:tcBorders>
              <w:tl2br w:val="nil"/>
              <w:tr2bl w:val="nil"/>
            </w:tcBorders>
            <w:vAlign w:val="center"/>
          </w:tcPr>
          <w:p w14:paraId="7EC1A8FE">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15.6</w:t>
            </w:r>
          </w:p>
        </w:tc>
        <w:tc>
          <w:tcPr>
            <w:tcW w:w="0" w:type="auto"/>
            <w:tcBorders>
              <w:tl2br w:val="nil"/>
              <w:tr2bl w:val="nil"/>
            </w:tcBorders>
            <w:vAlign w:val="center"/>
          </w:tcPr>
          <w:p w14:paraId="1036C38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16.0</w:t>
            </w:r>
          </w:p>
        </w:tc>
        <w:tc>
          <w:tcPr>
            <w:tcW w:w="0" w:type="auto"/>
            <w:tcBorders>
              <w:tl2br w:val="nil"/>
              <w:tr2bl w:val="nil"/>
            </w:tcBorders>
            <w:vAlign w:val="center"/>
          </w:tcPr>
          <w:p w14:paraId="5B46E817">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15.4</w:t>
            </w:r>
          </w:p>
        </w:tc>
      </w:tr>
      <w:tr w14:paraId="01899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19A57DF1">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375D051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氧化还原电位(mv )</w:t>
            </w:r>
          </w:p>
        </w:tc>
        <w:tc>
          <w:tcPr>
            <w:tcW w:w="0" w:type="auto"/>
            <w:tcBorders>
              <w:tl2br w:val="nil"/>
              <w:tr2bl w:val="nil"/>
            </w:tcBorders>
            <w:vAlign w:val="center"/>
          </w:tcPr>
          <w:p w14:paraId="05983FD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212</w:t>
            </w:r>
          </w:p>
        </w:tc>
        <w:tc>
          <w:tcPr>
            <w:tcW w:w="0" w:type="auto"/>
            <w:tcBorders>
              <w:tl2br w:val="nil"/>
              <w:tr2bl w:val="nil"/>
            </w:tcBorders>
            <w:vAlign w:val="center"/>
          </w:tcPr>
          <w:p w14:paraId="004F24EC">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186</w:t>
            </w:r>
          </w:p>
        </w:tc>
        <w:tc>
          <w:tcPr>
            <w:tcW w:w="0" w:type="auto"/>
            <w:tcBorders>
              <w:tl2br w:val="nil"/>
              <w:tr2bl w:val="nil"/>
            </w:tcBorders>
            <w:vAlign w:val="center"/>
          </w:tcPr>
          <w:p w14:paraId="746BE15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193</w:t>
            </w:r>
          </w:p>
        </w:tc>
        <w:tc>
          <w:tcPr>
            <w:tcW w:w="0" w:type="auto"/>
            <w:tcBorders>
              <w:tl2br w:val="nil"/>
              <w:tr2bl w:val="nil"/>
            </w:tcBorders>
            <w:vAlign w:val="center"/>
          </w:tcPr>
          <w:p w14:paraId="1BB5833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241</w:t>
            </w:r>
          </w:p>
        </w:tc>
        <w:tc>
          <w:tcPr>
            <w:tcW w:w="0" w:type="auto"/>
            <w:tcBorders>
              <w:tl2br w:val="nil"/>
              <w:tr2bl w:val="nil"/>
            </w:tcBorders>
            <w:vAlign w:val="center"/>
          </w:tcPr>
          <w:p w14:paraId="177A029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206</w:t>
            </w:r>
          </w:p>
        </w:tc>
        <w:tc>
          <w:tcPr>
            <w:tcW w:w="0" w:type="auto"/>
            <w:tcBorders>
              <w:tl2br w:val="nil"/>
              <w:tr2bl w:val="nil"/>
            </w:tcBorders>
            <w:vAlign w:val="center"/>
          </w:tcPr>
          <w:p w14:paraId="6631168E">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175</w:t>
            </w:r>
          </w:p>
        </w:tc>
        <w:tc>
          <w:tcPr>
            <w:tcW w:w="0" w:type="auto"/>
            <w:tcBorders>
              <w:tl2br w:val="nil"/>
              <w:tr2bl w:val="nil"/>
            </w:tcBorders>
            <w:vAlign w:val="center"/>
          </w:tcPr>
          <w:p w14:paraId="202563F7">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188</w:t>
            </w:r>
          </w:p>
        </w:tc>
        <w:tc>
          <w:tcPr>
            <w:tcW w:w="0" w:type="auto"/>
            <w:tcBorders>
              <w:tl2br w:val="nil"/>
              <w:tr2bl w:val="nil"/>
            </w:tcBorders>
            <w:vAlign w:val="center"/>
          </w:tcPr>
          <w:p w14:paraId="50B08BD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226</w:t>
            </w:r>
          </w:p>
        </w:tc>
        <w:tc>
          <w:tcPr>
            <w:tcW w:w="0" w:type="auto"/>
            <w:tcBorders>
              <w:tl2br w:val="nil"/>
              <w:tr2bl w:val="nil"/>
            </w:tcBorders>
            <w:vAlign w:val="center"/>
          </w:tcPr>
          <w:p w14:paraId="6C31523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206</w:t>
            </w:r>
          </w:p>
        </w:tc>
      </w:tr>
      <w:tr w14:paraId="1531F3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69C83226">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50957E7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饱和导水率 (mm/min )</w:t>
            </w:r>
          </w:p>
        </w:tc>
        <w:tc>
          <w:tcPr>
            <w:tcW w:w="0" w:type="auto"/>
            <w:tcBorders>
              <w:tl2br w:val="nil"/>
              <w:tr2bl w:val="nil"/>
            </w:tcBorders>
            <w:vAlign w:val="center"/>
          </w:tcPr>
          <w:p w14:paraId="653FCE1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75E1CFC1">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485B6F2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335D15B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12B479D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45C99DD4">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14ED10BE">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31B4602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c>
          <w:tcPr>
            <w:tcW w:w="0" w:type="auto"/>
            <w:tcBorders>
              <w:tl2br w:val="nil"/>
              <w:tr2bl w:val="nil"/>
            </w:tcBorders>
            <w:vAlign w:val="center"/>
          </w:tcPr>
          <w:p w14:paraId="426FD970">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0.34</w:t>
            </w:r>
          </w:p>
        </w:tc>
      </w:tr>
      <w:tr w14:paraId="1DEBF0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7B90F0EC">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387D508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土壤容重(g/cm</w:t>
            </w:r>
            <w:r>
              <w:rPr>
                <w:rFonts w:hint="default" w:ascii="Times New Roman" w:hAnsi="Times New Roman" w:cs="Times New Roman"/>
                <w:color w:val="auto"/>
                <w:sz w:val="21"/>
                <w:szCs w:val="21"/>
                <w:u w:val="none"/>
                <w:vertAlign w:val="superscript"/>
              </w:rPr>
              <w:t>3</w:t>
            </w:r>
            <w:r>
              <w:rPr>
                <w:rFonts w:hint="default" w:ascii="Times New Roman" w:hAnsi="Times New Roman" w:cs="Times New Roman"/>
                <w:color w:val="auto"/>
                <w:sz w:val="21"/>
                <w:szCs w:val="21"/>
                <w:u w:val="none"/>
              </w:rPr>
              <w:t xml:space="preserve"> )</w:t>
            </w:r>
          </w:p>
        </w:tc>
        <w:tc>
          <w:tcPr>
            <w:tcW w:w="0" w:type="auto"/>
            <w:tcBorders>
              <w:tl2br w:val="nil"/>
              <w:tr2bl w:val="nil"/>
            </w:tcBorders>
            <w:vAlign w:val="center"/>
          </w:tcPr>
          <w:p w14:paraId="4920785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0" w:type="auto"/>
            <w:tcBorders>
              <w:tl2br w:val="nil"/>
              <w:tr2bl w:val="nil"/>
            </w:tcBorders>
            <w:vAlign w:val="center"/>
          </w:tcPr>
          <w:p w14:paraId="519A52F7">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0" w:type="auto"/>
            <w:tcBorders>
              <w:tl2br w:val="nil"/>
              <w:tr2bl w:val="nil"/>
            </w:tcBorders>
            <w:vAlign w:val="center"/>
          </w:tcPr>
          <w:p w14:paraId="6404DDA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1.2</w:t>
            </w:r>
          </w:p>
        </w:tc>
        <w:tc>
          <w:tcPr>
            <w:tcW w:w="0" w:type="auto"/>
            <w:tcBorders>
              <w:tl2br w:val="nil"/>
              <w:tr2bl w:val="nil"/>
            </w:tcBorders>
            <w:vAlign w:val="center"/>
          </w:tcPr>
          <w:p w14:paraId="5CBAC41C">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0" w:type="auto"/>
            <w:tcBorders>
              <w:tl2br w:val="nil"/>
              <w:tr2bl w:val="nil"/>
            </w:tcBorders>
            <w:vAlign w:val="center"/>
          </w:tcPr>
          <w:p w14:paraId="345C3551">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1.2</w:t>
            </w:r>
          </w:p>
        </w:tc>
        <w:tc>
          <w:tcPr>
            <w:tcW w:w="0" w:type="auto"/>
            <w:tcBorders>
              <w:tl2br w:val="nil"/>
              <w:tr2bl w:val="nil"/>
            </w:tcBorders>
            <w:vAlign w:val="center"/>
          </w:tcPr>
          <w:p w14:paraId="0B308592">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0" w:type="auto"/>
            <w:tcBorders>
              <w:tl2br w:val="nil"/>
              <w:tr2bl w:val="nil"/>
            </w:tcBorders>
            <w:vAlign w:val="center"/>
          </w:tcPr>
          <w:p w14:paraId="64EC34A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0" w:type="auto"/>
            <w:tcBorders>
              <w:tl2br w:val="nil"/>
              <w:tr2bl w:val="nil"/>
            </w:tcBorders>
            <w:vAlign w:val="center"/>
          </w:tcPr>
          <w:p w14:paraId="2C50AF7F">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1.1</w:t>
            </w:r>
          </w:p>
        </w:tc>
        <w:tc>
          <w:tcPr>
            <w:tcW w:w="0" w:type="auto"/>
            <w:tcBorders>
              <w:tl2br w:val="nil"/>
              <w:tr2bl w:val="nil"/>
            </w:tcBorders>
            <w:vAlign w:val="center"/>
          </w:tcPr>
          <w:p w14:paraId="17815C3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1.0</w:t>
            </w:r>
          </w:p>
        </w:tc>
      </w:tr>
      <w:tr w14:paraId="5A5D57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0" w:type="auto"/>
            <w:vMerge w:val="continue"/>
            <w:tcBorders>
              <w:tl2br w:val="nil"/>
              <w:tr2bl w:val="nil"/>
            </w:tcBorders>
            <w:textDirection w:val="tbRlV"/>
            <w:vAlign w:val="center"/>
          </w:tcPr>
          <w:p w14:paraId="44F093C3">
            <w:pPr>
              <w:pStyle w:val="41"/>
              <w:jc w:val="center"/>
              <w:rPr>
                <w:rFonts w:hint="default" w:ascii="Times New Roman" w:hAnsi="Times New Roman" w:cs="Times New Roman"/>
                <w:color w:val="auto"/>
                <w:sz w:val="21"/>
                <w:szCs w:val="21"/>
                <w:u w:val="none"/>
              </w:rPr>
            </w:pPr>
          </w:p>
        </w:tc>
        <w:tc>
          <w:tcPr>
            <w:tcW w:w="0" w:type="auto"/>
            <w:tcBorders>
              <w:tl2br w:val="nil"/>
              <w:tr2bl w:val="nil"/>
            </w:tcBorders>
            <w:vAlign w:val="center"/>
          </w:tcPr>
          <w:p w14:paraId="7DE7BC9D">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孔隙度 (%)</w:t>
            </w:r>
          </w:p>
        </w:tc>
        <w:tc>
          <w:tcPr>
            <w:tcW w:w="0" w:type="auto"/>
            <w:tcBorders>
              <w:tl2br w:val="nil"/>
              <w:tr2bl w:val="nil"/>
            </w:tcBorders>
            <w:vAlign w:val="center"/>
          </w:tcPr>
          <w:p w14:paraId="57D538E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17.42</w:t>
            </w:r>
          </w:p>
        </w:tc>
        <w:tc>
          <w:tcPr>
            <w:tcW w:w="0" w:type="auto"/>
            <w:tcBorders>
              <w:tl2br w:val="nil"/>
              <w:tr2bl w:val="nil"/>
            </w:tcBorders>
            <w:vAlign w:val="center"/>
          </w:tcPr>
          <w:p w14:paraId="7115023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20.24</w:t>
            </w:r>
          </w:p>
        </w:tc>
        <w:tc>
          <w:tcPr>
            <w:tcW w:w="0" w:type="auto"/>
            <w:tcBorders>
              <w:tl2br w:val="nil"/>
              <w:tr2bl w:val="nil"/>
            </w:tcBorders>
            <w:vAlign w:val="center"/>
          </w:tcPr>
          <w:p w14:paraId="1118C8CC">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18.86</w:t>
            </w:r>
          </w:p>
        </w:tc>
        <w:tc>
          <w:tcPr>
            <w:tcW w:w="0" w:type="auto"/>
            <w:tcBorders>
              <w:tl2br w:val="nil"/>
              <w:tr2bl w:val="nil"/>
            </w:tcBorders>
            <w:vAlign w:val="center"/>
          </w:tcPr>
          <w:p w14:paraId="40A08265">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18.87</w:t>
            </w:r>
          </w:p>
        </w:tc>
        <w:tc>
          <w:tcPr>
            <w:tcW w:w="0" w:type="auto"/>
            <w:tcBorders>
              <w:tl2br w:val="nil"/>
              <w:tr2bl w:val="nil"/>
            </w:tcBorders>
            <w:vAlign w:val="center"/>
          </w:tcPr>
          <w:p w14:paraId="6219AA1A">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18. 16</w:t>
            </w:r>
          </w:p>
        </w:tc>
        <w:tc>
          <w:tcPr>
            <w:tcW w:w="0" w:type="auto"/>
            <w:tcBorders>
              <w:tl2br w:val="nil"/>
              <w:tr2bl w:val="nil"/>
            </w:tcBorders>
            <w:vAlign w:val="center"/>
          </w:tcPr>
          <w:p w14:paraId="50DF7047">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17.89</w:t>
            </w:r>
          </w:p>
        </w:tc>
        <w:tc>
          <w:tcPr>
            <w:tcW w:w="0" w:type="auto"/>
            <w:tcBorders>
              <w:tl2br w:val="nil"/>
              <w:tr2bl w:val="nil"/>
            </w:tcBorders>
            <w:vAlign w:val="center"/>
          </w:tcPr>
          <w:p w14:paraId="336B3AC6">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20.81</w:t>
            </w:r>
          </w:p>
        </w:tc>
        <w:tc>
          <w:tcPr>
            <w:tcW w:w="0" w:type="auto"/>
            <w:tcBorders>
              <w:tl2br w:val="nil"/>
              <w:tr2bl w:val="nil"/>
            </w:tcBorders>
            <w:vAlign w:val="center"/>
          </w:tcPr>
          <w:p w14:paraId="47D9E68B">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18.35</w:t>
            </w:r>
          </w:p>
        </w:tc>
        <w:tc>
          <w:tcPr>
            <w:tcW w:w="0" w:type="auto"/>
            <w:tcBorders>
              <w:tl2br w:val="nil"/>
              <w:tr2bl w:val="nil"/>
            </w:tcBorders>
            <w:vAlign w:val="center"/>
          </w:tcPr>
          <w:p w14:paraId="55A14283">
            <w:pPr>
              <w:pStyle w:val="41"/>
              <w:jc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20.81</w:t>
            </w:r>
          </w:p>
        </w:tc>
      </w:tr>
    </w:tbl>
    <w:p w14:paraId="0EF2A7C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表5.2-1</w:t>
      </w:r>
      <w:r>
        <w:rPr>
          <w:rFonts w:hint="eastAsia" w:cs="Times New Roman"/>
          <w:b/>
          <w:bCs/>
          <w:color w:val="auto"/>
          <w:u w:val="none"/>
          <w:lang w:val="en-US" w:eastAsia="zh-CN"/>
        </w:rPr>
        <w:t>5</w:t>
      </w:r>
      <w:r>
        <w:rPr>
          <w:rFonts w:hint="default" w:ascii="Times New Roman" w:hAnsi="Times New Roman" w:cs="Times New Roman"/>
          <w:b/>
          <w:bCs/>
          <w:color w:val="auto"/>
          <w:u w:val="none"/>
        </w:rPr>
        <w:t xml:space="preserve">   土壤理化性质监测结果表2</w:t>
      </w:r>
    </w:p>
    <w:tbl>
      <w:tblPr>
        <w:tblStyle w:val="59"/>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69"/>
        <w:gridCol w:w="2119"/>
        <w:gridCol w:w="2025"/>
        <w:gridCol w:w="2025"/>
        <w:gridCol w:w="2035"/>
      </w:tblGrid>
      <w:tr w14:paraId="6AFB2B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571" w:type="pct"/>
            <w:gridSpan w:val="2"/>
            <w:vMerge w:val="restart"/>
            <w:tcBorders>
              <w:tl2br w:val="nil"/>
              <w:tr2bl w:val="nil"/>
            </w:tcBorders>
            <w:vAlign w:val="center"/>
          </w:tcPr>
          <w:p w14:paraId="4428033D">
            <w:pPr>
              <w:pStyle w:val="41"/>
              <w:rPr>
                <w:rFonts w:hint="default" w:ascii="Times New Roman" w:hAnsi="Times New Roman" w:cs="Times New Roman"/>
                <w:color w:val="auto"/>
                <w:u w:val="none"/>
              </w:rPr>
            </w:pPr>
            <w:r>
              <w:rPr>
                <w:rFonts w:hint="default" w:ascii="Times New Roman" w:hAnsi="Times New Roman" w:cs="Times New Roman"/>
                <w:color w:val="auto"/>
                <w:u w:val="none"/>
              </w:rPr>
              <w:t>检测项目</w:t>
            </w:r>
          </w:p>
        </w:tc>
        <w:tc>
          <w:tcPr>
            <w:tcW w:w="3428" w:type="pct"/>
            <w:gridSpan w:val="3"/>
            <w:tcBorders>
              <w:tl2br w:val="nil"/>
              <w:tr2bl w:val="nil"/>
            </w:tcBorders>
            <w:vAlign w:val="center"/>
          </w:tcPr>
          <w:p w14:paraId="5EB229AF">
            <w:pPr>
              <w:pStyle w:val="41"/>
              <w:rPr>
                <w:rFonts w:hint="default" w:ascii="Times New Roman" w:hAnsi="Times New Roman" w:cs="Times New Roman"/>
                <w:color w:val="auto"/>
                <w:u w:val="none"/>
              </w:rPr>
            </w:pPr>
            <w:r>
              <w:rPr>
                <w:rFonts w:hint="default" w:ascii="Times New Roman" w:hAnsi="Times New Roman" w:cs="Times New Roman"/>
                <w:color w:val="auto"/>
                <w:u w:val="none"/>
              </w:rPr>
              <w:t>检测结果</w:t>
            </w:r>
          </w:p>
        </w:tc>
      </w:tr>
      <w:tr w14:paraId="00CAE9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571" w:type="pct"/>
            <w:gridSpan w:val="2"/>
            <w:vMerge w:val="continue"/>
            <w:tcBorders>
              <w:tl2br w:val="nil"/>
              <w:tr2bl w:val="nil"/>
            </w:tcBorders>
            <w:vAlign w:val="center"/>
          </w:tcPr>
          <w:p w14:paraId="4F52995E">
            <w:pPr>
              <w:pStyle w:val="41"/>
              <w:rPr>
                <w:rFonts w:hint="default" w:ascii="Times New Roman" w:hAnsi="Times New Roman" w:cs="Times New Roman"/>
                <w:color w:val="auto"/>
                <w:u w:val="none"/>
              </w:rPr>
            </w:pPr>
          </w:p>
        </w:tc>
        <w:tc>
          <w:tcPr>
            <w:tcW w:w="1141" w:type="pct"/>
            <w:tcBorders>
              <w:tl2br w:val="nil"/>
              <w:tr2bl w:val="nil"/>
            </w:tcBorders>
            <w:vAlign w:val="center"/>
          </w:tcPr>
          <w:p w14:paraId="619D2868">
            <w:pPr>
              <w:pStyle w:val="41"/>
              <w:rPr>
                <w:rFonts w:hint="default" w:ascii="Times New Roman" w:hAnsi="Times New Roman" w:cs="Times New Roman"/>
                <w:color w:val="auto"/>
                <w:u w:val="none"/>
              </w:rPr>
            </w:pPr>
            <w:r>
              <w:rPr>
                <w:rFonts w:hint="default" w:ascii="Times New Roman" w:hAnsi="Times New Roman" w:cs="Times New Roman"/>
                <w:color w:val="auto"/>
                <w:u w:val="none"/>
              </w:rPr>
              <w:t>T1厂址范围内表层样(E：113°11′33″，N：29°27′32.89″)</w:t>
            </w:r>
          </w:p>
        </w:tc>
        <w:tc>
          <w:tcPr>
            <w:tcW w:w="1141" w:type="pct"/>
            <w:tcBorders>
              <w:tl2br w:val="nil"/>
              <w:tr2bl w:val="nil"/>
            </w:tcBorders>
            <w:vAlign w:val="center"/>
          </w:tcPr>
          <w:p w14:paraId="4F2B3DB0">
            <w:pPr>
              <w:pStyle w:val="41"/>
              <w:rPr>
                <w:rFonts w:hint="default" w:ascii="Times New Roman" w:hAnsi="Times New Roman" w:cs="Times New Roman"/>
                <w:color w:val="auto"/>
                <w:u w:val="none"/>
              </w:rPr>
            </w:pPr>
            <w:r>
              <w:rPr>
                <w:rFonts w:hint="default" w:ascii="Times New Roman" w:hAnsi="Times New Roman" w:cs="Times New Roman"/>
                <w:color w:val="auto"/>
                <w:u w:val="none"/>
              </w:rPr>
              <w:t>T5厂界东侧林地表层样(E：113°11′43.15″，N：29°27′34 32″)</w:t>
            </w:r>
          </w:p>
        </w:tc>
        <w:tc>
          <w:tcPr>
            <w:tcW w:w="1145" w:type="pct"/>
            <w:tcBorders>
              <w:tl2br w:val="nil"/>
              <w:tr2bl w:val="nil"/>
            </w:tcBorders>
            <w:vAlign w:val="center"/>
          </w:tcPr>
          <w:p w14:paraId="65D5B73F">
            <w:pPr>
              <w:pStyle w:val="41"/>
              <w:rPr>
                <w:rFonts w:hint="default" w:ascii="Times New Roman" w:hAnsi="Times New Roman" w:cs="Times New Roman"/>
                <w:color w:val="auto"/>
                <w:u w:val="none"/>
              </w:rPr>
            </w:pPr>
            <w:r>
              <w:rPr>
                <w:rFonts w:hint="default" w:ascii="Times New Roman" w:hAnsi="Times New Roman" w:cs="Times New Roman"/>
                <w:color w:val="auto"/>
                <w:u w:val="none"/>
              </w:rPr>
              <w:t>T6污水处理站外空地表层样(E：113°11′32.47″，N：29°27′28 24″)</w:t>
            </w:r>
          </w:p>
        </w:tc>
      </w:tr>
      <w:tr w14:paraId="289E78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571" w:type="pct"/>
            <w:gridSpan w:val="2"/>
            <w:tcBorders>
              <w:tl2br w:val="nil"/>
              <w:tr2bl w:val="nil"/>
            </w:tcBorders>
            <w:vAlign w:val="center"/>
          </w:tcPr>
          <w:p w14:paraId="584D090C">
            <w:pPr>
              <w:pStyle w:val="41"/>
              <w:rPr>
                <w:rFonts w:hint="default" w:ascii="Times New Roman" w:hAnsi="Times New Roman" w:cs="Times New Roman"/>
                <w:color w:val="auto"/>
                <w:u w:val="none"/>
              </w:rPr>
            </w:pPr>
            <w:r>
              <w:rPr>
                <w:rFonts w:hint="default" w:ascii="Times New Roman" w:hAnsi="Times New Roman" w:cs="Times New Roman"/>
                <w:color w:val="auto"/>
                <w:u w:val="none"/>
              </w:rPr>
              <w:t>层次</w:t>
            </w:r>
          </w:p>
        </w:tc>
        <w:tc>
          <w:tcPr>
            <w:tcW w:w="1141" w:type="pct"/>
            <w:tcBorders>
              <w:tl2br w:val="nil"/>
              <w:tr2bl w:val="nil"/>
            </w:tcBorders>
            <w:vAlign w:val="center"/>
          </w:tcPr>
          <w:p w14:paraId="616567CF">
            <w:pPr>
              <w:pStyle w:val="41"/>
              <w:rPr>
                <w:rFonts w:hint="default" w:ascii="Times New Roman" w:hAnsi="Times New Roman" w:cs="Times New Roman"/>
                <w:color w:val="auto"/>
                <w:u w:val="none"/>
              </w:rPr>
            </w:pPr>
            <w:r>
              <w:rPr>
                <w:rFonts w:hint="default" w:ascii="Times New Roman" w:hAnsi="Times New Roman" w:cs="Times New Roman"/>
                <w:color w:val="auto"/>
                <w:u w:val="none"/>
              </w:rPr>
              <w:t>0.2m</w:t>
            </w:r>
          </w:p>
        </w:tc>
        <w:tc>
          <w:tcPr>
            <w:tcW w:w="1141" w:type="pct"/>
            <w:tcBorders>
              <w:tl2br w:val="nil"/>
              <w:tr2bl w:val="nil"/>
            </w:tcBorders>
            <w:vAlign w:val="center"/>
          </w:tcPr>
          <w:p w14:paraId="37E29CA7">
            <w:pPr>
              <w:pStyle w:val="41"/>
              <w:rPr>
                <w:rFonts w:hint="default" w:ascii="Times New Roman" w:hAnsi="Times New Roman" w:cs="Times New Roman"/>
                <w:color w:val="auto"/>
                <w:u w:val="none"/>
              </w:rPr>
            </w:pPr>
            <w:r>
              <w:rPr>
                <w:rFonts w:hint="default" w:ascii="Times New Roman" w:hAnsi="Times New Roman" w:cs="Times New Roman"/>
                <w:color w:val="auto"/>
                <w:u w:val="none"/>
              </w:rPr>
              <w:t>0.2m</w:t>
            </w:r>
          </w:p>
        </w:tc>
        <w:tc>
          <w:tcPr>
            <w:tcW w:w="1145" w:type="pct"/>
            <w:tcBorders>
              <w:tl2br w:val="nil"/>
              <w:tr2bl w:val="nil"/>
            </w:tcBorders>
            <w:vAlign w:val="center"/>
          </w:tcPr>
          <w:p w14:paraId="2FCAF2CE">
            <w:pPr>
              <w:pStyle w:val="41"/>
              <w:rPr>
                <w:rFonts w:hint="default" w:ascii="Times New Roman" w:hAnsi="Times New Roman" w:cs="Times New Roman"/>
                <w:color w:val="auto"/>
                <w:u w:val="none"/>
              </w:rPr>
            </w:pPr>
            <w:r>
              <w:rPr>
                <w:rFonts w:hint="default" w:ascii="Times New Roman" w:hAnsi="Times New Roman" w:cs="Times New Roman"/>
                <w:color w:val="auto"/>
                <w:u w:val="none"/>
              </w:rPr>
              <w:t>0.2m</w:t>
            </w:r>
          </w:p>
        </w:tc>
      </w:tr>
      <w:tr w14:paraId="4E8C25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restart"/>
            <w:tcBorders>
              <w:tl2br w:val="nil"/>
              <w:tr2bl w:val="nil"/>
            </w:tcBorders>
            <w:vAlign w:val="center"/>
          </w:tcPr>
          <w:p w14:paraId="756EFD69">
            <w:pPr>
              <w:pStyle w:val="41"/>
              <w:rPr>
                <w:rFonts w:hint="default" w:ascii="Times New Roman" w:hAnsi="Times New Roman" w:cs="Times New Roman"/>
                <w:color w:val="auto"/>
                <w:u w:val="none"/>
              </w:rPr>
            </w:pPr>
            <w:r>
              <w:rPr>
                <w:rFonts w:hint="default" w:ascii="Times New Roman" w:hAnsi="Times New Roman" w:cs="Times New Roman"/>
                <w:color w:val="auto"/>
                <w:u w:val="none"/>
              </w:rPr>
              <w:t>现场记录</w:t>
            </w:r>
          </w:p>
        </w:tc>
        <w:tc>
          <w:tcPr>
            <w:tcW w:w="1194" w:type="pct"/>
            <w:tcBorders>
              <w:tl2br w:val="nil"/>
              <w:tr2bl w:val="nil"/>
            </w:tcBorders>
            <w:vAlign w:val="center"/>
          </w:tcPr>
          <w:p w14:paraId="0D32D0ED">
            <w:pPr>
              <w:pStyle w:val="41"/>
              <w:rPr>
                <w:rFonts w:hint="default" w:ascii="Times New Roman" w:hAnsi="Times New Roman" w:cs="Times New Roman"/>
                <w:color w:val="auto"/>
                <w:u w:val="none"/>
              </w:rPr>
            </w:pPr>
            <w:r>
              <w:rPr>
                <w:rFonts w:hint="default" w:ascii="Times New Roman" w:hAnsi="Times New Roman" w:cs="Times New Roman"/>
                <w:color w:val="auto"/>
                <w:u w:val="none"/>
              </w:rPr>
              <w:t>颜色</w:t>
            </w:r>
          </w:p>
        </w:tc>
        <w:tc>
          <w:tcPr>
            <w:tcW w:w="1141" w:type="pct"/>
            <w:tcBorders>
              <w:tl2br w:val="nil"/>
              <w:tr2bl w:val="nil"/>
            </w:tcBorders>
            <w:vAlign w:val="center"/>
          </w:tcPr>
          <w:p w14:paraId="7169698B">
            <w:pPr>
              <w:pStyle w:val="41"/>
              <w:rPr>
                <w:rFonts w:hint="default" w:ascii="Times New Roman" w:hAnsi="Times New Roman" w:cs="Times New Roman"/>
                <w:color w:val="auto"/>
                <w:u w:val="none"/>
              </w:rPr>
            </w:pPr>
            <w:r>
              <w:rPr>
                <w:rFonts w:hint="default" w:ascii="Times New Roman" w:hAnsi="Times New Roman" w:cs="Times New Roman"/>
                <w:color w:val="auto"/>
                <w:u w:val="none"/>
              </w:rPr>
              <w:t>黄棕色</w:t>
            </w:r>
          </w:p>
        </w:tc>
        <w:tc>
          <w:tcPr>
            <w:tcW w:w="1141" w:type="pct"/>
            <w:tcBorders>
              <w:tl2br w:val="nil"/>
              <w:tr2bl w:val="nil"/>
            </w:tcBorders>
            <w:vAlign w:val="center"/>
          </w:tcPr>
          <w:p w14:paraId="48C01D06">
            <w:pPr>
              <w:pStyle w:val="41"/>
              <w:rPr>
                <w:rFonts w:hint="default" w:ascii="Times New Roman" w:hAnsi="Times New Roman" w:cs="Times New Roman"/>
                <w:color w:val="auto"/>
                <w:u w:val="none"/>
              </w:rPr>
            </w:pPr>
            <w:r>
              <w:rPr>
                <w:rFonts w:hint="default" w:ascii="Times New Roman" w:hAnsi="Times New Roman" w:cs="Times New Roman"/>
                <w:color w:val="auto"/>
                <w:u w:val="none"/>
              </w:rPr>
              <w:t>红棕色</w:t>
            </w:r>
          </w:p>
        </w:tc>
        <w:tc>
          <w:tcPr>
            <w:tcW w:w="1145" w:type="pct"/>
            <w:tcBorders>
              <w:tl2br w:val="nil"/>
              <w:tr2bl w:val="nil"/>
            </w:tcBorders>
            <w:vAlign w:val="center"/>
          </w:tcPr>
          <w:p w14:paraId="3D2D935A">
            <w:pPr>
              <w:pStyle w:val="41"/>
              <w:rPr>
                <w:rFonts w:hint="default" w:ascii="Times New Roman" w:hAnsi="Times New Roman" w:cs="Times New Roman"/>
                <w:color w:val="auto"/>
                <w:u w:val="none"/>
              </w:rPr>
            </w:pPr>
            <w:r>
              <w:rPr>
                <w:rFonts w:hint="default" w:ascii="Times New Roman" w:hAnsi="Times New Roman" w:cs="Times New Roman"/>
                <w:color w:val="auto"/>
                <w:u w:val="none"/>
              </w:rPr>
              <w:t>红棕色</w:t>
            </w:r>
          </w:p>
        </w:tc>
      </w:tr>
      <w:tr w14:paraId="75B07B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25528ED8">
            <w:pPr>
              <w:pStyle w:val="41"/>
              <w:rPr>
                <w:rFonts w:hint="default" w:ascii="Times New Roman" w:hAnsi="Times New Roman" w:cs="Times New Roman"/>
                <w:color w:val="auto"/>
                <w:u w:val="none"/>
              </w:rPr>
            </w:pPr>
          </w:p>
        </w:tc>
        <w:tc>
          <w:tcPr>
            <w:tcW w:w="1194" w:type="pct"/>
            <w:tcBorders>
              <w:tl2br w:val="nil"/>
              <w:tr2bl w:val="nil"/>
            </w:tcBorders>
            <w:vAlign w:val="center"/>
          </w:tcPr>
          <w:p w14:paraId="57D0F46B">
            <w:pPr>
              <w:pStyle w:val="41"/>
              <w:rPr>
                <w:rFonts w:hint="default" w:ascii="Times New Roman" w:hAnsi="Times New Roman" w:cs="Times New Roman"/>
                <w:color w:val="auto"/>
                <w:u w:val="none"/>
              </w:rPr>
            </w:pPr>
            <w:r>
              <w:rPr>
                <w:rFonts w:hint="default" w:ascii="Times New Roman" w:hAnsi="Times New Roman" w:cs="Times New Roman"/>
                <w:color w:val="auto"/>
                <w:u w:val="none"/>
              </w:rPr>
              <w:t>质地</w:t>
            </w:r>
          </w:p>
        </w:tc>
        <w:tc>
          <w:tcPr>
            <w:tcW w:w="1141" w:type="pct"/>
            <w:tcBorders>
              <w:tl2br w:val="nil"/>
              <w:tr2bl w:val="nil"/>
            </w:tcBorders>
            <w:vAlign w:val="center"/>
          </w:tcPr>
          <w:p w14:paraId="07BFDC2A">
            <w:pPr>
              <w:pStyle w:val="41"/>
              <w:rPr>
                <w:rFonts w:hint="default" w:ascii="Times New Roman" w:hAnsi="Times New Roman" w:cs="Times New Roman"/>
                <w:color w:val="auto"/>
                <w:u w:val="none"/>
              </w:rPr>
            </w:pPr>
            <w:r>
              <w:rPr>
                <w:rFonts w:hint="default" w:ascii="Times New Roman" w:hAnsi="Times New Roman" w:cs="Times New Roman"/>
                <w:color w:val="auto"/>
                <w:u w:val="none"/>
              </w:rPr>
              <w:t>轻壤土</w:t>
            </w:r>
          </w:p>
        </w:tc>
        <w:tc>
          <w:tcPr>
            <w:tcW w:w="1141" w:type="pct"/>
            <w:tcBorders>
              <w:tl2br w:val="nil"/>
              <w:tr2bl w:val="nil"/>
            </w:tcBorders>
            <w:vAlign w:val="center"/>
          </w:tcPr>
          <w:p w14:paraId="1D0D5400">
            <w:pPr>
              <w:pStyle w:val="41"/>
              <w:rPr>
                <w:rFonts w:hint="default" w:ascii="Times New Roman" w:hAnsi="Times New Roman" w:cs="Times New Roman"/>
                <w:color w:val="auto"/>
                <w:u w:val="none"/>
              </w:rPr>
            </w:pPr>
            <w:r>
              <w:rPr>
                <w:rFonts w:hint="default" w:ascii="Times New Roman" w:hAnsi="Times New Roman" w:cs="Times New Roman"/>
                <w:color w:val="auto"/>
                <w:u w:val="none"/>
              </w:rPr>
              <w:t>轻壤土</w:t>
            </w:r>
          </w:p>
        </w:tc>
        <w:tc>
          <w:tcPr>
            <w:tcW w:w="1145" w:type="pct"/>
            <w:tcBorders>
              <w:tl2br w:val="nil"/>
              <w:tr2bl w:val="nil"/>
            </w:tcBorders>
            <w:vAlign w:val="center"/>
          </w:tcPr>
          <w:p w14:paraId="37359F4F">
            <w:pPr>
              <w:pStyle w:val="41"/>
              <w:rPr>
                <w:rFonts w:hint="default" w:ascii="Times New Roman" w:hAnsi="Times New Roman" w:cs="Times New Roman"/>
                <w:color w:val="auto"/>
                <w:u w:val="none"/>
              </w:rPr>
            </w:pPr>
            <w:r>
              <w:rPr>
                <w:rFonts w:hint="default" w:ascii="Times New Roman" w:hAnsi="Times New Roman" w:cs="Times New Roman"/>
                <w:color w:val="auto"/>
                <w:u w:val="none"/>
              </w:rPr>
              <w:t>轻壤土</w:t>
            </w:r>
          </w:p>
        </w:tc>
      </w:tr>
      <w:tr w14:paraId="42C4B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30F5C22F">
            <w:pPr>
              <w:pStyle w:val="41"/>
              <w:rPr>
                <w:rFonts w:hint="default" w:ascii="Times New Roman" w:hAnsi="Times New Roman" w:cs="Times New Roman"/>
                <w:color w:val="auto"/>
                <w:u w:val="none"/>
              </w:rPr>
            </w:pPr>
          </w:p>
        </w:tc>
        <w:tc>
          <w:tcPr>
            <w:tcW w:w="1194" w:type="pct"/>
            <w:tcBorders>
              <w:tl2br w:val="nil"/>
              <w:tr2bl w:val="nil"/>
            </w:tcBorders>
            <w:vAlign w:val="center"/>
          </w:tcPr>
          <w:p w14:paraId="23E875BE">
            <w:pPr>
              <w:pStyle w:val="41"/>
              <w:rPr>
                <w:rFonts w:hint="default" w:ascii="Times New Roman" w:hAnsi="Times New Roman" w:cs="Times New Roman"/>
                <w:color w:val="auto"/>
                <w:u w:val="none"/>
              </w:rPr>
            </w:pPr>
            <w:r>
              <w:rPr>
                <w:rFonts w:hint="default" w:ascii="Times New Roman" w:hAnsi="Times New Roman" w:cs="Times New Roman"/>
                <w:color w:val="auto"/>
                <w:u w:val="none"/>
              </w:rPr>
              <w:t>湿度</w:t>
            </w:r>
          </w:p>
        </w:tc>
        <w:tc>
          <w:tcPr>
            <w:tcW w:w="1141" w:type="pct"/>
            <w:tcBorders>
              <w:tl2br w:val="nil"/>
              <w:tr2bl w:val="nil"/>
            </w:tcBorders>
            <w:vAlign w:val="center"/>
          </w:tcPr>
          <w:p w14:paraId="280E0E2E">
            <w:pPr>
              <w:pStyle w:val="41"/>
              <w:rPr>
                <w:rFonts w:hint="default" w:ascii="Times New Roman" w:hAnsi="Times New Roman" w:cs="Times New Roman"/>
                <w:color w:val="auto"/>
                <w:u w:val="none"/>
              </w:rPr>
            </w:pPr>
            <w:r>
              <w:rPr>
                <w:rFonts w:hint="default" w:ascii="Times New Roman" w:hAnsi="Times New Roman" w:cs="Times New Roman"/>
                <w:color w:val="auto"/>
                <w:u w:val="none"/>
              </w:rPr>
              <w:t>潮湿</w:t>
            </w:r>
          </w:p>
        </w:tc>
        <w:tc>
          <w:tcPr>
            <w:tcW w:w="1141" w:type="pct"/>
            <w:tcBorders>
              <w:tl2br w:val="nil"/>
              <w:tr2bl w:val="nil"/>
            </w:tcBorders>
            <w:vAlign w:val="center"/>
          </w:tcPr>
          <w:p w14:paraId="134E41B8">
            <w:pPr>
              <w:pStyle w:val="41"/>
              <w:rPr>
                <w:rFonts w:hint="default" w:ascii="Times New Roman" w:hAnsi="Times New Roman" w:cs="Times New Roman"/>
                <w:color w:val="auto"/>
                <w:u w:val="none"/>
              </w:rPr>
            </w:pPr>
            <w:r>
              <w:rPr>
                <w:rFonts w:hint="default" w:ascii="Times New Roman" w:hAnsi="Times New Roman" w:cs="Times New Roman"/>
                <w:color w:val="auto"/>
                <w:u w:val="none"/>
              </w:rPr>
              <w:t>潮湿</w:t>
            </w:r>
          </w:p>
        </w:tc>
        <w:tc>
          <w:tcPr>
            <w:tcW w:w="1145" w:type="pct"/>
            <w:tcBorders>
              <w:tl2br w:val="nil"/>
              <w:tr2bl w:val="nil"/>
            </w:tcBorders>
            <w:vAlign w:val="center"/>
          </w:tcPr>
          <w:p w14:paraId="76C677E3">
            <w:pPr>
              <w:pStyle w:val="41"/>
              <w:rPr>
                <w:rFonts w:hint="default" w:ascii="Times New Roman" w:hAnsi="Times New Roman" w:cs="Times New Roman"/>
                <w:color w:val="auto"/>
                <w:u w:val="none"/>
              </w:rPr>
            </w:pPr>
            <w:r>
              <w:rPr>
                <w:rFonts w:hint="default" w:ascii="Times New Roman" w:hAnsi="Times New Roman" w:cs="Times New Roman"/>
                <w:color w:val="auto"/>
                <w:u w:val="none"/>
              </w:rPr>
              <w:t>潮湿</w:t>
            </w:r>
          </w:p>
        </w:tc>
      </w:tr>
      <w:tr w14:paraId="6C505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7B8989C5">
            <w:pPr>
              <w:pStyle w:val="41"/>
              <w:rPr>
                <w:rFonts w:hint="default" w:ascii="Times New Roman" w:hAnsi="Times New Roman" w:cs="Times New Roman"/>
                <w:color w:val="auto"/>
                <w:u w:val="none"/>
              </w:rPr>
            </w:pPr>
          </w:p>
        </w:tc>
        <w:tc>
          <w:tcPr>
            <w:tcW w:w="1194" w:type="pct"/>
            <w:tcBorders>
              <w:tl2br w:val="nil"/>
              <w:tr2bl w:val="nil"/>
            </w:tcBorders>
            <w:vAlign w:val="center"/>
          </w:tcPr>
          <w:p w14:paraId="4D9984E4">
            <w:pPr>
              <w:pStyle w:val="41"/>
              <w:rPr>
                <w:rFonts w:hint="default" w:ascii="Times New Roman" w:hAnsi="Times New Roman" w:cs="Times New Roman"/>
                <w:color w:val="auto"/>
                <w:u w:val="none"/>
              </w:rPr>
            </w:pPr>
            <w:r>
              <w:rPr>
                <w:rFonts w:hint="default" w:ascii="Times New Roman" w:hAnsi="Times New Roman" w:cs="Times New Roman"/>
                <w:color w:val="auto"/>
                <w:u w:val="none"/>
              </w:rPr>
              <w:t>其他异物</w:t>
            </w:r>
          </w:p>
        </w:tc>
        <w:tc>
          <w:tcPr>
            <w:tcW w:w="1141" w:type="pct"/>
            <w:tcBorders>
              <w:tl2br w:val="nil"/>
              <w:tr2bl w:val="nil"/>
            </w:tcBorders>
            <w:vAlign w:val="center"/>
          </w:tcPr>
          <w:p w14:paraId="4B86ACF9">
            <w:pPr>
              <w:pStyle w:val="41"/>
              <w:rPr>
                <w:rFonts w:hint="default" w:ascii="Times New Roman" w:hAnsi="Times New Roman" w:cs="Times New Roman"/>
                <w:color w:val="auto"/>
                <w:u w:val="none"/>
              </w:rPr>
            </w:pPr>
            <w:r>
              <w:rPr>
                <w:rFonts w:hint="default" w:ascii="Times New Roman" w:hAnsi="Times New Roman" w:cs="Times New Roman"/>
                <w:color w:val="auto"/>
                <w:u w:val="none"/>
              </w:rPr>
              <w:t>有杂草</w:t>
            </w:r>
          </w:p>
        </w:tc>
        <w:tc>
          <w:tcPr>
            <w:tcW w:w="1141" w:type="pct"/>
            <w:tcBorders>
              <w:tl2br w:val="nil"/>
              <w:tr2bl w:val="nil"/>
            </w:tcBorders>
            <w:vAlign w:val="center"/>
          </w:tcPr>
          <w:p w14:paraId="19A85C3E">
            <w:pPr>
              <w:pStyle w:val="41"/>
              <w:rPr>
                <w:rFonts w:hint="default" w:ascii="Times New Roman" w:hAnsi="Times New Roman" w:cs="Times New Roman"/>
                <w:color w:val="auto"/>
                <w:u w:val="none"/>
              </w:rPr>
            </w:pPr>
            <w:r>
              <w:rPr>
                <w:rFonts w:hint="default" w:ascii="Times New Roman" w:hAnsi="Times New Roman" w:cs="Times New Roman"/>
                <w:color w:val="auto"/>
                <w:u w:val="none"/>
              </w:rPr>
              <w:t>有杂草</w:t>
            </w:r>
          </w:p>
        </w:tc>
        <w:tc>
          <w:tcPr>
            <w:tcW w:w="1145" w:type="pct"/>
            <w:tcBorders>
              <w:tl2br w:val="nil"/>
              <w:tr2bl w:val="nil"/>
            </w:tcBorders>
            <w:vAlign w:val="center"/>
          </w:tcPr>
          <w:p w14:paraId="0BA48469">
            <w:pPr>
              <w:pStyle w:val="41"/>
              <w:rPr>
                <w:rFonts w:hint="default" w:ascii="Times New Roman" w:hAnsi="Times New Roman" w:cs="Times New Roman"/>
                <w:color w:val="auto"/>
                <w:u w:val="none"/>
              </w:rPr>
            </w:pPr>
            <w:r>
              <w:rPr>
                <w:rFonts w:hint="default" w:ascii="Times New Roman" w:hAnsi="Times New Roman" w:cs="Times New Roman"/>
                <w:color w:val="auto"/>
                <w:u w:val="none"/>
              </w:rPr>
              <w:t>有杂草</w:t>
            </w:r>
          </w:p>
        </w:tc>
      </w:tr>
      <w:tr w14:paraId="6CE83D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restart"/>
            <w:tcBorders>
              <w:tl2br w:val="nil"/>
              <w:tr2bl w:val="nil"/>
            </w:tcBorders>
            <w:vAlign w:val="center"/>
          </w:tcPr>
          <w:p w14:paraId="40761733">
            <w:pPr>
              <w:pStyle w:val="41"/>
              <w:rPr>
                <w:rFonts w:hint="default" w:ascii="Times New Roman" w:hAnsi="Times New Roman" w:cs="Times New Roman"/>
                <w:color w:val="auto"/>
                <w:u w:val="none"/>
              </w:rPr>
            </w:pPr>
            <w:r>
              <w:rPr>
                <w:rFonts w:hint="default" w:ascii="Times New Roman" w:hAnsi="Times New Roman" w:cs="Times New Roman"/>
                <w:color w:val="auto"/>
                <w:u w:val="none"/>
              </w:rPr>
              <w:t>实验室测定</w:t>
            </w:r>
          </w:p>
        </w:tc>
        <w:tc>
          <w:tcPr>
            <w:tcW w:w="1194" w:type="pct"/>
            <w:tcBorders>
              <w:tl2br w:val="nil"/>
              <w:tr2bl w:val="nil"/>
            </w:tcBorders>
            <w:vAlign w:val="center"/>
          </w:tcPr>
          <w:p w14:paraId="17B68D79">
            <w:pPr>
              <w:pStyle w:val="41"/>
              <w:rPr>
                <w:rFonts w:hint="default" w:ascii="Times New Roman" w:hAnsi="Times New Roman" w:cs="Times New Roman"/>
                <w:color w:val="auto"/>
                <w:u w:val="none"/>
              </w:rPr>
            </w:pPr>
            <w:r>
              <w:rPr>
                <w:rFonts w:hint="default" w:ascii="Times New Roman" w:hAnsi="Times New Roman" w:cs="Times New Roman"/>
                <w:color w:val="auto"/>
                <w:u w:val="none"/>
              </w:rPr>
              <w:t>pH值(无量纲)</w:t>
            </w:r>
          </w:p>
        </w:tc>
        <w:tc>
          <w:tcPr>
            <w:tcW w:w="1141" w:type="pct"/>
            <w:tcBorders>
              <w:tl2br w:val="nil"/>
              <w:tr2bl w:val="nil"/>
            </w:tcBorders>
            <w:vAlign w:val="center"/>
          </w:tcPr>
          <w:p w14:paraId="3D71C092">
            <w:pPr>
              <w:pStyle w:val="41"/>
              <w:rPr>
                <w:rFonts w:hint="default" w:ascii="Times New Roman" w:hAnsi="Times New Roman" w:cs="Times New Roman"/>
                <w:color w:val="auto"/>
                <w:u w:val="none"/>
              </w:rPr>
            </w:pPr>
            <w:r>
              <w:rPr>
                <w:rFonts w:hint="default" w:ascii="Times New Roman" w:hAnsi="Times New Roman" w:cs="Times New Roman"/>
                <w:color w:val="auto"/>
                <w:u w:val="none"/>
              </w:rPr>
              <w:t>6.54</w:t>
            </w:r>
          </w:p>
        </w:tc>
        <w:tc>
          <w:tcPr>
            <w:tcW w:w="1141" w:type="pct"/>
            <w:tcBorders>
              <w:tl2br w:val="nil"/>
              <w:tr2bl w:val="nil"/>
            </w:tcBorders>
            <w:vAlign w:val="center"/>
          </w:tcPr>
          <w:p w14:paraId="34996ABE">
            <w:pPr>
              <w:pStyle w:val="41"/>
              <w:rPr>
                <w:rFonts w:hint="default" w:ascii="Times New Roman" w:hAnsi="Times New Roman" w:cs="Times New Roman"/>
                <w:color w:val="auto"/>
                <w:u w:val="none"/>
              </w:rPr>
            </w:pPr>
            <w:r>
              <w:rPr>
                <w:rFonts w:hint="default" w:ascii="Times New Roman" w:hAnsi="Times New Roman" w:cs="Times New Roman"/>
                <w:color w:val="auto"/>
                <w:u w:val="none"/>
              </w:rPr>
              <w:t>6.68</w:t>
            </w:r>
          </w:p>
        </w:tc>
        <w:tc>
          <w:tcPr>
            <w:tcW w:w="1145" w:type="pct"/>
            <w:tcBorders>
              <w:tl2br w:val="nil"/>
              <w:tr2bl w:val="nil"/>
            </w:tcBorders>
            <w:vAlign w:val="center"/>
          </w:tcPr>
          <w:p w14:paraId="60CF8144">
            <w:pPr>
              <w:pStyle w:val="41"/>
              <w:rPr>
                <w:rFonts w:hint="default" w:ascii="Times New Roman" w:hAnsi="Times New Roman" w:cs="Times New Roman"/>
                <w:color w:val="auto"/>
                <w:u w:val="none"/>
              </w:rPr>
            </w:pPr>
            <w:r>
              <w:rPr>
                <w:rFonts w:hint="default" w:ascii="Times New Roman" w:hAnsi="Times New Roman" w:cs="Times New Roman"/>
                <w:color w:val="auto"/>
                <w:u w:val="none"/>
              </w:rPr>
              <w:t>7.13</w:t>
            </w:r>
          </w:p>
        </w:tc>
      </w:tr>
      <w:tr w14:paraId="16EED6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575937F7">
            <w:pPr>
              <w:pStyle w:val="41"/>
              <w:rPr>
                <w:rFonts w:hint="default" w:ascii="Times New Roman" w:hAnsi="Times New Roman" w:cs="Times New Roman"/>
                <w:color w:val="auto"/>
                <w:u w:val="none"/>
              </w:rPr>
            </w:pPr>
          </w:p>
        </w:tc>
        <w:tc>
          <w:tcPr>
            <w:tcW w:w="1194" w:type="pct"/>
            <w:tcBorders>
              <w:tl2br w:val="nil"/>
              <w:tr2bl w:val="nil"/>
            </w:tcBorders>
            <w:vAlign w:val="center"/>
          </w:tcPr>
          <w:p w14:paraId="7CC1A655">
            <w:pPr>
              <w:pStyle w:val="41"/>
              <w:rPr>
                <w:rFonts w:hint="default" w:ascii="Times New Roman" w:hAnsi="Times New Roman" w:cs="Times New Roman"/>
                <w:color w:val="auto"/>
                <w:u w:val="none"/>
              </w:rPr>
            </w:pPr>
            <w:r>
              <w:rPr>
                <w:rFonts w:hint="default" w:ascii="Times New Roman" w:hAnsi="Times New Roman" w:cs="Times New Roman"/>
                <w:color w:val="auto"/>
                <w:u w:val="none"/>
              </w:rPr>
              <w:t>阳离子交换量(cmol(+)/kg)</w:t>
            </w:r>
          </w:p>
        </w:tc>
        <w:tc>
          <w:tcPr>
            <w:tcW w:w="1141" w:type="pct"/>
            <w:tcBorders>
              <w:tl2br w:val="nil"/>
              <w:tr2bl w:val="nil"/>
            </w:tcBorders>
            <w:vAlign w:val="center"/>
          </w:tcPr>
          <w:p w14:paraId="67482C78">
            <w:pPr>
              <w:pStyle w:val="41"/>
              <w:rPr>
                <w:rFonts w:hint="default" w:ascii="Times New Roman" w:hAnsi="Times New Roman" w:cs="Times New Roman"/>
                <w:color w:val="auto"/>
                <w:u w:val="none"/>
              </w:rPr>
            </w:pPr>
            <w:r>
              <w:rPr>
                <w:rFonts w:hint="default" w:ascii="Times New Roman" w:hAnsi="Times New Roman" w:cs="Times New Roman"/>
                <w:color w:val="auto"/>
                <w:u w:val="none"/>
              </w:rPr>
              <w:t>16.7</w:t>
            </w:r>
          </w:p>
        </w:tc>
        <w:tc>
          <w:tcPr>
            <w:tcW w:w="1141" w:type="pct"/>
            <w:tcBorders>
              <w:tl2br w:val="nil"/>
              <w:tr2bl w:val="nil"/>
            </w:tcBorders>
            <w:vAlign w:val="center"/>
          </w:tcPr>
          <w:p w14:paraId="6E6266BE">
            <w:pPr>
              <w:pStyle w:val="41"/>
              <w:rPr>
                <w:rFonts w:hint="default" w:ascii="Times New Roman" w:hAnsi="Times New Roman" w:cs="Times New Roman"/>
                <w:color w:val="auto"/>
                <w:u w:val="none"/>
              </w:rPr>
            </w:pPr>
            <w:r>
              <w:rPr>
                <w:rFonts w:hint="default" w:ascii="Times New Roman" w:hAnsi="Times New Roman" w:cs="Times New Roman"/>
                <w:color w:val="auto"/>
                <w:u w:val="none"/>
              </w:rPr>
              <w:t>16.1</w:t>
            </w:r>
          </w:p>
        </w:tc>
        <w:tc>
          <w:tcPr>
            <w:tcW w:w="1145" w:type="pct"/>
            <w:tcBorders>
              <w:tl2br w:val="nil"/>
              <w:tr2bl w:val="nil"/>
            </w:tcBorders>
            <w:vAlign w:val="center"/>
          </w:tcPr>
          <w:p w14:paraId="14EA0435">
            <w:pPr>
              <w:pStyle w:val="41"/>
              <w:rPr>
                <w:rFonts w:hint="default" w:ascii="Times New Roman" w:hAnsi="Times New Roman" w:cs="Times New Roman"/>
                <w:color w:val="auto"/>
                <w:u w:val="none"/>
              </w:rPr>
            </w:pPr>
            <w:r>
              <w:rPr>
                <w:rFonts w:hint="default" w:ascii="Times New Roman" w:hAnsi="Times New Roman" w:cs="Times New Roman"/>
                <w:color w:val="auto"/>
                <w:u w:val="none"/>
              </w:rPr>
              <w:t>15.2</w:t>
            </w:r>
          </w:p>
        </w:tc>
      </w:tr>
      <w:tr w14:paraId="6421C7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610DC1A5">
            <w:pPr>
              <w:pStyle w:val="41"/>
              <w:rPr>
                <w:rFonts w:hint="default" w:ascii="Times New Roman" w:hAnsi="Times New Roman" w:cs="Times New Roman"/>
                <w:color w:val="auto"/>
                <w:u w:val="none"/>
              </w:rPr>
            </w:pPr>
          </w:p>
        </w:tc>
        <w:tc>
          <w:tcPr>
            <w:tcW w:w="1194" w:type="pct"/>
            <w:tcBorders>
              <w:tl2br w:val="nil"/>
              <w:tr2bl w:val="nil"/>
            </w:tcBorders>
            <w:vAlign w:val="center"/>
          </w:tcPr>
          <w:p w14:paraId="28F9067C">
            <w:pPr>
              <w:pStyle w:val="41"/>
              <w:rPr>
                <w:rFonts w:hint="default" w:ascii="Times New Roman" w:hAnsi="Times New Roman" w:cs="Times New Roman"/>
                <w:color w:val="auto"/>
                <w:u w:val="none"/>
              </w:rPr>
            </w:pPr>
            <w:r>
              <w:rPr>
                <w:rFonts w:hint="default" w:ascii="Times New Roman" w:hAnsi="Times New Roman" w:cs="Times New Roman"/>
                <w:color w:val="auto"/>
                <w:u w:val="none"/>
              </w:rPr>
              <w:t>氧化还原电位(mv)</w:t>
            </w:r>
          </w:p>
        </w:tc>
        <w:tc>
          <w:tcPr>
            <w:tcW w:w="1141" w:type="pct"/>
            <w:tcBorders>
              <w:tl2br w:val="nil"/>
              <w:tr2bl w:val="nil"/>
            </w:tcBorders>
            <w:vAlign w:val="center"/>
          </w:tcPr>
          <w:p w14:paraId="69844813">
            <w:pPr>
              <w:pStyle w:val="41"/>
              <w:rPr>
                <w:rFonts w:hint="default" w:ascii="Times New Roman" w:hAnsi="Times New Roman" w:cs="Times New Roman"/>
                <w:color w:val="auto"/>
                <w:u w:val="none"/>
              </w:rPr>
            </w:pPr>
            <w:r>
              <w:rPr>
                <w:rFonts w:hint="default" w:ascii="Times New Roman" w:hAnsi="Times New Roman" w:cs="Times New Roman"/>
                <w:color w:val="auto"/>
                <w:u w:val="none"/>
              </w:rPr>
              <w:t>252</w:t>
            </w:r>
          </w:p>
        </w:tc>
        <w:tc>
          <w:tcPr>
            <w:tcW w:w="1141" w:type="pct"/>
            <w:tcBorders>
              <w:tl2br w:val="nil"/>
              <w:tr2bl w:val="nil"/>
            </w:tcBorders>
            <w:vAlign w:val="center"/>
          </w:tcPr>
          <w:p w14:paraId="08F7EADF">
            <w:pPr>
              <w:pStyle w:val="41"/>
              <w:rPr>
                <w:rFonts w:hint="default" w:ascii="Times New Roman" w:hAnsi="Times New Roman" w:cs="Times New Roman"/>
                <w:color w:val="auto"/>
                <w:u w:val="none"/>
              </w:rPr>
            </w:pPr>
            <w:r>
              <w:rPr>
                <w:rFonts w:hint="default" w:ascii="Times New Roman" w:hAnsi="Times New Roman" w:cs="Times New Roman"/>
                <w:color w:val="auto"/>
                <w:u w:val="none"/>
              </w:rPr>
              <w:t>233</w:t>
            </w:r>
          </w:p>
        </w:tc>
        <w:tc>
          <w:tcPr>
            <w:tcW w:w="1145" w:type="pct"/>
            <w:tcBorders>
              <w:tl2br w:val="nil"/>
              <w:tr2bl w:val="nil"/>
            </w:tcBorders>
            <w:vAlign w:val="center"/>
          </w:tcPr>
          <w:p w14:paraId="443D4EC2">
            <w:pPr>
              <w:pStyle w:val="41"/>
              <w:rPr>
                <w:rFonts w:hint="default" w:ascii="Times New Roman" w:hAnsi="Times New Roman" w:cs="Times New Roman"/>
                <w:color w:val="auto"/>
                <w:u w:val="none"/>
              </w:rPr>
            </w:pPr>
            <w:r>
              <w:rPr>
                <w:rFonts w:hint="default" w:ascii="Times New Roman" w:hAnsi="Times New Roman" w:cs="Times New Roman"/>
                <w:color w:val="auto"/>
                <w:u w:val="none"/>
              </w:rPr>
              <w:t>194</w:t>
            </w:r>
          </w:p>
        </w:tc>
      </w:tr>
      <w:tr w14:paraId="6FC711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7DE3E1DB">
            <w:pPr>
              <w:pStyle w:val="41"/>
              <w:rPr>
                <w:rFonts w:hint="default" w:ascii="Times New Roman" w:hAnsi="Times New Roman" w:cs="Times New Roman"/>
                <w:color w:val="auto"/>
                <w:u w:val="none"/>
              </w:rPr>
            </w:pPr>
          </w:p>
        </w:tc>
        <w:tc>
          <w:tcPr>
            <w:tcW w:w="1194" w:type="pct"/>
            <w:tcBorders>
              <w:tl2br w:val="nil"/>
              <w:tr2bl w:val="nil"/>
            </w:tcBorders>
            <w:vAlign w:val="center"/>
          </w:tcPr>
          <w:p w14:paraId="5256115A">
            <w:pPr>
              <w:pStyle w:val="41"/>
              <w:rPr>
                <w:rFonts w:hint="default" w:ascii="Times New Roman" w:hAnsi="Times New Roman" w:cs="Times New Roman"/>
                <w:color w:val="auto"/>
                <w:u w:val="none"/>
              </w:rPr>
            </w:pPr>
            <w:r>
              <w:rPr>
                <w:rFonts w:hint="default" w:ascii="Times New Roman" w:hAnsi="Times New Roman" w:cs="Times New Roman"/>
                <w:color w:val="auto"/>
                <w:u w:val="none"/>
              </w:rPr>
              <w:t>饱和导水率(mm/min)</w:t>
            </w:r>
          </w:p>
        </w:tc>
        <w:tc>
          <w:tcPr>
            <w:tcW w:w="1141" w:type="pct"/>
            <w:tcBorders>
              <w:tl2br w:val="nil"/>
              <w:tr2bl w:val="nil"/>
            </w:tcBorders>
            <w:vAlign w:val="center"/>
          </w:tcPr>
          <w:p w14:paraId="4136AF8C">
            <w:pPr>
              <w:pStyle w:val="41"/>
              <w:rPr>
                <w:rFonts w:hint="default" w:ascii="Times New Roman" w:hAnsi="Times New Roman" w:cs="Times New Roman"/>
                <w:color w:val="auto"/>
                <w:u w:val="none"/>
              </w:rPr>
            </w:pPr>
            <w:r>
              <w:rPr>
                <w:rFonts w:hint="default" w:ascii="Times New Roman" w:hAnsi="Times New Roman" w:cs="Times New Roman"/>
                <w:color w:val="auto"/>
                <w:u w:val="none"/>
              </w:rPr>
              <w:t>0.34</w:t>
            </w:r>
          </w:p>
        </w:tc>
        <w:tc>
          <w:tcPr>
            <w:tcW w:w="1141" w:type="pct"/>
            <w:tcBorders>
              <w:tl2br w:val="nil"/>
              <w:tr2bl w:val="nil"/>
            </w:tcBorders>
            <w:vAlign w:val="center"/>
          </w:tcPr>
          <w:p w14:paraId="6071422F">
            <w:pPr>
              <w:pStyle w:val="41"/>
              <w:rPr>
                <w:rFonts w:hint="default" w:ascii="Times New Roman" w:hAnsi="Times New Roman" w:cs="Times New Roman"/>
                <w:color w:val="auto"/>
                <w:u w:val="none"/>
              </w:rPr>
            </w:pPr>
            <w:r>
              <w:rPr>
                <w:rFonts w:hint="default" w:ascii="Times New Roman" w:hAnsi="Times New Roman" w:cs="Times New Roman"/>
                <w:color w:val="auto"/>
                <w:u w:val="none"/>
              </w:rPr>
              <w:t>0.34</w:t>
            </w:r>
          </w:p>
        </w:tc>
        <w:tc>
          <w:tcPr>
            <w:tcW w:w="1145" w:type="pct"/>
            <w:tcBorders>
              <w:tl2br w:val="nil"/>
              <w:tr2bl w:val="nil"/>
            </w:tcBorders>
            <w:vAlign w:val="center"/>
          </w:tcPr>
          <w:p w14:paraId="034A267A">
            <w:pPr>
              <w:pStyle w:val="41"/>
              <w:rPr>
                <w:rFonts w:hint="default" w:ascii="Times New Roman" w:hAnsi="Times New Roman" w:cs="Times New Roman"/>
                <w:color w:val="auto"/>
                <w:u w:val="none"/>
              </w:rPr>
            </w:pPr>
            <w:r>
              <w:rPr>
                <w:rFonts w:hint="default" w:ascii="Times New Roman" w:hAnsi="Times New Roman" w:cs="Times New Roman"/>
                <w:color w:val="auto"/>
                <w:u w:val="none"/>
              </w:rPr>
              <w:t>0.34</w:t>
            </w:r>
          </w:p>
        </w:tc>
      </w:tr>
      <w:tr w14:paraId="2CB51B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2DE5370A">
            <w:pPr>
              <w:pStyle w:val="41"/>
              <w:rPr>
                <w:rFonts w:hint="default" w:ascii="Times New Roman" w:hAnsi="Times New Roman" w:cs="Times New Roman"/>
                <w:color w:val="auto"/>
                <w:u w:val="none"/>
              </w:rPr>
            </w:pPr>
          </w:p>
        </w:tc>
        <w:tc>
          <w:tcPr>
            <w:tcW w:w="1194" w:type="pct"/>
            <w:tcBorders>
              <w:tl2br w:val="nil"/>
              <w:tr2bl w:val="nil"/>
            </w:tcBorders>
            <w:vAlign w:val="center"/>
          </w:tcPr>
          <w:p w14:paraId="089CA611">
            <w:pPr>
              <w:pStyle w:val="41"/>
              <w:rPr>
                <w:rFonts w:hint="default" w:ascii="Times New Roman" w:hAnsi="Times New Roman" w:cs="Times New Roman"/>
                <w:color w:val="auto"/>
                <w:u w:val="none"/>
              </w:rPr>
            </w:pPr>
            <w:r>
              <w:rPr>
                <w:rFonts w:hint="default" w:ascii="Times New Roman" w:hAnsi="Times New Roman" w:cs="Times New Roman"/>
                <w:color w:val="auto"/>
                <w:u w:val="none"/>
              </w:rPr>
              <w:t>土壤容重(g/cm3)</w:t>
            </w:r>
          </w:p>
        </w:tc>
        <w:tc>
          <w:tcPr>
            <w:tcW w:w="1141" w:type="pct"/>
            <w:tcBorders>
              <w:tl2br w:val="nil"/>
              <w:tr2bl w:val="nil"/>
            </w:tcBorders>
            <w:vAlign w:val="center"/>
          </w:tcPr>
          <w:p w14:paraId="20FDD5A5">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141" w:type="pct"/>
            <w:tcBorders>
              <w:tl2br w:val="nil"/>
              <w:tr2bl w:val="nil"/>
            </w:tcBorders>
            <w:vAlign w:val="center"/>
          </w:tcPr>
          <w:p w14:paraId="75B186EA">
            <w:pPr>
              <w:pStyle w:val="41"/>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1145" w:type="pct"/>
            <w:tcBorders>
              <w:tl2br w:val="nil"/>
              <w:tr2bl w:val="nil"/>
            </w:tcBorders>
            <w:vAlign w:val="center"/>
          </w:tcPr>
          <w:p w14:paraId="42C92C21">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r>
      <w:tr w14:paraId="4CC0EC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377" w:type="pct"/>
            <w:vMerge w:val="continue"/>
            <w:tcBorders>
              <w:tl2br w:val="nil"/>
              <w:tr2bl w:val="nil"/>
            </w:tcBorders>
            <w:vAlign w:val="center"/>
          </w:tcPr>
          <w:p w14:paraId="68D608F3">
            <w:pPr>
              <w:pStyle w:val="41"/>
              <w:rPr>
                <w:rFonts w:hint="default" w:ascii="Times New Roman" w:hAnsi="Times New Roman" w:cs="Times New Roman"/>
                <w:color w:val="auto"/>
                <w:u w:val="none"/>
              </w:rPr>
            </w:pPr>
          </w:p>
        </w:tc>
        <w:tc>
          <w:tcPr>
            <w:tcW w:w="1194" w:type="pct"/>
            <w:tcBorders>
              <w:tl2br w:val="nil"/>
              <w:tr2bl w:val="nil"/>
            </w:tcBorders>
            <w:vAlign w:val="center"/>
          </w:tcPr>
          <w:p w14:paraId="340FDFB4">
            <w:pPr>
              <w:pStyle w:val="41"/>
              <w:rPr>
                <w:rFonts w:hint="default" w:ascii="Times New Roman" w:hAnsi="Times New Roman" w:cs="Times New Roman"/>
                <w:color w:val="auto"/>
                <w:u w:val="none"/>
              </w:rPr>
            </w:pPr>
            <w:r>
              <w:rPr>
                <w:rFonts w:hint="default" w:ascii="Times New Roman" w:hAnsi="Times New Roman" w:cs="Times New Roman"/>
                <w:color w:val="auto"/>
                <w:u w:val="none"/>
              </w:rPr>
              <w:t>孔隙度(%)</w:t>
            </w:r>
          </w:p>
        </w:tc>
        <w:tc>
          <w:tcPr>
            <w:tcW w:w="1141" w:type="pct"/>
            <w:tcBorders>
              <w:tl2br w:val="nil"/>
              <w:tr2bl w:val="nil"/>
            </w:tcBorders>
            <w:vAlign w:val="center"/>
          </w:tcPr>
          <w:p w14:paraId="4A9E72EA">
            <w:pPr>
              <w:pStyle w:val="41"/>
              <w:rPr>
                <w:rFonts w:hint="default" w:ascii="Times New Roman" w:hAnsi="Times New Roman" w:cs="Times New Roman"/>
                <w:color w:val="auto"/>
                <w:u w:val="none"/>
              </w:rPr>
            </w:pPr>
            <w:r>
              <w:rPr>
                <w:rFonts w:hint="default" w:ascii="Times New Roman" w:hAnsi="Times New Roman" w:cs="Times New Roman"/>
                <w:color w:val="auto"/>
                <w:u w:val="none"/>
              </w:rPr>
              <w:t>18.58</w:t>
            </w:r>
          </w:p>
        </w:tc>
        <w:tc>
          <w:tcPr>
            <w:tcW w:w="1141" w:type="pct"/>
            <w:tcBorders>
              <w:tl2br w:val="nil"/>
              <w:tr2bl w:val="nil"/>
            </w:tcBorders>
            <w:vAlign w:val="center"/>
          </w:tcPr>
          <w:p w14:paraId="63098657">
            <w:pPr>
              <w:pStyle w:val="41"/>
              <w:rPr>
                <w:rFonts w:hint="default" w:ascii="Times New Roman" w:hAnsi="Times New Roman" w:cs="Times New Roman"/>
                <w:color w:val="auto"/>
                <w:u w:val="none"/>
              </w:rPr>
            </w:pPr>
            <w:r>
              <w:rPr>
                <w:rFonts w:hint="default" w:ascii="Times New Roman" w:hAnsi="Times New Roman" w:cs="Times New Roman"/>
                <w:color w:val="auto"/>
                <w:u w:val="none"/>
              </w:rPr>
              <w:t>18.56</w:t>
            </w:r>
          </w:p>
        </w:tc>
        <w:tc>
          <w:tcPr>
            <w:tcW w:w="1145" w:type="pct"/>
            <w:tcBorders>
              <w:tl2br w:val="nil"/>
              <w:tr2bl w:val="nil"/>
            </w:tcBorders>
            <w:vAlign w:val="center"/>
          </w:tcPr>
          <w:p w14:paraId="744513D7">
            <w:pPr>
              <w:pStyle w:val="41"/>
              <w:rPr>
                <w:rFonts w:hint="default" w:ascii="Times New Roman" w:hAnsi="Times New Roman" w:cs="Times New Roman"/>
                <w:color w:val="auto"/>
                <w:u w:val="none"/>
              </w:rPr>
            </w:pPr>
            <w:r>
              <w:rPr>
                <w:rFonts w:hint="default" w:ascii="Times New Roman" w:hAnsi="Times New Roman" w:cs="Times New Roman"/>
                <w:color w:val="auto"/>
                <w:u w:val="none"/>
              </w:rPr>
              <w:t>20.85</w:t>
            </w:r>
          </w:p>
        </w:tc>
      </w:tr>
    </w:tbl>
    <w:p w14:paraId="02F6B50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表5.2-1</w:t>
      </w:r>
      <w:r>
        <w:rPr>
          <w:rFonts w:hint="eastAsia" w:cs="Times New Roman"/>
          <w:b/>
          <w:bCs/>
          <w:color w:val="auto"/>
          <w:u w:val="none"/>
          <w:lang w:val="en-US" w:eastAsia="zh-CN"/>
        </w:rPr>
        <w:t>6</w:t>
      </w:r>
      <w:r>
        <w:rPr>
          <w:rFonts w:hint="default" w:ascii="Times New Roman" w:hAnsi="Times New Roman" w:cs="Times New Roman"/>
          <w:b/>
          <w:bCs/>
          <w:color w:val="auto"/>
          <w:u w:val="none"/>
        </w:rPr>
        <w:t xml:space="preserve">  土壤环境质量监测结果表</w:t>
      </w:r>
    </w:p>
    <w:tbl>
      <w:tblPr>
        <w:tblStyle w:val="30"/>
        <w:tblW w:w="49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47"/>
        <w:gridCol w:w="900"/>
        <w:gridCol w:w="2129"/>
        <w:gridCol w:w="1137"/>
        <w:gridCol w:w="1285"/>
        <w:gridCol w:w="1261"/>
        <w:gridCol w:w="1250"/>
      </w:tblGrid>
      <w:tr w14:paraId="3241F2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Align w:val="center"/>
          </w:tcPr>
          <w:p w14:paraId="1AFA29F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采样点位</w:t>
            </w:r>
          </w:p>
        </w:tc>
        <w:tc>
          <w:tcPr>
            <w:tcW w:w="900" w:type="dxa"/>
            <w:vAlign w:val="center"/>
          </w:tcPr>
          <w:p w14:paraId="022E39F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采样层</w:t>
            </w:r>
          </w:p>
        </w:tc>
        <w:tc>
          <w:tcPr>
            <w:tcW w:w="2129" w:type="dxa"/>
            <w:vAlign w:val="center"/>
          </w:tcPr>
          <w:p w14:paraId="5BC0D4F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检测项目</w:t>
            </w:r>
          </w:p>
        </w:tc>
        <w:tc>
          <w:tcPr>
            <w:tcW w:w="1137" w:type="dxa"/>
            <w:vAlign w:val="center"/>
          </w:tcPr>
          <w:p w14:paraId="13A6538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单位</w:t>
            </w:r>
          </w:p>
        </w:tc>
        <w:tc>
          <w:tcPr>
            <w:tcW w:w="1285" w:type="dxa"/>
            <w:vAlign w:val="center"/>
          </w:tcPr>
          <w:p w14:paraId="333288B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检测结果</w:t>
            </w:r>
          </w:p>
        </w:tc>
        <w:tc>
          <w:tcPr>
            <w:tcW w:w="1261" w:type="dxa"/>
            <w:vAlign w:val="center"/>
          </w:tcPr>
          <w:p w14:paraId="44D2FF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参考限值</w:t>
            </w:r>
          </w:p>
        </w:tc>
        <w:tc>
          <w:tcPr>
            <w:tcW w:w="1250" w:type="dxa"/>
            <w:vAlign w:val="center"/>
          </w:tcPr>
          <w:p w14:paraId="74AAE89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是否达标</w:t>
            </w:r>
          </w:p>
        </w:tc>
      </w:tr>
      <w:tr w14:paraId="51B79D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restart"/>
            <w:vAlign w:val="center"/>
          </w:tcPr>
          <w:p w14:paraId="3D33692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厂址范围内■T1</w:t>
            </w:r>
          </w:p>
        </w:tc>
        <w:tc>
          <w:tcPr>
            <w:tcW w:w="900" w:type="dxa"/>
            <w:vMerge w:val="restart"/>
            <w:vAlign w:val="center"/>
          </w:tcPr>
          <w:p w14:paraId="4453F43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0-20cm</w:t>
            </w:r>
          </w:p>
        </w:tc>
        <w:tc>
          <w:tcPr>
            <w:tcW w:w="2129" w:type="dxa"/>
          </w:tcPr>
          <w:p w14:paraId="555641D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38CE849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6D1A2E9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29</w:t>
            </w:r>
          </w:p>
        </w:tc>
        <w:tc>
          <w:tcPr>
            <w:tcW w:w="1261" w:type="dxa"/>
            <w:vAlign w:val="center"/>
          </w:tcPr>
          <w:p w14:paraId="7FFE5B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600CE21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193A1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EE9AB0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81380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141536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5515B7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07D86CD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23</w:t>
            </w:r>
          </w:p>
        </w:tc>
        <w:tc>
          <w:tcPr>
            <w:tcW w:w="1261" w:type="dxa"/>
            <w:vAlign w:val="center"/>
          </w:tcPr>
          <w:p w14:paraId="4F29B86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6C34E7B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3609F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8D71E5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2ECF84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9A2919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5508C3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5A8AD9D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15.8</w:t>
            </w:r>
          </w:p>
        </w:tc>
        <w:tc>
          <w:tcPr>
            <w:tcW w:w="1261" w:type="dxa"/>
            <w:vAlign w:val="center"/>
          </w:tcPr>
          <w:p w14:paraId="4790DD7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2DC023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2690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D1DD11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2E13F0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2AB8643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0D476CA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46C68C7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0.31</w:t>
            </w:r>
          </w:p>
        </w:tc>
        <w:tc>
          <w:tcPr>
            <w:tcW w:w="1261" w:type="dxa"/>
            <w:vAlign w:val="center"/>
          </w:tcPr>
          <w:p w14:paraId="6D1B64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1EB07A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57419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4C8CCB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C9373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935D13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铬 (六价)</w:t>
            </w:r>
          </w:p>
        </w:tc>
        <w:tc>
          <w:tcPr>
            <w:tcW w:w="1137" w:type="dxa"/>
            <w:vAlign w:val="center"/>
          </w:tcPr>
          <w:p w14:paraId="5BB7C50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4563ABC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7BEFE8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036C28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F481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0CDCFD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168E0F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4AB10B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5A5AB8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59A0E0F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12. 1</w:t>
            </w:r>
          </w:p>
        </w:tc>
        <w:tc>
          <w:tcPr>
            <w:tcW w:w="1261" w:type="dxa"/>
            <w:vAlign w:val="center"/>
          </w:tcPr>
          <w:p w14:paraId="23689B7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5D4DF3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D73F3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94B08F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C90297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309FB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5CDC3A3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29B2C72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0.058</w:t>
            </w:r>
          </w:p>
        </w:tc>
        <w:tc>
          <w:tcPr>
            <w:tcW w:w="1261" w:type="dxa"/>
            <w:vAlign w:val="center"/>
          </w:tcPr>
          <w:p w14:paraId="1DDD9BA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7E6270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8C21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CE3EEB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4E1AC6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70006F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四氯化碳</w:t>
            </w:r>
          </w:p>
        </w:tc>
        <w:tc>
          <w:tcPr>
            <w:tcW w:w="1137" w:type="dxa"/>
            <w:vAlign w:val="center"/>
          </w:tcPr>
          <w:p w14:paraId="614975A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5388E15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4F2EE5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1250" w:type="dxa"/>
            <w:vAlign w:val="center"/>
          </w:tcPr>
          <w:p w14:paraId="7354CB5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D8C6C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361D6E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7B320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842446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氯仿</w:t>
            </w:r>
          </w:p>
        </w:tc>
        <w:tc>
          <w:tcPr>
            <w:tcW w:w="1137" w:type="dxa"/>
            <w:vAlign w:val="center"/>
          </w:tcPr>
          <w:p w14:paraId="455D59E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5AED92A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E5D7D1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w:t>
            </w:r>
          </w:p>
        </w:tc>
        <w:tc>
          <w:tcPr>
            <w:tcW w:w="1250" w:type="dxa"/>
            <w:vAlign w:val="center"/>
          </w:tcPr>
          <w:p w14:paraId="5BC5B71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FFD80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35A21B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B70F1D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41F0D9F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氯甲烷</w:t>
            </w:r>
          </w:p>
        </w:tc>
        <w:tc>
          <w:tcPr>
            <w:tcW w:w="1137" w:type="dxa"/>
            <w:vAlign w:val="center"/>
          </w:tcPr>
          <w:p w14:paraId="152D115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48DA0A8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4DFD144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37</w:t>
            </w:r>
          </w:p>
        </w:tc>
        <w:tc>
          <w:tcPr>
            <w:tcW w:w="1250" w:type="dxa"/>
            <w:vAlign w:val="center"/>
          </w:tcPr>
          <w:p w14:paraId="0D769D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F2F98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49CC94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36FADE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7ABA3E2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 1-二氯乙烷</w:t>
            </w:r>
          </w:p>
        </w:tc>
        <w:tc>
          <w:tcPr>
            <w:tcW w:w="1137" w:type="dxa"/>
            <w:vAlign w:val="center"/>
          </w:tcPr>
          <w:p w14:paraId="37F7B0B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3B5BEC0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F841FA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1250" w:type="dxa"/>
            <w:vAlign w:val="center"/>
          </w:tcPr>
          <w:p w14:paraId="719FD9E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9EE33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800562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689707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6418DD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1,2-二氯乙烷</w:t>
            </w:r>
          </w:p>
        </w:tc>
        <w:tc>
          <w:tcPr>
            <w:tcW w:w="1137" w:type="dxa"/>
            <w:vAlign w:val="center"/>
          </w:tcPr>
          <w:p w14:paraId="0598D98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41349E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44E34C8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250" w:type="dxa"/>
            <w:vAlign w:val="center"/>
          </w:tcPr>
          <w:p w14:paraId="1233EA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73764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FAF1A3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079C26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71F07C3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 1-二氯乙烯</w:t>
            </w:r>
          </w:p>
        </w:tc>
        <w:tc>
          <w:tcPr>
            <w:tcW w:w="1137" w:type="dxa"/>
            <w:vAlign w:val="center"/>
          </w:tcPr>
          <w:p w14:paraId="6798925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0828F6D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C5D2AD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66</w:t>
            </w:r>
          </w:p>
        </w:tc>
        <w:tc>
          <w:tcPr>
            <w:tcW w:w="1250" w:type="dxa"/>
            <w:vAlign w:val="center"/>
          </w:tcPr>
          <w:p w14:paraId="4411116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29B18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AB4BF2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70E7B7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509838E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顺- 1,2-二氯乙 烯</w:t>
            </w:r>
          </w:p>
        </w:tc>
        <w:tc>
          <w:tcPr>
            <w:tcW w:w="1137" w:type="dxa"/>
            <w:vAlign w:val="center"/>
          </w:tcPr>
          <w:p w14:paraId="5092CF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1F19170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11662F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596</w:t>
            </w:r>
          </w:p>
        </w:tc>
        <w:tc>
          <w:tcPr>
            <w:tcW w:w="1250" w:type="dxa"/>
            <w:vAlign w:val="center"/>
          </w:tcPr>
          <w:p w14:paraId="0C1811D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418D8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BCE2B4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B58F7B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5911DBA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反- 1,2-二氯乙 烯</w:t>
            </w:r>
          </w:p>
        </w:tc>
        <w:tc>
          <w:tcPr>
            <w:tcW w:w="1137" w:type="dxa"/>
            <w:vAlign w:val="center"/>
          </w:tcPr>
          <w:p w14:paraId="3F92A51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64AB4A3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6B767E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54</w:t>
            </w:r>
          </w:p>
        </w:tc>
        <w:tc>
          <w:tcPr>
            <w:tcW w:w="1250" w:type="dxa"/>
            <w:vAlign w:val="center"/>
          </w:tcPr>
          <w:p w14:paraId="13995EB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62E6B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B4662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1CDA95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7D4E7D4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二氯甲烷</w:t>
            </w:r>
          </w:p>
        </w:tc>
        <w:tc>
          <w:tcPr>
            <w:tcW w:w="1137" w:type="dxa"/>
            <w:vAlign w:val="center"/>
          </w:tcPr>
          <w:p w14:paraId="250142D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7CE082A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5E1A7DB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616</w:t>
            </w:r>
          </w:p>
        </w:tc>
        <w:tc>
          <w:tcPr>
            <w:tcW w:w="1250" w:type="dxa"/>
            <w:vAlign w:val="center"/>
          </w:tcPr>
          <w:p w14:paraId="4BDE413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537B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F13C09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344414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1B029D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1,2-二氯丙烷</w:t>
            </w:r>
          </w:p>
        </w:tc>
        <w:tc>
          <w:tcPr>
            <w:tcW w:w="1137" w:type="dxa"/>
            <w:vAlign w:val="center"/>
          </w:tcPr>
          <w:p w14:paraId="37C57E3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191C086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7EB677A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250" w:type="dxa"/>
            <w:vAlign w:val="center"/>
          </w:tcPr>
          <w:p w14:paraId="070737D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F2A2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C0CE03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FC618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7928A8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 1, 1,2- 四氯乙 烷</w:t>
            </w:r>
          </w:p>
        </w:tc>
        <w:tc>
          <w:tcPr>
            <w:tcW w:w="1137" w:type="dxa"/>
            <w:vAlign w:val="center"/>
          </w:tcPr>
          <w:p w14:paraId="0982048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12E7ADC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418533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250" w:type="dxa"/>
            <w:vAlign w:val="center"/>
          </w:tcPr>
          <w:p w14:paraId="72A685D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3AF13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4AC68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9FF7B9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088862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 1,2,2- 四氯乙烷</w:t>
            </w:r>
          </w:p>
        </w:tc>
        <w:tc>
          <w:tcPr>
            <w:tcW w:w="1137" w:type="dxa"/>
            <w:vAlign w:val="center"/>
          </w:tcPr>
          <w:p w14:paraId="6EEC5D4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688F280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381589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6.8</w:t>
            </w:r>
          </w:p>
        </w:tc>
        <w:tc>
          <w:tcPr>
            <w:tcW w:w="1250" w:type="dxa"/>
            <w:vAlign w:val="center"/>
          </w:tcPr>
          <w:p w14:paraId="619F558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DA796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387BFF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7CE95C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5C05BCB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四氯乙烯</w:t>
            </w:r>
          </w:p>
        </w:tc>
        <w:tc>
          <w:tcPr>
            <w:tcW w:w="1137" w:type="dxa"/>
            <w:vAlign w:val="center"/>
          </w:tcPr>
          <w:p w14:paraId="1BB6139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5E0DEA3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7D7BFB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53</w:t>
            </w:r>
          </w:p>
        </w:tc>
        <w:tc>
          <w:tcPr>
            <w:tcW w:w="1250" w:type="dxa"/>
            <w:vAlign w:val="center"/>
          </w:tcPr>
          <w:p w14:paraId="197924E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0D6F6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39F4A3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2F321E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09D29C2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 1, 1-三氯乙烷</w:t>
            </w:r>
          </w:p>
        </w:tc>
        <w:tc>
          <w:tcPr>
            <w:tcW w:w="1137" w:type="dxa"/>
            <w:vAlign w:val="center"/>
          </w:tcPr>
          <w:p w14:paraId="707A806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407916D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56C6766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840</w:t>
            </w:r>
          </w:p>
        </w:tc>
        <w:tc>
          <w:tcPr>
            <w:tcW w:w="1250" w:type="dxa"/>
            <w:vAlign w:val="center"/>
          </w:tcPr>
          <w:p w14:paraId="14D73F3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C5F8C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A5E9ED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8D7DE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2240344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 1,2-三氯乙烷</w:t>
            </w:r>
          </w:p>
        </w:tc>
        <w:tc>
          <w:tcPr>
            <w:tcW w:w="1137" w:type="dxa"/>
            <w:vAlign w:val="center"/>
          </w:tcPr>
          <w:p w14:paraId="786A35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210403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45BF37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1250" w:type="dxa"/>
            <w:vAlign w:val="center"/>
          </w:tcPr>
          <w:p w14:paraId="44ADD7C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7ABBC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3F369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81630F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5179A94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三氯乙烯</w:t>
            </w:r>
          </w:p>
        </w:tc>
        <w:tc>
          <w:tcPr>
            <w:tcW w:w="1137" w:type="dxa"/>
            <w:vAlign w:val="center"/>
          </w:tcPr>
          <w:p w14:paraId="48C08F1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tcPr>
          <w:p w14:paraId="6480B8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1F1EF0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1250" w:type="dxa"/>
            <w:vAlign w:val="center"/>
          </w:tcPr>
          <w:p w14:paraId="1B2B029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2C34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CBE472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29478C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B1F78D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1,2,3-三氯丙烷</w:t>
            </w:r>
          </w:p>
        </w:tc>
        <w:tc>
          <w:tcPr>
            <w:tcW w:w="1137" w:type="dxa"/>
            <w:vAlign w:val="center"/>
          </w:tcPr>
          <w:p w14:paraId="0545039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5ED877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16CD37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w:t>
            </w:r>
          </w:p>
        </w:tc>
        <w:tc>
          <w:tcPr>
            <w:tcW w:w="1250" w:type="dxa"/>
            <w:vAlign w:val="center"/>
          </w:tcPr>
          <w:p w14:paraId="0BFF3EB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522E4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2566F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5B506C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79D9E4F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氯乙烯</w:t>
            </w:r>
          </w:p>
        </w:tc>
        <w:tc>
          <w:tcPr>
            <w:tcW w:w="1137" w:type="dxa"/>
            <w:vAlign w:val="center"/>
          </w:tcPr>
          <w:p w14:paraId="238B0B6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2C1983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FE8120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0.43</w:t>
            </w:r>
          </w:p>
        </w:tc>
        <w:tc>
          <w:tcPr>
            <w:tcW w:w="1250" w:type="dxa"/>
            <w:vAlign w:val="center"/>
          </w:tcPr>
          <w:p w14:paraId="09B6AC8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789EC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12EB92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23ED0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1D3D1E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w:t>
            </w:r>
          </w:p>
        </w:tc>
        <w:tc>
          <w:tcPr>
            <w:tcW w:w="1137" w:type="dxa"/>
            <w:vAlign w:val="center"/>
          </w:tcPr>
          <w:p w14:paraId="32848A8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E6B49B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56B888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250" w:type="dxa"/>
            <w:vAlign w:val="center"/>
          </w:tcPr>
          <w:p w14:paraId="0844F5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4FE98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1AC058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10287D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27DA76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氯苯</w:t>
            </w:r>
          </w:p>
        </w:tc>
        <w:tc>
          <w:tcPr>
            <w:tcW w:w="1137" w:type="dxa"/>
            <w:vAlign w:val="center"/>
          </w:tcPr>
          <w:p w14:paraId="4E398B9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CA6A82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7BCC410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270</w:t>
            </w:r>
          </w:p>
        </w:tc>
        <w:tc>
          <w:tcPr>
            <w:tcW w:w="1250" w:type="dxa"/>
            <w:vAlign w:val="center"/>
          </w:tcPr>
          <w:p w14:paraId="2160529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7BD3E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7C47B6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1F244E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360036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1,2-二氯苯</w:t>
            </w:r>
          </w:p>
        </w:tc>
        <w:tc>
          <w:tcPr>
            <w:tcW w:w="1137" w:type="dxa"/>
            <w:vAlign w:val="center"/>
          </w:tcPr>
          <w:p w14:paraId="346CD4F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CBF587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52225D4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560</w:t>
            </w:r>
          </w:p>
        </w:tc>
        <w:tc>
          <w:tcPr>
            <w:tcW w:w="1250" w:type="dxa"/>
            <w:vAlign w:val="center"/>
          </w:tcPr>
          <w:p w14:paraId="3BB9FF2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AD7E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9EB92A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9620D0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3F805C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1,4-二氯苯</w:t>
            </w:r>
          </w:p>
        </w:tc>
        <w:tc>
          <w:tcPr>
            <w:tcW w:w="1137" w:type="dxa"/>
            <w:vAlign w:val="center"/>
          </w:tcPr>
          <w:p w14:paraId="163E614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F33FC1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40A8A8A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1250" w:type="dxa"/>
            <w:vAlign w:val="center"/>
          </w:tcPr>
          <w:p w14:paraId="444B56E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139A3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4294CC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94D88D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7FD53E1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乙苯</w:t>
            </w:r>
          </w:p>
        </w:tc>
        <w:tc>
          <w:tcPr>
            <w:tcW w:w="1137" w:type="dxa"/>
            <w:vAlign w:val="center"/>
          </w:tcPr>
          <w:p w14:paraId="08BE716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08D471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5AC74A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1250" w:type="dxa"/>
            <w:vAlign w:val="center"/>
          </w:tcPr>
          <w:p w14:paraId="5F0EC4F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4BC51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AA1E60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D6EEFB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2AD6EF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苯乙烯</w:t>
            </w:r>
          </w:p>
        </w:tc>
        <w:tc>
          <w:tcPr>
            <w:tcW w:w="1137" w:type="dxa"/>
            <w:vAlign w:val="center"/>
          </w:tcPr>
          <w:p w14:paraId="733DEB8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3A1CE0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79276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1290</w:t>
            </w:r>
          </w:p>
        </w:tc>
        <w:tc>
          <w:tcPr>
            <w:tcW w:w="1250" w:type="dxa"/>
            <w:vAlign w:val="center"/>
          </w:tcPr>
          <w:p w14:paraId="7BE1167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7959C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8BC351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B21AC1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E707EB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甲苯</w:t>
            </w:r>
          </w:p>
        </w:tc>
        <w:tc>
          <w:tcPr>
            <w:tcW w:w="1137" w:type="dxa"/>
            <w:vAlign w:val="center"/>
          </w:tcPr>
          <w:p w14:paraId="729D30C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B7132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84B2E6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w:t>
            </w:r>
          </w:p>
        </w:tc>
        <w:tc>
          <w:tcPr>
            <w:tcW w:w="1250" w:type="dxa"/>
            <w:vAlign w:val="center"/>
          </w:tcPr>
          <w:p w14:paraId="715519C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42014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F4A3BE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110445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7336A20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间二甲苯+对 二甲苯</w:t>
            </w:r>
          </w:p>
        </w:tc>
        <w:tc>
          <w:tcPr>
            <w:tcW w:w="1137" w:type="dxa"/>
            <w:vAlign w:val="center"/>
          </w:tcPr>
          <w:p w14:paraId="55ECBE7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AF4723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69EEBE3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570</w:t>
            </w:r>
          </w:p>
        </w:tc>
        <w:tc>
          <w:tcPr>
            <w:tcW w:w="1250" w:type="dxa"/>
            <w:vAlign w:val="center"/>
          </w:tcPr>
          <w:p w14:paraId="70F7402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8824B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FFCDAC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192EF5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405B84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邻二甲苯</w:t>
            </w:r>
          </w:p>
        </w:tc>
        <w:tc>
          <w:tcPr>
            <w:tcW w:w="1137" w:type="dxa"/>
            <w:vAlign w:val="center"/>
          </w:tcPr>
          <w:p w14:paraId="76E84DE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6635FE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135CA74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640</w:t>
            </w:r>
          </w:p>
        </w:tc>
        <w:tc>
          <w:tcPr>
            <w:tcW w:w="1250" w:type="dxa"/>
            <w:vAlign w:val="center"/>
          </w:tcPr>
          <w:p w14:paraId="49237E4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2C8E3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A34175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7FD549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2B3A25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硝基苯</w:t>
            </w:r>
          </w:p>
        </w:tc>
        <w:tc>
          <w:tcPr>
            <w:tcW w:w="1137" w:type="dxa"/>
            <w:vAlign w:val="center"/>
          </w:tcPr>
          <w:p w14:paraId="6BEF1BD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FC3601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794F0D9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76</w:t>
            </w:r>
          </w:p>
        </w:tc>
        <w:tc>
          <w:tcPr>
            <w:tcW w:w="1250" w:type="dxa"/>
            <w:vAlign w:val="center"/>
          </w:tcPr>
          <w:p w14:paraId="68D69C0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97D47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7393B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902A2C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5D9C465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苯胺</w:t>
            </w:r>
          </w:p>
        </w:tc>
        <w:tc>
          <w:tcPr>
            <w:tcW w:w="1137" w:type="dxa"/>
            <w:vAlign w:val="center"/>
          </w:tcPr>
          <w:p w14:paraId="1D3DDA5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884A84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B1E85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260</w:t>
            </w:r>
          </w:p>
        </w:tc>
        <w:tc>
          <w:tcPr>
            <w:tcW w:w="1250" w:type="dxa"/>
            <w:vAlign w:val="center"/>
          </w:tcPr>
          <w:p w14:paraId="251660C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BBA11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E4C12F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EDCE99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558EC48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2-氯酚</w:t>
            </w:r>
          </w:p>
        </w:tc>
        <w:tc>
          <w:tcPr>
            <w:tcW w:w="1137" w:type="dxa"/>
            <w:vAlign w:val="center"/>
          </w:tcPr>
          <w:p w14:paraId="393E7FB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A049CC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E149B4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2256</w:t>
            </w:r>
          </w:p>
        </w:tc>
        <w:tc>
          <w:tcPr>
            <w:tcW w:w="1250" w:type="dxa"/>
            <w:vAlign w:val="center"/>
          </w:tcPr>
          <w:p w14:paraId="0DC082B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21E5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08CB96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4B969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1C530E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苯并[a]蒽</w:t>
            </w:r>
          </w:p>
        </w:tc>
        <w:tc>
          <w:tcPr>
            <w:tcW w:w="1137" w:type="dxa"/>
            <w:vAlign w:val="center"/>
          </w:tcPr>
          <w:p w14:paraId="5281242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07F2F8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1302821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250" w:type="dxa"/>
            <w:vAlign w:val="center"/>
          </w:tcPr>
          <w:p w14:paraId="6BA05F8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C98A6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4CCDA2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7BD1E3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3D639D0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苯并[a]芘</w:t>
            </w:r>
          </w:p>
        </w:tc>
        <w:tc>
          <w:tcPr>
            <w:tcW w:w="1137" w:type="dxa"/>
            <w:vAlign w:val="center"/>
          </w:tcPr>
          <w:p w14:paraId="595CA8F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EB04F6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1EDDEF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250" w:type="dxa"/>
            <w:vAlign w:val="center"/>
          </w:tcPr>
          <w:p w14:paraId="1EE8C30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8FD1D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0EDB85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9E2CB2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E1038F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苯并[b]荧蒽</w:t>
            </w:r>
          </w:p>
        </w:tc>
        <w:tc>
          <w:tcPr>
            <w:tcW w:w="1137" w:type="dxa"/>
            <w:vAlign w:val="center"/>
          </w:tcPr>
          <w:p w14:paraId="3183D3E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70BBE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1D2E2E5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250" w:type="dxa"/>
            <w:vAlign w:val="center"/>
          </w:tcPr>
          <w:p w14:paraId="292B8DC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B3B8D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12899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782F7F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8F6927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苯并[k]荧蒽</w:t>
            </w:r>
          </w:p>
        </w:tc>
        <w:tc>
          <w:tcPr>
            <w:tcW w:w="1137" w:type="dxa"/>
            <w:vAlign w:val="center"/>
          </w:tcPr>
          <w:p w14:paraId="2DF95C2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9C980B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90679A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151</w:t>
            </w:r>
          </w:p>
        </w:tc>
        <w:tc>
          <w:tcPr>
            <w:tcW w:w="1250" w:type="dxa"/>
            <w:vAlign w:val="center"/>
          </w:tcPr>
          <w:p w14:paraId="772960B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8B2A8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C6401A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357925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F04D20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䓛</w:t>
            </w:r>
          </w:p>
        </w:tc>
        <w:tc>
          <w:tcPr>
            <w:tcW w:w="1137" w:type="dxa"/>
            <w:vAlign w:val="center"/>
          </w:tcPr>
          <w:p w14:paraId="2B66639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89B754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1FF30C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1293</w:t>
            </w:r>
          </w:p>
        </w:tc>
        <w:tc>
          <w:tcPr>
            <w:tcW w:w="1250" w:type="dxa"/>
            <w:vAlign w:val="center"/>
          </w:tcPr>
          <w:p w14:paraId="379479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13050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7D1E8A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26E8B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62C31D6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二苯并[a,h]蒽</w:t>
            </w:r>
          </w:p>
        </w:tc>
        <w:tc>
          <w:tcPr>
            <w:tcW w:w="1137" w:type="dxa"/>
            <w:vAlign w:val="center"/>
          </w:tcPr>
          <w:p w14:paraId="25D961D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944AD8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10A733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250" w:type="dxa"/>
            <w:vAlign w:val="center"/>
          </w:tcPr>
          <w:p w14:paraId="2A0E7F1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07D85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7B8A5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5C2C02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28909E3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茚并[1,2,3-cd] 芘</w:t>
            </w:r>
          </w:p>
        </w:tc>
        <w:tc>
          <w:tcPr>
            <w:tcW w:w="1137" w:type="dxa"/>
            <w:vAlign w:val="center"/>
          </w:tcPr>
          <w:p w14:paraId="0B34EFE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B7EE3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88F564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250" w:type="dxa"/>
            <w:vAlign w:val="center"/>
          </w:tcPr>
          <w:p w14:paraId="293D69C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A4B4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F5F0AB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AF35A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4012DFA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萘</w:t>
            </w:r>
          </w:p>
        </w:tc>
        <w:tc>
          <w:tcPr>
            <w:tcW w:w="1137" w:type="dxa"/>
            <w:vAlign w:val="center"/>
          </w:tcPr>
          <w:p w14:paraId="556CC4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760A6B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53B54B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70</w:t>
            </w:r>
          </w:p>
        </w:tc>
        <w:tc>
          <w:tcPr>
            <w:tcW w:w="1250" w:type="dxa"/>
            <w:vAlign w:val="center"/>
          </w:tcPr>
          <w:p w14:paraId="4F5A135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DF22F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DE835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7F9A75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tcPr>
          <w:p w14:paraId="23FFF02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  (C10-C40 )</w:t>
            </w:r>
          </w:p>
        </w:tc>
        <w:tc>
          <w:tcPr>
            <w:tcW w:w="1137" w:type="dxa"/>
            <w:vAlign w:val="center"/>
          </w:tcPr>
          <w:p w14:paraId="23172D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2BC564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6CCB92C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484579A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229E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restart"/>
            <w:vAlign w:val="center"/>
          </w:tcPr>
          <w:p w14:paraId="121BDDC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T2 生产车间外周 边柱状样 (E：113°11′35.74″ ，  N：29°27′37.36″)</w:t>
            </w:r>
          </w:p>
        </w:tc>
        <w:tc>
          <w:tcPr>
            <w:tcW w:w="900" w:type="dxa"/>
            <w:vMerge w:val="restart"/>
            <w:vAlign w:val="center"/>
          </w:tcPr>
          <w:p w14:paraId="4FCCA52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0-50cm</w:t>
            </w:r>
          </w:p>
        </w:tc>
        <w:tc>
          <w:tcPr>
            <w:tcW w:w="2129" w:type="dxa"/>
            <w:vAlign w:val="center"/>
          </w:tcPr>
          <w:p w14:paraId="070312D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2E35C78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C6E15A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12.2</w:t>
            </w:r>
          </w:p>
        </w:tc>
        <w:tc>
          <w:tcPr>
            <w:tcW w:w="1261" w:type="dxa"/>
            <w:vAlign w:val="center"/>
          </w:tcPr>
          <w:p w14:paraId="1E5BF2E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3515213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F0B65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3001EC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BEDD3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DFA304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2FE59E4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404D57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0.19</w:t>
            </w:r>
          </w:p>
        </w:tc>
        <w:tc>
          <w:tcPr>
            <w:tcW w:w="1261" w:type="dxa"/>
            <w:vAlign w:val="center"/>
          </w:tcPr>
          <w:p w14:paraId="47C2D4B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360CF1F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F1585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FBB3EB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4B8D6A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122B50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56090D0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FE9505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E36F37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6664B86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8CBB7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E45C0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212AF5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14CC9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0397125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6FEF25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22</w:t>
            </w:r>
          </w:p>
        </w:tc>
        <w:tc>
          <w:tcPr>
            <w:tcW w:w="1261" w:type="dxa"/>
            <w:vAlign w:val="center"/>
          </w:tcPr>
          <w:p w14:paraId="756D7D0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6C2FD86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4438F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639A26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D4DED5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D04E07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1A30776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24EE48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11.4</w:t>
            </w:r>
          </w:p>
        </w:tc>
        <w:tc>
          <w:tcPr>
            <w:tcW w:w="1261" w:type="dxa"/>
            <w:vAlign w:val="center"/>
          </w:tcPr>
          <w:p w14:paraId="2ED18D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3C145DC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3391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BBB17A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7B96B6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166925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6702943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0A0100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0.059</w:t>
            </w:r>
          </w:p>
        </w:tc>
        <w:tc>
          <w:tcPr>
            <w:tcW w:w="1261" w:type="dxa"/>
            <w:vAlign w:val="center"/>
          </w:tcPr>
          <w:p w14:paraId="46D043F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28B0CA3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67FFC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F4C95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A87CF6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41510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3C1D08C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1B81BF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w:t>
            </w:r>
          </w:p>
        </w:tc>
        <w:tc>
          <w:tcPr>
            <w:tcW w:w="1261" w:type="dxa"/>
            <w:vAlign w:val="center"/>
          </w:tcPr>
          <w:p w14:paraId="73F3D83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6E9A83E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29AC9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CE32D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8618B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B90084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727FAC6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DCD841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21</w:t>
            </w:r>
          </w:p>
        </w:tc>
        <w:tc>
          <w:tcPr>
            <w:tcW w:w="1261" w:type="dxa"/>
            <w:vAlign w:val="center"/>
          </w:tcPr>
          <w:p w14:paraId="5B841D4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22727FB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91990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01D86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restart"/>
            <w:vAlign w:val="center"/>
          </w:tcPr>
          <w:p w14:paraId="42BDCF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50-150cm</w:t>
            </w:r>
          </w:p>
        </w:tc>
        <w:tc>
          <w:tcPr>
            <w:tcW w:w="2129" w:type="dxa"/>
            <w:vAlign w:val="center"/>
          </w:tcPr>
          <w:p w14:paraId="30E1CA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1E72C6D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3E1D8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12.6</w:t>
            </w:r>
          </w:p>
        </w:tc>
        <w:tc>
          <w:tcPr>
            <w:tcW w:w="1261" w:type="dxa"/>
            <w:vAlign w:val="center"/>
          </w:tcPr>
          <w:p w14:paraId="283BFAA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169DABA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14A0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A233C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D3FAA2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CD1B5A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27E19E2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959815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0.28</w:t>
            </w:r>
          </w:p>
        </w:tc>
        <w:tc>
          <w:tcPr>
            <w:tcW w:w="1261" w:type="dxa"/>
            <w:vAlign w:val="center"/>
          </w:tcPr>
          <w:p w14:paraId="185EDE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2867511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B58FF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E68A9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07CC39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DDE02E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014E23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241FC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07000C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4E75A60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0BC00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D03EDE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3FD384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3A8F9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3174A2A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2281F9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29</w:t>
            </w:r>
          </w:p>
        </w:tc>
        <w:tc>
          <w:tcPr>
            <w:tcW w:w="1261" w:type="dxa"/>
            <w:vAlign w:val="center"/>
          </w:tcPr>
          <w:p w14:paraId="23EB276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18D0FC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D282E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B10891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6C28D5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A00550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761FD9C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C26904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9.7</w:t>
            </w:r>
          </w:p>
        </w:tc>
        <w:tc>
          <w:tcPr>
            <w:tcW w:w="1261" w:type="dxa"/>
            <w:vAlign w:val="center"/>
          </w:tcPr>
          <w:p w14:paraId="5F8CB97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2DFF377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9B5A5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B9864B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29EA9B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52208F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213A00E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45EF85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0.054</w:t>
            </w:r>
          </w:p>
        </w:tc>
        <w:tc>
          <w:tcPr>
            <w:tcW w:w="1261" w:type="dxa"/>
            <w:vAlign w:val="center"/>
          </w:tcPr>
          <w:p w14:paraId="40C1D38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6A6C845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9A7A2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0F1CFA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53BAA4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45E1CD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628C5C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7CF778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w:t>
            </w:r>
          </w:p>
        </w:tc>
        <w:tc>
          <w:tcPr>
            <w:tcW w:w="1261" w:type="dxa"/>
            <w:vAlign w:val="center"/>
          </w:tcPr>
          <w:p w14:paraId="4C17333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4AB7C6B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9A6A3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142EB8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1A2D3B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8C3450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1C26D17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6D358A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21</w:t>
            </w:r>
          </w:p>
        </w:tc>
        <w:tc>
          <w:tcPr>
            <w:tcW w:w="1261" w:type="dxa"/>
            <w:vAlign w:val="center"/>
          </w:tcPr>
          <w:p w14:paraId="46D0EFD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25A801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43E00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9E11E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restart"/>
            <w:vAlign w:val="center"/>
          </w:tcPr>
          <w:p w14:paraId="33B869A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150-300cm</w:t>
            </w:r>
          </w:p>
        </w:tc>
        <w:tc>
          <w:tcPr>
            <w:tcW w:w="2129" w:type="dxa"/>
            <w:vAlign w:val="center"/>
          </w:tcPr>
          <w:p w14:paraId="5E80532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5C74CFB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DB901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12.1</w:t>
            </w:r>
          </w:p>
        </w:tc>
        <w:tc>
          <w:tcPr>
            <w:tcW w:w="1261" w:type="dxa"/>
            <w:vAlign w:val="center"/>
          </w:tcPr>
          <w:p w14:paraId="67CDACB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58A8582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A298D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94E50F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BB4231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18F145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3BB6EEF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A4E655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0.26</w:t>
            </w:r>
          </w:p>
        </w:tc>
        <w:tc>
          <w:tcPr>
            <w:tcW w:w="1261" w:type="dxa"/>
            <w:vAlign w:val="center"/>
          </w:tcPr>
          <w:p w14:paraId="2E8F8E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25FC2CA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CB358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E5435E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819317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E4FB5E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009E62D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9E0EDA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2AE58A5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132A5A5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FAED6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9D4AA0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61968C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849FF0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0BD32DF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13CDDC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w:t>
            </w:r>
          </w:p>
        </w:tc>
        <w:tc>
          <w:tcPr>
            <w:tcW w:w="1261" w:type="dxa"/>
            <w:vAlign w:val="center"/>
          </w:tcPr>
          <w:p w14:paraId="0497342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5C9641F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B2D54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99FE16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6ADA64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2CF076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572DC3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D4E43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23.2</w:t>
            </w:r>
          </w:p>
        </w:tc>
        <w:tc>
          <w:tcPr>
            <w:tcW w:w="1261" w:type="dxa"/>
            <w:vAlign w:val="center"/>
          </w:tcPr>
          <w:p w14:paraId="02FFAB7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32E8C60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8B9CE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6A3921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393721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855750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2E3C799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3BC08A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0.056</w:t>
            </w:r>
          </w:p>
        </w:tc>
        <w:tc>
          <w:tcPr>
            <w:tcW w:w="1261" w:type="dxa"/>
            <w:vAlign w:val="center"/>
          </w:tcPr>
          <w:p w14:paraId="1565820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28F95E2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8A05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C23764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6D822D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17A0A6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1A8DD4C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A07677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w:t>
            </w:r>
          </w:p>
        </w:tc>
        <w:tc>
          <w:tcPr>
            <w:tcW w:w="1261" w:type="dxa"/>
            <w:vAlign w:val="center"/>
          </w:tcPr>
          <w:p w14:paraId="2806799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2FF198F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D5559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BF32B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61599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60B672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1AB0F8B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0CDBE4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23</w:t>
            </w:r>
          </w:p>
        </w:tc>
        <w:tc>
          <w:tcPr>
            <w:tcW w:w="1261" w:type="dxa"/>
            <w:vAlign w:val="center"/>
          </w:tcPr>
          <w:p w14:paraId="5F08D2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470941F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0AADF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restart"/>
            <w:vAlign w:val="center"/>
          </w:tcPr>
          <w:p w14:paraId="077E0C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厂址范围内■T3</w:t>
            </w:r>
          </w:p>
        </w:tc>
        <w:tc>
          <w:tcPr>
            <w:tcW w:w="900" w:type="dxa"/>
            <w:vMerge w:val="restart"/>
            <w:vAlign w:val="center"/>
          </w:tcPr>
          <w:p w14:paraId="437E594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0-50cm</w:t>
            </w:r>
          </w:p>
        </w:tc>
        <w:tc>
          <w:tcPr>
            <w:tcW w:w="2129" w:type="dxa"/>
            <w:vAlign w:val="center"/>
          </w:tcPr>
          <w:p w14:paraId="7F3722F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2A5520B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2E5C60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12.7</w:t>
            </w:r>
          </w:p>
        </w:tc>
        <w:tc>
          <w:tcPr>
            <w:tcW w:w="1261" w:type="dxa"/>
            <w:vAlign w:val="center"/>
          </w:tcPr>
          <w:p w14:paraId="1E64C3A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4063424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FA6F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B60F4E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787C3C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2120B9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76FAF03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90BF50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0.28</w:t>
            </w:r>
          </w:p>
        </w:tc>
        <w:tc>
          <w:tcPr>
            <w:tcW w:w="1261" w:type="dxa"/>
            <w:vAlign w:val="center"/>
          </w:tcPr>
          <w:p w14:paraId="5C47C34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242040D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1ED00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403584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12A568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912DF0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7AFBA6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311C45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6B36737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2CE4D89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F56BD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CD29B3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C498BF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3B2139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21DFE79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64570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w:t>
            </w:r>
          </w:p>
        </w:tc>
        <w:tc>
          <w:tcPr>
            <w:tcW w:w="1261" w:type="dxa"/>
            <w:vAlign w:val="center"/>
          </w:tcPr>
          <w:p w14:paraId="32EA36D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0635F24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37F57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69B40B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2519B0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52695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7C832A6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4DEA50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w:t>
            </w:r>
          </w:p>
        </w:tc>
        <w:tc>
          <w:tcPr>
            <w:tcW w:w="1261" w:type="dxa"/>
            <w:vAlign w:val="center"/>
          </w:tcPr>
          <w:p w14:paraId="1CB4053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6BF6448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111BE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DDAF68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7259A0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0D8FD8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1A45950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0DA260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0.059</w:t>
            </w:r>
          </w:p>
        </w:tc>
        <w:tc>
          <w:tcPr>
            <w:tcW w:w="1261" w:type="dxa"/>
            <w:vAlign w:val="center"/>
          </w:tcPr>
          <w:p w14:paraId="76EA548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0A60DCA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AB235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D88CC4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FE9DD2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7796CE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6CE2068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8A8313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32</w:t>
            </w:r>
          </w:p>
        </w:tc>
        <w:tc>
          <w:tcPr>
            <w:tcW w:w="1261" w:type="dxa"/>
            <w:vAlign w:val="center"/>
          </w:tcPr>
          <w:p w14:paraId="4C68096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1C61F7F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E95B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BC11A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589DA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03326A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19284A1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E4EEE2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17</w:t>
            </w:r>
          </w:p>
        </w:tc>
        <w:tc>
          <w:tcPr>
            <w:tcW w:w="1261" w:type="dxa"/>
            <w:vAlign w:val="center"/>
          </w:tcPr>
          <w:p w14:paraId="0CD5A8D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5D8C45B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07534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41FB81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restart"/>
            <w:vAlign w:val="center"/>
          </w:tcPr>
          <w:p w14:paraId="0667D5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50-150cm</w:t>
            </w:r>
          </w:p>
        </w:tc>
        <w:tc>
          <w:tcPr>
            <w:tcW w:w="2129" w:type="dxa"/>
            <w:vAlign w:val="center"/>
          </w:tcPr>
          <w:p w14:paraId="2D32156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406DFE5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83026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12.5</w:t>
            </w:r>
          </w:p>
        </w:tc>
        <w:tc>
          <w:tcPr>
            <w:tcW w:w="1261" w:type="dxa"/>
            <w:vAlign w:val="center"/>
          </w:tcPr>
          <w:p w14:paraId="2543A18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79A0F41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4B096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9CBA9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1C452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B51150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7519632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A88332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0.20</w:t>
            </w:r>
          </w:p>
        </w:tc>
        <w:tc>
          <w:tcPr>
            <w:tcW w:w="1261" w:type="dxa"/>
            <w:vAlign w:val="center"/>
          </w:tcPr>
          <w:p w14:paraId="4AAE5D3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42948CE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7A317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C403A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33E636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E05CD6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3F18B31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A9DE77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3BB2F7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5BC3A3B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89B13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F2BA74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F9A23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0FADA7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4A5D02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A9AB0B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19</w:t>
            </w:r>
          </w:p>
        </w:tc>
        <w:tc>
          <w:tcPr>
            <w:tcW w:w="1261" w:type="dxa"/>
            <w:vAlign w:val="center"/>
          </w:tcPr>
          <w:p w14:paraId="2DCD5F7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49C51EC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E670D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DB89F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112EF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8F12B3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1272C6B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E99423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18.9</w:t>
            </w:r>
          </w:p>
        </w:tc>
        <w:tc>
          <w:tcPr>
            <w:tcW w:w="1261" w:type="dxa"/>
            <w:vAlign w:val="center"/>
          </w:tcPr>
          <w:p w14:paraId="333FE14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1FD34C1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35AB51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C16EFF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DE49CA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89F1E3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70E5B95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8F5761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0.056</w:t>
            </w:r>
          </w:p>
        </w:tc>
        <w:tc>
          <w:tcPr>
            <w:tcW w:w="1261" w:type="dxa"/>
            <w:vAlign w:val="center"/>
          </w:tcPr>
          <w:p w14:paraId="41EE2CF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5425D5A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263274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jc w:val="center"/>
        </w:trPr>
        <w:tc>
          <w:tcPr>
            <w:tcW w:w="947" w:type="dxa"/>
            <w:vMerge w:val="continue"/>
            <w:vAlign w:val="center"/>
          </w:tcPr>
          <w:p w14:paraId="7CAEA87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1E41D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0F02B8D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4FCC838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CD719B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32</w:t>
            </w:r>
          </w:p>
        </w:tc>
        <w:tc>
          <w:tcPr>
            <w:tcW w:w="1261" w:type="dxa"/>
            <w:vAlign w:val="center"/>
          </w:tcPr>
          <w:p w14:paraId="6F3EDB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2C6F86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89AE1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89B522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854A5E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2CBFDA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53D5BF9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D3F764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w:t>
            </w:r>
          </w:p>
        </w:tc>
        <w:tc>
          <w:tcPr>
            <w:tcW w:w="1261" w:type="dxa"/>
            <w:vAlign w:val="center"/>
          </w:tcPr>
          <w:p w14:paraId="1E66B78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66DF29F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D4DA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9A5E9A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restart"/>
            <w:vAlign w:val="center"/>
          </w:tcPr>
          <w:p w14:paraId="249297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150-300cm</w:t>
            </w:r>
          </w:p>
        </w:tc>
        <w:tc>
          <w:tcPr>
            <w:tcW w:w="2129" w:type="dxa"/>
            <w:vAlign w:val="center"/>
          </w:tcPr>
          <w:p w14:paraId="45F9F2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73803AD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5058BA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12.5</w:t>
            </w:r>
          </w:p>
        </w:tc>
        <w:tc>
          <w:tcPr>
            <w:tcW w:w="1261" w:type="dxa"/>
            <w:vAlign w:val="center"/>
          </w:tcPr>
          <w:p w14:paraId="76B6FF1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6D932B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C39EA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396AF1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A6A36C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000334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33A9E48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8C1D6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0.08</w:t>
            </w:r>
          </w:p>
        </w:tc>
        <w:tc>
          <w:tcPr>
            <w:tcW w:w="1261" w:type="dxa"/>
            <w:vAlign w:val="center"/>
          </w:tcPr>
          <w:p w14:paraId="3D821C8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5FA08D1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8DEF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EA313B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DFA90E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10BAD3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39D95F7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6607DF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ND</w:t>
            </w:r>
          </w:p>
        </w:tc>
        <w:tc>
          <w:tcPr>
            <w:tcW w:w="1261" w:type="dxa"/>
            <w:vAlign w:val="center"/>
          </w:tcPr>
          <w:p w14:paraId="7BC6C2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19ABDD9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5AB00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4A94E3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D746EB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12806E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6AC7942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D0DA6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261" w:type="dxa"/>
            <w:vAlign w:val="center"/>
          </w:tcPr>
          <w:p w14:paraId="7C3C0A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4272F98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512B2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ADA9A7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497B42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E75465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64899BA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182D40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5.8</w:t>
            </w:r>
          </w:p>
        </w:tc>
        <w:tc>
          <w:tcPr>
            <w:tcW w:w="1261" w:type="dxa"/>
            <w:vAlign w:val="center"/>
          </w:tcPr>
          <w:p w14:paraId="3F490D7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4BA674F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334C8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8569B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DD4AC8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5F675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1E21995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86BD79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0.061</w:t>
            </w:r>
          </w:p>
        </w:tc>
        <w:tc>
          <w:tcPr>
            <w:tcW w:w="1261" w:type="dxa"/>
            <w:vAlign w:val="center"/>
          </w:tcPr>
          <w:p w14:paraId="1838ADD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58011A4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6818D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FFEC91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7F619F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0A7C66A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6A24A1A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6E4005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1261" w:type="dxa"/>
            <w:vAlign w:val="center"/>
          </w:tcPr>
          <w:p w14:paraId="3417ECB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6B78D92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D047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10FA64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732614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7BDA2C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6818BD3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370174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24</w:t>
            </w:r>
          </w:p>
        </w:tc>
        <w:tc>
          <w:tcPr>
            <w:tcW w:w="1261" w:type="dxa"/>
            <w:vAlign w:val="center"/>
          </w:tcPr>
          <w:p w14:paraId="204A579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7E50C21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9758E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restart"/>
            <w:vAlign w:val="center"/>
          </w:tcPr>
          <w:p w14:paraId="04C42B1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厂址范围内■T4</w:t>
            </w:r>
          </w:p>
        </w:tc>
        <w:tc>
          <w:tcPr>
            <w:tcW w:w="900" w:type="dxa"/>
            <w:vMerge w:val="restart"/>
            <w:vAlign w:val="center"/>
          </w:tcPr>
          <w:p w14:paraId="2E2FE98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0-50cm</w:t>
            </w:r>
          </w:p>
        </w:tc>
        <w:tc>
          <w:tcPr>
            <w:tcW w:w="2129" w:type="dxa"/>
            <w:vAlign w:val="center"/>
          </w:tcPr>
          <w:p w14:paraId="2DA6D7E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78C5C74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E74E5B8">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12.6</w:t>
            </w:r>
          </w:p>
        </w:tc>
        <w:tc>
          <w:tcPr>
            <w:tcW w:w="1261" w:type="dxa"/>
            <w:vAlign w:val="center"/>
          </w:tcPr>
          <w:p w14:paraId="11D8DB9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1527A4E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C9DAC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9147D0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8E4ED9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2E295A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201B2FA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2CD0611">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0.28</w:t>
            </w:r>
          </w:p>
        </w:tc>
        <w:tc>
          <w:tcPr>
            <w:tcW w:w="1261" w:type="dxa"/>
            <w:vAlign w:val="center"/>
          </w:tcPr>
          <w:p w14:paraId="6186544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487AD96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1BCE5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041E7A0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E27D0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22E68C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70E5A05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E1FA87B">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N</w:t>
            </w:r>
            <w:r>
              <w:rPr>
                <w:rStyle w:val="65"/>
                <w:rFonts w:hint="default" w:ascii="Times New Roman" w:hAnsi="Times New Roman" w:cs="Times New Roman"/>
                <w:color w:val="auto"/>
                <w:u w:val="none"/>
                <w:lang w:bidi="ar"/>
              </w:rPr>
              <w:t>D</w:t>
            </w:r>
          </w:p>
        </w:tc>
        <w:tc>
          <w:tcPr>
            <w:tcW w:w="1261" w:type="dxa"/>
            <w:vAlign w:val="center"/>
          </w:tcPr>
          <w:p w14:paraId="3B21A6E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09FE2E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2C6FB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A89A1D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C10AEA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DB2CB8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3D65E8B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856D11A">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20</w:t>
            </w:r>
          </w:p>
        </w:tc>
        <w:tc>
          <w:tcPr>
            <w:tcW w:w="1261" w:type="dxa"/>
            <w:vAlign w:val="center"/>
          </w:tcPr>
          <w:p w14:paraId="18E5D9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6CFBDA9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D8098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A7E96F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2154CE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DB0C3D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7231AB8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CA61B18">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7.7</w:t>
            </w:r>
          </w:p>
        </w:tc>
        <w:tc>
          <w:tcPr>
            <w:tcW w:w="1261" w:type="dxa"/>
            <w:vAlign w:val="center"/>
          </w:tcPr>
          <w:p w14:paraId="08FB37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0E75298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8BF13E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95702E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1C9E9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F65032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3577CD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C7CD4A7">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0.058</w:t>
            </w:r>
          </w:p>
        </w:tc>
        <w:tc>
          <w:tcPr>
            <w:tcW w:w="1261" w:type="dxa"/>
            <w:vAlign w:val="center"/>
          </w:tcPr>
          <w:p w14:paraId="5835F45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243BC58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4815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53E744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C3AA47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8EB3BC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11D500D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BA51F0F">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22</w:t>
            </w:r>
          </w:p>
        </w:tc>
        <w:tc>
          <w:tcPr>
            <w:tcW w:w="1261" w:type="dxa"/>
            <w:vAlign w:val="center"/>
          </w:tcPr>
          <w:p w14:paraId="18B601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6D387AA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DE621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EDDE18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1F5DBE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446E7E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110A9C0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3A79FF6B">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20</w:t>
            </w:r>
          </w:p>
        </w:tc>
        <w:tc>
          <w:tcPr>
            <w:tcW w:w="1261" w:type="dxa"/>
            <w:vAlign w:val="center"/>
          </w:tcPr>
          <w:p w14:paraId="4A0FA2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45A3CB4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3333F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C9E597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restart"/>
            <w:vAlign w:val="center"/>
          </w:tcPr>
          <w:p w14:paraId="5AF27F7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50-150cm</w:t>
            </w:r>
          </w:p>
        </w:tc>
        <w:tc>
          <w:tcPr>
            <w:tcW w:w="2129" w:type="dxa"/>
            <w:vAlign w:val="center"/>
          </w:tcPr>
          <w:p w14:paraId="26B5D3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7A1696A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2E147B5">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12.4</w:t>
            </w:r>
          </w:p>
        </w:tc>
        <w:tc>
          <w:tcPr>
            <w:tcW w:w="1261" w:type="dxa"/>
            <w:vAlign w:val="center"/>
          </w:tcPr>
          <w:p w14:paraId="318C380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26117A2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0E82D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46745B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6FCE21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B87EA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464F80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305E2F7">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0.08</w:t>
            </w:r>
          </w:p>
        </w:tc>
        <w:tc>
          <w:tcPr>
            <w:tcW w:w="1261" w:type="dxa"/>
            <w:vAlign w:val="center"/>
          </w:tcPr>
          <w:p w14:paraId="4F8AE9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6A03D6E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3E65C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E47B75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8913E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CE15D7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6A4452C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0A3603A">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ND</w:t>
            </w:r>
          </w:p>
        </w:tc>
        <w:tc>
          <w:tcPr>
            <w:tcW w:w="1261" w:type="dxa"/>
            <w:vAlign w:val="center"/>
          </w:tcPr>
          <w:p w14:paraId="4AA7E50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7E7E9FA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83AC7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909413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D2026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F2B79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20E6B8E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8D78238">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18</w:t>
            </w:r>
          </w:p>
        </w:tc>
        <w:tc>
          <w:tcPr>
            <w:tcW w:w="1261" w:type="dxa"/>
            <w:vAlign w:val="center"/>
          </w:tcPr>
          <w:p w14:paraId="6B57D63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53A98B3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E311F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FD3DC8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5FAD84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3A1788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7BB757E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310FBCC">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10</w:t>
            </w:r>
          </w:p>
        </w:tc>
        <w:tc>
          <w:tcPr>
            <w:tcW w:w="1261" w:type="dxa"/>
            <w:vAlign w:val="center"/>
          </w:tcPr>
          <w:p w14:paraId="0DF7B41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0D817FC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71424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A0B6C4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6731EE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600FA0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2881D8F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C79E53F">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0.06</w:t>
            </w:r>
          </w:p>
        </w:tc>
        <w:tc>
          <w:tcPr>
            <w:tcW w:w="1261" w:type="dxa"/>
            <w:vAlign w:val="center"/>
          </w:tcPr>
          <w:p w14:paraId="154083B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6860FEC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5BE82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655F8D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0E3DD1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C1FDCE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4E0679E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D68827A">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24</w:t>
            </w:r>
          </w:p>
        </w:tc>
        <w:tc>
          <w:tcPr>
            <w:tcW w:w="1261" w:type="dxa"/>
            <w:vAlign w:val="center"/>
          </w:tcPr>
          <w:p w14:paraId="67F7E85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7C6765C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81B5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63B116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951E4D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499172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75EF485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F33B137">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19</w:t>
            </w:r>
          </w:p>
        </w:tc>
        <w:tc>
          <w:tcPr>
            <w:tcW w:w="1261" w:type="dxa"/>
            <w:vAlign w:val="center"/>
          </w:tcPr>
          <w:p w14:paraId="2E1543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15F98E1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08909E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B2644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restart"/>
            <w:vAlign w:val="center"/>
          </w:tcPr>
          <w:p w14:paraId="590254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150-300cm</w:t>
            </w:r>
          </w:p>
        </w:tc>
        <w:tc>
          <w:tcPr>
            <w:tcW w:w="2129" w:type="dxa"/>
            <w:vAlign w:val="center"/>
          </w:tcPr>
          <w:p w14:paraId="591B5EC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4726310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0EA3F27">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12</w:t>
            </w:r>
          </w:p>
        </w:tc>
        <w:tc>
          <w:tcPr>
            <w:tcW w:w="1261" w:type="dxa"/>
            <w:vAlign w:val="center"/>
          </w:tcPr>
          <w:p w14:paraId="4BAEE73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27A4DF5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4F296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8934BB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8CAB2B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341BEB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5936E15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1A3FF0C">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0.03</w:t>
            </w:r>
          </w:p>
        </w:tc>
        <w:tc>
          <w:tcPr>
            <w:tcW w:w="1261" w:type="dxa"/>
            <w:vAlign w:val="center"/>
          </w:tcPr>
          <w:p w14:paraId="3C39429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0434353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941C9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374912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7DC462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1C8698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765C091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249D542">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ND</w:t>
            </w:r>
          </w:p>
        </w:tc>
        <w:tc>
          <w:tcPr>
            <w:tcW w:w="1261" w:type="dxa"/>
            <w:vAlign w:val="center"/>
          </w:tcPr>
          <w:p w14:paraId="280D75C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63E7D87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D1EB1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4DC98F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8AE03B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A00C97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1FB03E5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B87FAC3">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16</w:t>
            </w:r>
          </w:p>
        </w:tc>
        <w:tc>
          <w:tcPr>
            <w:tcW w:w="1261" w:type="dxa"/>
            <w:vAlign w:val="center"/>
          </w:tcPr>
          <w:p w14:paraId="4A9DFA2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47C3BC3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FFE9A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C7E653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751123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281A9C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4227627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8955434">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5.1</w:t>
            </w:r>
          </w:p>
        </w:tc>
        <w:tc>
          <w:tcPr>
            <w:tcW w:w="1261" w:type="dxa"/>
            <w:vAlign w:val="center"/>
          </w:tcPr>
          <w:p w14:paraId="3CB39BA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4DBA00B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D43F8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283" w:hRule="atLeast"/>
          <w:jc w:val="center"/>
        </w:trPr>
        <w:tc>
          <w:tcPr>
            <w:tcW w:w="947" w:type="dxa"/>
            <w:vMerge w:val="continue"/>
            <w:vAlign w:val="center"/>
          </w:tcPr>
          <w:p w14:paraId="375D47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4E05B3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0433B4B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4E191A5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9449761">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0.057</w:t>
            </w:r>
          </w:p>
        </w:tc>
        <w:tc>
          <w:tcPr>
            <w:tcW w:w="1261" w:type="dxa"/>
            <w:vAlign w:val="center"/>
          </w:tcPr>
          <w:p w14:paraId="1AE9319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7FC4BD6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B816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A0B637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4D5911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7AB7AC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2CF2F92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F01B687">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18</w:t>
            </w:r>
          </w:p>
        </w:tc>
        <w:tc>
          <w:tcPr>
            <w:tcW w:w="1261" w:type="dxa"/>
            <w:vAlign w:val="center"/>
          </w:tcPr>
          <w:p w14:paraId="09D9B62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649FC5E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39F0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5BC8FB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EC7E82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42694F4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32269EA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A5E0061">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17</w:t>
            </w:r>
          </w:p>
        </w:tc>
        <w:tc>
          <w:tcPr>
            <w:tcW w:w="1261" w:type="dxa"/>
            <w:vAlign w:val="center"/>
          </w:tcPr>
          <w:p w14:paraId="4C7A625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2FC9FDD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61BF64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restart"/>
            <w:vAlign w:val="center"/>
          </w:tcPr>
          <w:p w14:paraId="38148BF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厂址范围外■T5</w:t>
            </w:r>
          </w:p>
        </w:tc>
        <w:tc>
          <w:tcPr>
            <w:tcW w:w="900" w:type="dxa"/>
            <w:vMerge w:val="restart"/>
            <w:vAlign w:val="center"/>
          </w:tcPr>
          <w:p w14:paraId="671289D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0-20cm</w:t>
            </w:r>
          </w:p>
        </w:tc>
        <w:tc>
          <w:tcPr>
            <w:tcW w:w="2129" w:type="dxa"/>
            <w:vAlign w:val="center"/>
          </w:tcPr>
          <w:p w14:paraId="7637DC5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7CE2D3D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6C387FE">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12. 1</w:t>
            </w:r>
          </w:p>
        </w:tc>
        <w:tc>
          <w:tcPr>
            <w:tcW w:w="1261" w:type="dxa"/>
            <w:vAlign w:val="center"/>
          </w:tcPr>
          <w:p w14:paraId="5191EF9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160E95A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2BF34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5D13D30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1E8DE28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B724C3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75DF661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7E15B818">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0.07</w:t>
            </w:r>
          </w:p>
        </w:tc>
        <w:tc>
          <w:tcPr>
            <w:tcW w:w="1261" w:type="dxa"/>
            <w:vAlign w:val="center"/>
          </w:tcPr>
          <w:p w14:paraId="7731238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54A14C4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5A92D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C74627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2C9A67B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4E8451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1B0FC42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96B937A">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ND</w:t>
            </w:r>
          </w:p>
        </w:tc>
        <w:tc>
          <w:tcPr>
            <w:tcW w:w="1261" w:type="dxa"/>
            <w:vAlign w:val="center"/>
          </w:tcPr>
          <w:p w14:paraId="041D4BB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5C5F9DD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BE371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4312D7D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0EE0C6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8B68B8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3EBFA52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8075199">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19</w:t>
            </w:r>
          </w:p>
        </w:tc>
        <w:tc>
          <w:tcPr>
            <w:tcW w:w="1261" w:type="dxa"/>
            <w:vAlign w:val="center"/>
          </w:tcPr>
          <w:p w14:paraId="733A97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2BE08BF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7F6700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518216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F096C7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7CB98A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7980C06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2C6CBE7E">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6</w:t>
            </w:r>
          </w:p>
        </w:tc>
        <w:tc>
          <w:tcPr>
            <w:tcW w:w="1261" w:type="dxa"/>
            <w:vAlign w:val="center"/>
          </w:tcPr>
          <w:p w14:paraId="7BDA544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165B087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EDB3B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59B3C0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09421C4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2E7C817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684DCFB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6FCF440">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0.055</w:t>
            </w:r>
          </w:p>
        </w:tc>
        <w:tc>
          <w:tcPr>
            <w:tcW w:w="1261" w:type="dxa"/>
            <w:vAlign w:val="center"/>
          </w:tcPr>
          <w:p w14:paraId="5AD5F58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2002863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2F0B34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3CEEEF1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2A2FA4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596758B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776EBAE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6421545">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22</w:t>
            </w:r>
          </w:p>
        </w:tc>
        <w:tc>
          <w:tcPr>
            <w:tcW w:w="1261" w:type="dxa"/>
            <w:vAlign w:val="center"/>
          </w:tcPr>
          <w:p w14:paraId="35BD2B3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4CDE27A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72EF7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A4F0FF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E25A25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F10C3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499C8E9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479C524C">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27</w:t>
            </w:r>
          </w:p>
        </w:tc>
        <w:tc>
          <w:tcPr>
            <w:tcW w:w="1261" w:type="dxa"/>
            <w:vAlign w:val="center"/>
          </w:tcPr>
          <w:p w14:paraId="3760470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6F7FA8A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A85FE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restart"/>
            <w:vAlign w:val="center"/>
          </w:tcPr>
          <w:p w14:paraId="580E037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厂址范围外■T6</w:t>
            </w:r>
          </w:p>
        </w:tc>
        <w:tc>
          <w:tcPr>
            <w:tcW w:w="900" w:type="dxa"/>
            <w:vMerge w:val="restart"/>
            <w:vAlign w:val="center"/>
          </w:tcPr>
          <w:p w14:paraId="7042E60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0-20cm</w:t>
            </w:r>
          </w:p>
        </w:tc>
        <w:tc>
          <w:tcPr>
            <w:tcW w:w="2129" w:type="dxa"/>
            <w:vAlign w:val="center"/>
          </w:tcPr>
          <w:p w14:paraId="224D767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砷</w:t>
            </w:r>
          </w:p>
        </w:tc>
        <w:tc>
          <w:tcPr>
            <w:tcW w:w="1137" w:type="dxa"/>
            <w:vAlign w:val="center"/>
          </w:tcPr>
          <w:p w14:paraId="60970DB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B1A2582">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kern w:val="0"/>
                <w:sz w:val="20"/>
                <w:szCs w:val="20"/>
                <w:u w:val="none"/>
                <w:lang w:bidi="ar"/>
              </w:rPr>
              <w:t>12.2</w:t>
            </w:r>
          </w:p>
        </w:tc>
        <w:tc>
          <w:tcPr>
            <w:tcW w:w="1261" w:type="dxa"/>
            <w:vAlign w:val="center"/>
          </w:tcPr>
          <w:p w14:paraId="5C78B10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w:t>
            </w:r>
          </w:p>
        </w:tc>
        <w:tc>
          <w:tcPr>
            <w:tcW w:w="1250" w:type="dxa"/>
            <w:vAlign w:val="center"/>
          </w:tcPr>
          <w:p w14:paraId="0CEF910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6D0B7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6A865E1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A779BD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7FB2B9D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镉</w:t>
            </w:r>
          </w:p>
        </w:tc>
        <w:tc>
          <w:tcPr>
            <w:tcW w:w="1137" w:type="dxa"/>
            <w:vAlign w:val="center"/>
          </w:tcPr>
          <w:p w14:paraId="6BAC449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1DC84F4B">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0.05</w:t>
            </w:r>
          </w:p>
        </w:tc>
        <w:tc>
          <w:tcPr>
            <w:tcW w:w="1261" w:type="dxa"/>
            <w:vAlign w:val="center"/>
          </w:tcPr>
          <w:p w14:paraId="0AE1EA8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250" w:type="dxa"/>
            <w:vAlign w:val="center"/>
          </w:tcPr>
          <w:p w14:paraId="5475DB7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36809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C4F840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498C6B3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1BBA0C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六价铬</w:t>
            </w:r>
          </w:p>
        </w:tc>
        <w:tc>
          <w:tcPr>
            <w:tcW w:w="1137" w:type="dxa"/>
            <w:vAlign w:val="center"/>
          </w:tcPr>
          <w:p w14:paraId="35DD439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0D0FD59">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ND</w:t>
            </w:r>
          </w:p>
        </w:tc>
        <w:tc>
          <w:tcPr>
            <w:tcW w:w="1261" w:type="dxa"/>
            <w:vAlign w:val="center"/>
          </w:tcPr>
          <w:p w14:paraId="450DB8B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w:t>
            </w:r>
          </w:p>
        </w:tc>
        <w:tc>
          <w:tcPr>
            <w:tcW w:w="1250" w:type="dxa"/>
            <w:vAlign w:val="center"/>
          </w:tcPr>
          <w:p w14:paraId="1DBD3EC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1D1268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D85743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6D4252C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1411DB0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铜</w:t>
            </w:r>
          </w:p>
        </w:tc>
        <w:tc>
          <w:tcPr>
            <w:tcW w:w="1137" w:type="dxa"/>
            <w:vAlign w:val="center"/>
          </w:tcPr>
          <w:p w14:paraId="597228E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52488B05">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18</w:t>
            </w:r>
          </w:p>
        </w:tc>
        <w:tc>
          <w:tcPr>
            <w:tcW w:w="1261" w:type="dxa"/>
            <w:vAlign w:val="center"/>
          </w:tcPr>
          <w:p w14:paraId="624CDF7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250" w:type="dxa"/>
            <w:vAlign w:val="center"/>
          </w:tcPr>
          <w:p w14:paraId="2387A09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2680A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765C2C9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3545A9F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2E7D9B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铅</w:t>
            </w:r>
          </w:p>
        </w:tc>
        <w:tc>
          <w:tcPr>
            <w:tcW w:w="1137" w:type="dxa"/>
            <w:vAlign w:val="center"/>
          </w:tcPr>
          <w:p w14:paraId="0DA00CC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B41404A">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9.7</w:t>
            </w:r>
          </w:p>
        </w:tc>
        <w:tc>
          <w:tcPr>
            <w:tcW w:w="1261" w:type="dxa"/>
            <w:vAlign w:val="center"/>
          </w:tcPr>
          <w:p w14:paraId="795C716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w:t>
            </w:r>
          </w:p>
        </w:tc>
        <w:tc>
          <w:tcPr>
            <w:tcW w:w="1250" w:type="dxa"/>
            <w:vAlign w:val="center"/>
          </w:tcPr>
          <w:p w14:paraId="0D2055A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331A89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B7C81B4">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E12477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38D2D76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汞</w:t>
            </w:r>
          </w:p>
        </w:tc>
        <w:tc>
          <w:tcPr>
            <w:tcW w:w="1137" w:type="dxa"/>
            <w:vAlign w:val="center"/>
          </w:tcPr>
          <w:p w14:paraId="21D7B14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E87EECB">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0.056</w:t>
            </w:r>
          </w:p>
        </w:tc>
        <w:tc>
          <w:tcPr>
            <w:tcW w:w="1261" w:type="dxa"/>
            <w:vAlign w:val="center"/>
          </w:tcPr>
          <w:p w14:paraId="631BAD69">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w:t>
            </w:r>
          </w:p>
        </w:tc>
        <w:tc>
          <w:tcPr>
            <w:tcW w:w="1250" w:type="dxa"/>
            <w:vAlign w:val="center"/>
          </w:tcPr>
          <w:p w14:paraId="550EAB56">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422A96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1037BCB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53C3F7D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064F257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镍</w:t>
            </w:r>
          </w:p>
        </w:tc>
        <w:tc>
          <w:tcPr>
            <w:tcW w:w="1137" w:type="dxa"/>
            <w:vAlign w:val="center"/>
          </w:tcPr>
          <w:p w14:paraId="458FDB6D">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6A8D2DE9">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20</w:t>
            </w:r>
          </w:p>
        </w:tc>
        <w:tc>
          <w:tcPr>
            <w:tcW w:w="1261" w:type="dxa"/>
            <w:vAlign w:val="center"/>
          </w:tcPr>
          <w:p w14:paraId="3E76094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w:t>
            </w:r>
          </w:p>
        </w:tc>
        <w:tc>
          <w:tcPr>
            <w:tcW w:w="1250" w:type="dxa"/>
            <w:vAlign w:val="center"/>
          </w:tcPr>
          <w:p w14:paraId="73A75EC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r w14:paraId="58D256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947" w:type="dxa"/>
            <w:vMerge w:val="continue"/>
            <w:vAlign w:val="center"/>
          </w:tcPr>
          <w:p w14:paraId="29FB28A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900" w:type="dxa"/>
            <w:vMerge w:val="continue"/>
            <w:vAlign w:val="center"/>
          </w:tcPr>
          <w:p w14:paraId="7692664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2129" w:type="dxa"/>
            <w:vAlign w:val="center"/>
          </w:tcPr>
          <w:p w14:paraId="6575CEB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石油烃</w:t>
            </w:r>
          </w:p>
        </w:tc>
        <w:tc>
          <w:tcPr>
            <w:tcW w:w="1137" w:type="dxa"/>
            <w:vAlign w:val="center"/>
          </w:tcPr>
          <w:p w14:paraId="1C54ED4A">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mg/kg</w:t>
            </w:r>
          </w:p>
        </w:tc>
        <w:tc>
          <w:tcPr>
            <w:tcW w:w="1285" w:type="dxa"/>
            <w:vAlign w:val="center"/>
          </w:tcPr>
          <w:p w14:paraId="0C9A5F00">
            <w:pPr>
              <w:keepNext w:val="0"/>
              <w:keepLines w:val="0"/>
              <w:pageBreakBefore w:val="0"/>
              <w:widowControl/>
              <w:kinsoku/>
              <w:wordWrap/>
              <w:overflowPunct/>
              <w:topLinePunct w:val="0"/>
              <w:autoSpaceDE/>
              <w:autoSpaceDN/>
              <w:bidi w:val="0"/>
              <w:adjustRightInd/>
              <w:snapToGrid/>
              <w:spacing w:line="240" w:lineRule="auto"/>
              <w:ind w:firstLine="400"/>
              <w:jc w:val="left"/>
              <w:textAlignment w:val="center"/>
              <w:rPr>
                <w:rFonts w:hint="default" w:ascii="Times New Roman" w:hAnsi="Times New Roman" w:cs="Times New Roman"/>
                <w:color w:val="auto"/>
                <w:u w:val="none"/>
              </w:rPr>
            </w:pPr>
            <w:r>
              <w:rPr>
                <w:rFonts w:hint="default" w:ascii="Times New Roman" w:hAnsi="Times New Roman" w:cs="Times New Roman"/>
                <w:color w:val="auto"/>
                <w:kern w:val="0"/>
                <w:sz w:val="20"/>
                <w:szCs w:val="20"/>
                <w:u w:val="none"/>
                <w:lang w:bidi="ar"/>
              </w:rPr>
              <w:t>19</w:t>
            </w:r>
          </w:p>
        </w:tc>
        <w:tc>
          <w:tcPr>
            <w:tcW w:w="1261" w:type="dxa"/>
            <w:vAlign w:val="center"/>
          </w:tcPr>
          <w:p w14:paraId="1CFE989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w:t>
            </w:r>
          </w:p>
        </w:tc>
        <w:tc>
          <w:tcPr>
            <w:tcW w:w="1250" w:type="dxa"/>
            <w:vAlign w:val="center"/>
          </w:tcPr>
          <w:p w14:paraId="193676A0">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达标</w:t>
            </w:r>
          </w:p>
        </w:tc>
      </w:tr>
    </w:tbl>
    <w:p w14:paraId="2E98B725">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备注：ND为未检出。</w:t>
      </w:r>
    </w:p>
    <w:p w14:paraId="5763B9AA">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由上表可知，项目所在地监测点位T1-T6各监测因子均达到《土壤环境质量建设用地土壤污染风险管控标准（试行）》（GB36600-2018）风险筛选值中的第二类用地的标准限值，项目区域土壤环境质量较好。</w:t>
      </w:r>
    </w:p>
    <w:p w14:paraId="059AB23A">
      <w:pPr>
        <w:pStyle w:val="5"/>
        <w:rPr>
          <w:rFonts w:hint="default" w:ascii="Times New Roman" w:hAnsi="Times New Roman" w:cs="Times New Roman"/>
          <w:color w:val="auto"/>
          <w:u w:val="none"/>
        </w:rPr>
      </w:pPr>
      <w:r>
        <w:rPr>
          <w:rFonts w:hint="default" w:ascii="Times New Roman" w:hAnsi="Times New Roman" w:cs="Times New Roman"/>
          <w:color w:val="auto"/>
          <w:u w:val="none"/>
        </w:rPr>
        <w:t>生态环境现状调查</w:t>
      </w:r>
    </w:p>
    <w:p w14:paraId="2B627C79">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根据生态环境现状调查，评价区域植被数量较多，但种类不丰富，生态系统稳定度和生态恢复能力一般。区域野生动物较少，未发现珍稀濒危物种。评价区域整体水土流失不明显。项目拟建地内植被稀少，无珍稀物种和国家保护物种</w:t>
      </w:r>
      <w:r>
        <w:rPr>
          <w:rFonts w:hint="default" w:ascii="Times New Roman" w:hAnsi="Times New Roman" w:cs="Times New Roman"/>
          <w:color w:val="auto"/>
          <w:u w:val="none"/>
        </w:rPr>
        <w:t>。</w:t>
      </w:r>
    </w:p>
    <w:p w14:paraId="7CFAA998">
      <w:pPr>
        <w:widowControl/>
        <w:ind w:firstLine="480"/>
        <w:jc w:val="left"/>
        <w:rPr>
          <w:rFonts w:hint="default" w:ascii="Times New Roman" w:hAnsi="Times New Roman" w:cs="Times New Roman"/>
          <w:color w:val="FF0000"/>
          <w:u w:val="none"/>
        </w:rPr>
      </w:pPr>
    </w:p>
    <w:p w14:paraId="785D5D2A">
      <w:pPr>
        <w:ind w:firstLine="480"/>
        <w:rPr>
          <w:rFonts w:hint="default" w:ascii="Times New Roman" w:hAnsi="Times New Roman" w:cs="Times New Roman"/>
          <w:color w:val="FF0000"/>
          <w:u w:val="none"/>
        </w:rPr>
      </w:pPr>
    </w:p>
    <w:p w14:paraId="5AA5C454">
      <w:pPr>
        <w:ind w:firstLine="480"/>
        <w:rPr>
          <w:rFonts w:hint="default" w:ascii="Times New Roman" w:hAnsi="Times New Roman" w:cs="Times New Roman"/>
          <w:color w:val="FF0000"/>
          <w:u w:val="none"/>
        </w:rPr>
      </w:pPr>
    </w:p>
    <w:p w14:paraId="3E6D2FB0">
      <w:pPr>
        <w:pStyle w:val="2"/>
        <w:ind w:left="0" w:leftChars="0" w:firstLineChars="0"/>
        <w:rPr>
          <w:rFonts w:hint="default" w:ascii="Times New Roman" w:hAnsi="Times New Roman" w:cs="Times New Roman"/>
          <w:color w:val="auto"/>
          <w:u w:val="none"/>
        </w:rPr>
      </w:pPr>
      <w:bookmarkStart w:id="116" w:name="_Toc3168"/>
      <w:bookmarkStart w:id="117" w:name="_Toc30438"/>
      <w:r>
        <w:rPr>
          <w:rFonts w:hint="default" w:ascii="Times New Roman" w:hAnsi="Times New Roman" w:cs="Times New Roman"/>
          <w:color w:val="auto"/>
          <w:u w:val="none"/>
        </w:rPr>
        <w:t>环境影响预测与评价</w:t>
      </w:r>
      <w:bookmarkEnd w:id="116"/>
      <w:bookmarkEnd w:id="117"/>
    </w:p>
    <w:p w14:paraId="550FFA74">
      <w:pPr>
        <w:pStyle w:val="4"/>
        <w:ind w:left="0" w:leftChars="0" w:firstLineChars="0"/>
        <w:rPr>
          <w:rFonts w:hint="default" w:ascii="Times New Roman" w:hAnsi="Times New Roman" w:cs="Times New Roman"/>
          <w:color w:val="auto"/>
          <w:u w:val="none"/>
        </w:rPr>
      </w:pPr>
      <w:bookmarkStart w:id="118" w:name="_Toc14485"/>
      <w:r>
        <w:rPr>
          <w:rFonts w:hint="default" w:ascii="Times New Roman" w:hAnsi="Times New Roman" w:cs="Times New Roman"/>
          <w:color w:val="auto"/>
          <w:u w:val="none"/>
        </w:rPr>
        <w:t>施工期环境影响分析</w:t>
      </w:r>
      <w:bookmarkEnd w:id="118"/>
    </w:p>
    <w:p w14:paraId="127EF787">
      <w:pPr>
        <w:ind w:firstLine="480"/>
        <w:rPr>
          <w:rFonts w:hint="eastAsia" w:ascii="Times New Roman" w:hAnsi="Times New Roman" w:eastAsia="宋体" w:cs="Times New Roman"/>
          <w:color w:val="auto"/>
          <w:u w:val="none"/>
          <w:lang w:val="en-US" w:eastAsia="zh-CN"/>
        </w:rPr>
      </w:pPr>
      <w:bookmarkStart w:id="119" w:name="_Toc9696"/>
      <w:bookmarkStart w:id="120" w:name="_Toc14728"/>
      <w:bookmarkStart w:id="121" w:name="_Toc6311"/>
      <w:bookmarkStart w:id="122" w:name="_Toc1441"/>
      <w:r>
        <w:rPr>
          <w:rFonts w:hint="default" w:ascii="Times New Roman" w:hAnsi="Times New Roman" w:cs="Times New Roman"/>
          <w:color w:val="auto"/>
          <w:u w:val="none"/>
        </w:rPr>
        <w:t>本次项目</w:t>
      </w:r>
      <w:r>
        <w:rPr>
          <w:rFonts w:hint="eastAsia" w:ascii="Times New Roman" w:hAnsi="Times New Roman" w:cs="Times New Roman"/>
          <w:color w:val="auto"/>
          <w:u w:val="none"/>
          <w:lang w:val="en-US" w:eastAsia="zh-CN"/>
        </w:rPr>
        <w:t>租赁</w:t>
      </w:r>
      <w:r>
        <w:rPr>
          <w:rFonts w:hint="default" w:ascii="Times New Roman" w:hAnsi="Times New Roman" w:cs="Times New Roman"/>
          <w:color w:val="auto"/>
          <w:u w:val="none"/>
        </w:rPr>
        <w:t>现有厂房，不新建主体工程，主要施工内容为设备安装，且项目不新增用地。施工期工程内容简单，施工时间短，故不进行施工期环境影响预测。</w:t>
      </w:r>
      <w:r>
        <w:rPr>
          <w:rFonts w:hint="eastAsia" w:ascii="Times New Roman" w:hAnsi="Times New Roman" w:cs="Times New Roman"/>
          <w:color w:val="auto"/>
          <w:u w:val="none"/>
          <w:lang w:val="en-US" w:eastAsia="zh-CN"/>
        </w:rPr>
        <w:t xml:space="preserve"> </w:t>
      </w:r>
    </w:p>
    <w:bookmarkEnd w:id="119"/>
    <w:bookmarkEnd w:id="120"/>
    <w:bookmarkEnd w:id="121"/>
    <w:bookmarkEnd w:id="122"/>
    <w:p w14:paraId="546FBDF1">
      <w:pPr>
        <w:pStyle w:val="4"/>
        <w:ind w:left="0" w:leftChars="0" w:firstLineChars="0"/>
        <w:rPr>
          <w:rFonts w:hint="default" w:ascii="Times New Roman" w:hAnsi="Times New Roman" w:cs="Times New Roman"/>
          <w:color w:val="auto"/>
          <w:u w:val="none"/>
        </w:rPr>
      </w:pPr>
      <w:bookmarkStart w:id="123" w:name="_Toc13838"/>
      <w:bookmarkStart w:id="124" w:name="_Toc27191"/>
      <w:bookmarkStart w:id="125" w:name="_Toc18950"/>
      <w:r>
        <w:rPr>
          <w:rFonts w:hint="default" w:ascii="Times New Roman" w:hAnsi="Times New Roman" w:cs="Times New Roman"/>
          <w:color w:val="auto"/>
          <w:u w:val="none"/>
        </w:rPr>
        <w:t>营运期环境影响预测及分析</w:t>
      </w:r>
      <w:bookmarkEnd w:id="123"/>
      <w:bookmarkEnd w:id="124"/>
      <w:bookmarkEnd w:id="125"/>
    </w:p>
    <w:p w14:paraId="27A87351">
      <w:pPr>
        <w:pStyle w:val="5"/>
        <w:rPr>
          <w:rFonts w:hint="default" w:ascii="Times New Roman" w:hAnsi="Times New Roman" w:cs="Times New Roman"/>
          <w:color w:val="auto"/>
          <w:u w:val="none"/>
        </w:rPr>
      </w:pPr>
      <w:bookmarkStart w:id="126" w:name="_Toc1776"/>
      <w:r>
        <w:rPr>
          <w:rFonts w:hint="default" w:ascii="Times New Roman" w:hAnsi="Times New Roman" w:cs="Times New Roman"/>
          <w:color w:val="auto"/>
          <w:u w:val="none"/>
        </w:rPr>
        <w:t>营运期大气环境影响分析</w:t>
      </w:r>
      <w:bookmarkEnd w:id="126"/>
    </w:p>
    <w:p w14:paraId="183CCDDC">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基本气象资料</w:t>
      </w:r>
    </w:p>
    <w:p w14:paraId="48F1718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（1）气象资料来源</w:t>
      </w:r>
    </w:p>
    <w:p w14:paraId="6C4B5D8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选址位于岳阳临港高新技术产业开发区，岳阳市气象站位于岳阳市岳阳楼区岳阳市洞庭北路，北纬29°23′，东经113°05′，观测场海拔高度：51.6m。距本项目约12km，是最近的气象站，且地理特征相似，可以用作本项目气象资料使用，采用岳阳市气象站近20年来气象资料。</w:t>
      </w:r>
    </w:p>
    <w:p w14:paraId="64D7A21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（2）气候特征</w:t>
      </w:r>
    </w:p>
    <w:p w14:paraId="6CAF4DC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区域属亚热带湿润气候，冬季寒冷，夏季炎热，春季多雨，秋季干旱，四季分明，常年多雾。年平均气温为17.1℃；最高气温39.3℃；最低气温为-11.8℃。年平均相对湿度78%；年平均降雨量为1302.4mm；常年主导风向为NNE，频率为18%；冬季主导风向为NNE（22%），夏季主导风向为SSE（15%）。</w:t>
      </w:r>
    </w:p>
    <w:p w14:paraId="6708934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（3）地面气象要素</w:t>
      </w:r>
    </w:p>
    <w:p w14:paraId="05DCA9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表6.2-1给出了岳阳市气象站近20年的气温、气压、湿度、降水量、蒸发量等地面气象要素的统计结果。</w:t>
      </w:r>
      <w:bookmarkStart w:id="127" w:name="_Ref237162431"/>
    </w:p>
    <w:p w14:paraId="7FF81DD6">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w:t>
      </w:r>
      <w:bookmarkEnd w:id="127"/>
      <w:r>
        <w:rPr>
          <w:rFonts w:hint="default" w:ascii="Times New Roman" w:hAnsi="Times New Roman" w:cs="Times New Roman"/>
          <w:b/>
          <w:bCs/>
          <w:color w:val="auto"/>
          <w:u w:val="none"/>
        </w:rPr>
        <w:t>6.2-1  常规气象要素统计值</w:t>
      </w:r>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149"/>
        <w:gridCol w:w="1459"/>
        <w:gridCol w:w="1363"/>
        <w:gridCol w:w="1497"/>
        <w:gridCol w:w="1411"/>
        <w:gridCol w:w="1112"/>
      </w:tblGrid>
      <w:tr w14:paraId="4396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12" w:space="0"/>
              <w:left w:val="single" w:color="auto" w:sz="12" w:space="0"/>
              <w:bottom w:val="single" w:color="auto" w:sz="4" w:space="0"/>
              <w:right w:val="single" w:color="auto" w:sz="4" w:space="0"/>
              <w:tl2br w:val="single" w:color="auto" w:sz="4" w:space="0"/>
            </w:tcBorders>
            <w:vAlign w:val="center"/>
          </w:tcPr>
          <w:p w14:paraId="276BA851">
            <w:pPr>
              <w:pStyle w:val="41"/>
              <w:rPr>
                <w:rFonts w:hint="default" w:ascii="Times New Roman" w:hAnsi="Times New Roman" w:cs="Times New Roman"/>
                <w:color w:val="auto"/>
                <w:u w:val="none"/>
              </w:rPr>
            </w:pPr>
            <w:r>
              <w:rPr>
                <w:rFonts w:hint="default" w:ascii="Times New Roman" w:hAnsi="Times New Roman" w:cs="Times New Roman"/>
                <w:color w:val="auto"/>
                <w:u w:val="none"/>
              </w:rPr>
              <w:t>项目</w:t>
            </w:r>
          </w:p>
          <w:p w14:paraId="75C7D762">
            <w:pPr>
              <w:pStyle w:val="41"/>
              <w:rPr>
                <w:rFonts w:hint="default" w:ascii="Times New Roman" w:hAnsi="Times New Roman" w:cs="Times New Roman"/>
                <w:color w:val="auto"/>
                <w:u w:val="none"/>
              </w:rPr>
            </w:pPr>
            <w:r>
              <w:rPr>
                <w:rFonts w:hint="default" w:ascii="Times New Roman" w:hAnsi="Times New Roman" w:cs="Times New Roman"/>
                <w:color w:val="auto"/>
                <w:u w:val="none"/>
              </w:rPr>
              <w:t>月份</w:t>
            </w:r>
          </w:p>
        </w:tc>
        <w:tc>
          <w:tcPr>
            <w:tcW w:w="1111" w:type="dxa"/>
            <w:tcBorders>
              <w:top w:val="single" w:color="auto" w:sz="12" w:space="0"/>
              <w:left w:val="single" w:color="auto" w:sz="4" w:space="0"/>
              <w:bottom w:val="single" w:color="auto" w:sz="4" w:space="0"/>
              <w:right w:val="single" w:color="auto" w:sz="4" w:space="0"/>
            </w:tcBorders>
            <w:vAlign w:val="center"/>
          </w:tcPr>
          <w:p w14:paraId="53FE7500">
            <w:pPr>
              <w:pStyle w:val="41"/>
              <w:rPr>
                <w:rFonts w:hint="default" w:ascii="Times New Roman" w:hAnsi="Times New Roman" w:cs="Times New Roman"/>
                <w:color w:val="auto"/>
                <w:u w:val="none"/>
              </w:rPr>
            </w:pPr>
            <w:r>
              <w:rPr>
                <w:rFonts w:hint="default" w:ascii="Times New Roman" w:hAnsi="Times New Roman" w:cs="Times New Roman"/>
                <w:color w:val="auto"/>
                <w:u w:val="none"/>
              </w:rPr>
              <w:t>平均气温℃</w:t>
            </w:r>
          </w:p>
        </w:tc>
        <w:tc>
          <w:tcPr>
            <w:tcW w:w="1411" w:type="dxa"/>
            <w:tcBorders>
              <w:top w:val="single" w:color="auto" w:sz="12" w:space="0"/>
              <w:left w:val="single" w:color="auto" w:sz="4" w:space="0"/>
              <w:bottom w:val="single" w:color="auto" w:sz="4" w:space="0"/>
              <w:right w:val="single" w:color="auto" w:sz="4" w:space="0"/>
            </w:tcBorders>
            <w:vAlign w:val="center"/>
          </w:tcPr>
          <w:p w14:paraId="48C9EA40">
            <w:pPr>
              <w:pStyle w:val="41"/>
              <w:rPr>
                <w:rFonts w:hint="default" w:ascii="Times New Roman" w:hAnsi="Times New Roman" w:cs="Times New Roman"/>
                <w:color w:val="auto"/>
                <w:u w:val="none"/>
              </w:rPr>
            </w:pPr>
            <w:r>
              <w:rPr>
                <w:rFonts w:hint="default" w:ascii="Times New Roman" w:hAnsi="Times New Roman" w:cs="Times New Roman"/>
                <w:color w:val="auto"/>
                <w:u w:val="none"/>
              </w:rPr>
              <w:t>平均气压hpa</w:t>
            </w:r>
          </w:p>
        </w:tc>
        <w:tc>
          <w:tcPr>
            <w:tcW w:w="1318" w:type="dxa"/>
            <w:tcBorders>
              <w:top w:val="single" w:color="auto" w:sz="12" w:space="0"/>
              <w:left w:val="single" w:color="auto" w:sz="4" w:space="0"/>
              <w:bottom w:val="single" w:color="auto" w:sz="4" w:space="0"/>
              <w:right w:val="single" w:color="auto" w:sz="4" w:space="0"/>
            </w:tcBorders>
            <w:vAlign w:val="center"/>
          </w:tcPr>
          <w:p w14:paraId="34C557AE">
            <w:pPr>
              <w:pStyle w:val="41"/>
              <w:rPr>
                <w:rFonts w:hint="default" w:ascii="Times New Roman" w:hAnsi="Times New Roman" w:cs="Times New Roman"/>
                <w:color w:val="auto"/>
                <w:u w:val="none"/>
              </w:rPr>
            </w:pPr>
            <w:r>
              <w:rPr>
                <w:rFonts w:hint="default" w:ascii="Times New Roman" w:hAnsi="Times New Roman" w:cs="Times New Roman"/>
                <w:color w:val="auto"/>
                <w:u w:val="none"/>
              </w:rPr>
              <w:t>平均相对湿度%</w:t>
            </w:r>
          </w:p>
        </w:tc>
        <w:tc>
          <w:tcPr>
            <w:tcW w:w="1448" w:type="dxa"/>
            <w:tcBorders>
              <w:top w:val="single" w:color="auto" w:sz="12" w:space="0"/>
              <w:left w:val="single" w:color="auto" w:sz="4" w:space="0"/>
              <w:bottom w:val="single" w:color="auto" w:sz="4" w:space="0"/>
              <w:right w:val="single" w:color="auto" w:sz="4" w:space="0"/>
            </w:tcBorders>
            <w:vAlign w:val="center"/>
          </w:tcPr>
          <w:p w14:paraId="3B761B8E">
            <w:pPr>
              <w:pStyle w:val="41"/>
              <w:rPr>
                <w:rFonts w:hint="default" w:ascii="Times New Roman" w:hAnsi="Times New Roman" w:cs="Times New Roman"/>
                <w:color w:val="auto"/>
                <w:u w:val="none"/>
              </w:rPr>
            </w:pPr>
            <w:r>
              <w:rPr>
                <w:rFonts w:hint="default" w:ascii="Times New Roman" w:hAnsi="Times New Roman" w:cs="Times New Roman"/>
                <w:color w:val="auto"/>
                <w:u w:val="none"/>
              </w:rPr>
              <w:t>平均降水量mm</w:t>
            </w:r>
          </w:p>
        </w:tc>
        <w:tc>
          <w:tcPr>
            <w:tcW w:w="1365" w:type="dxa"/>
            <w:tcBorders>
              <w:top w:val="single" w:color="auto" w:sz="12" w:space="0"/>
              <w:left w:val="single" w:color="auto" w:sz="4" w:space="0"/>
              <w:bottom w:val="single" w:color="auto" w:sz="4" w:space="0"/>
              <w:right w:val="single" w:color="auto" w:sz="4" w:space="0"/>
            </w:tcBorders>
            <w:vAlign w:val="center"/>
          </w:tcPr>
          <w:p w14:paraId="6A3D3B29">
            <w:pPr>
              <w:pStyle w:val="41"/>
              <w:rPr>
                <w:rFonts w:hint="default" w:ascii="Times New Roman" w:hAnsi="Times New Roman" w:cs="Times New Roman"/>
                <w:color w:val="auto"/>
                <w:u w:val="none"/>
              </w:rPr>
            </w:pPr>
            <w:r>
              <w:rPr>
                <w:rFonts w:hint="default" w:ascii="Times New Roman" w:hAnsi="Times New Roman" w:cs="Times New Roman"/>
                <w:color w:val="auto"/>
                <w:u w:val="none"/>
              </w:rPr>
              <w:t>平均蒸发量mm</w:t>
            </w:r>
          </w:p>
        </w:tc>
        <w:tc>
          <w:tcPr>
            <w:tcW w:w="1076" w:type="dxa"/>
            <w:tcBorders>
              <w:top w:val="single" w:color="auto" w:sz="12" w:space="0"/>
              <w:left w:val="single" w:color="auto" w:sz="4" w:space="0"/>
              <w:bottom w:val="single" w:color="auto" w:sz="4" w:space="0"/>
              <w:right w:val="single" w:color="auto" w:sz="12" w:space="0"/>
            </w:tcBorders>
            <w:vAlign w:val="center"/>
          </w:tcPr>
          <w:p w14:paraId="6836D29D">
            <w:pPr>
              <w:pStyle w:val="41"/>
              <w:rPr>
                <w:rFonts w:hint="default" w:ascii="Times New Roman" w:hAnsi="Times New Roman" w:cs="Times New Roman"/>
                <w:color w:val="auto"/>
                <w:u w:val="none"/>
              </w:rPr>
            </w:pPr>
            <w:r>
              <w:rPr>
                <w:rFonts w:hint="default" w:ascii="Times New Roman" w:hAnsi="Times New Roman" w:cs="Times New Roman"/>
                <w:color w:val="auto"/>
                <w:u w:val="none"/>
              </w:rPr>
              <w:t>平均风速</w:t>
            </w:r>
          </w:p>
        </w:tc>
      </w:tr>
      <w:tr w14:paraId="399C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60FE83A8">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111" w:type="dxa"/>
            <w:tcBorders>
              <w:top w:val="single" w:color="auto" w:sz="4" w:space="0"/>
              <w:left w:val="single" w:color="auto" w:sz="4" w:space="0"/>
              <w:bottom w:val="single" w:color="auto" w:sz="4" w:space="0"/>
              <w:right w:val="single" w:color="auto" w:sz="4" w:space="0"/>
            </w:tcBorders>
            <w:vAlign w:val="center"/>
          </w:tcPr>
          <w:p w14:paraId="165245B4">
            <w:pPr>
              <w:pStyle w:val="41"/>
              <w:rPr>
                <w:rFonts w:hint="default" w:ascii="Times New Roman" w:hAnsi="Times New Roman" w:cs="Times New Roman"/>
                <w:color w:val="auto"/>
                <w:u w:val="none"/>
              </w:rPr>
            </w:pPr>
            <w:r>
              <w:rPr>
                <w:rFonts w:hint="default" w:ascii="Times New Roman" w:hAnsi="Times New Roman" w:cs="Times New Roman"/>
                <w:color w:val="auto"/>
                <w:u w:val="none"/>
              </w:rPr>
              <w:t>5.3</w:t>
            </w:r>
          </w:p>
        </w:tc>
        <w:tc>
          <w:tcPr>
            <w:tcW w:w="1411" w:type="dxa"/>
            <w:tcBorders>
              <w:top w:val="single" w:color="auto" w:sz="4" w:space="0"/>
              <w:left w:val="single" w:color="auto" w:sz="4" w:space="0"/>
              <w:bottom w:val="single" w:color="auto" w:sz="4" w:space="0"/>
              <w:right w:val="single" w:color="auto" w:sz="4" w:space="0"/>
            </w:tcBorders>
            <w:vAlign w:val="center"/>
          </w:tcPr>
          <w:p w14:paraId="3581BE3E">
            <w:pPr>
              <w:pStyle w:val="41"/>
              <w:rPr>
                <w:rFonts w:hint="default" w:ascii="Times New Roman" w:hAnsi="Times New Roman" w:cs="Times New Roman"/>
                <w:color w:val="auto"/>
                <w:u w:val="none"/>
              </w:rPr>
            </w:pPr>
            <w:r>
              <w:rPr>
                <w:rFonts w:hint="default" w:ascii="Times New Roman" w:hAnsi="Times New Roman" w:cs="Times New Roman"/>
                <w:color w:val="auto"/>
                <w:u w:val="none"/>
              </w:rPr>
              <w:t>985.9</w:t>
            </w:r>
          </w:p>
        </w:tc>
        <w:tc>
          <w:tcPr>
            <w:tcW w:w="1318" w:type="dxa"/>
            <w:tcBorders>
              <w:top w:val="single" w:color="auto" w:sz="4" w:space="0"/>
              <w:left w:val="single" w:color="auto" w:sz="4" w:space="0"/>
              <w:bottom w:val="single" w:color="auto" w:sz="4" w:space="0"/>
              <w:right w:val="single" w:color="auto" w:sz="4" w:space="0"/>
            </w:tcBorders>
            <w:vAlign w:val="center"/>
          </w:tcPr>
          <w:p w14:paraId="3ECAFE6A">
            <w:pPr>
              <w:pStyle w:val="41"/>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1448" w:type="dxa"/>
            <w:tcBorders>
              <w:top w:val="single" w:color="auto" w:sz="4" w:space="0"/>
              <w:left w:val="single" w:color="auto" w:sz="4" w:space="0"/>
              <w:bottom w:val="single" w:color="auto" w:sz="4" w:space="0"/>
              <w:right w:val="single" w:color="auto" w:sz="4" w:space="0"/>
            </w:tcBorders>
            <w:vAlign w:val="center"/>
          </w:tcPr>
          <w:p w14:paraId="432A138F">
            <w:pPr>
              <w:pStyle w:val="41"/>
              <w:rPr>
                <w:rFonts w:hint="default" w:ascii="Times New Roman" w:hAnsi="Times New Roman" w:cs="Times New Roman"/>
                <w:color w:val="auto"/>
                <w:u w:val="none"/>
              </w:rPr>
            </w:pPr>
            <w:r>
              <w:rPr>
                <w:rFonts w:hint="default" w:ascii="Times New Roman" w:hAnsi="Times New Roman" w:cs="Times New Roman"/>
                <w:color w:val="auto"/>
                <w:u w:val="none"/>
              </w:rPr>
              <w:t>79.3</w:t>
            </w:r>
          </w:p>
        </w:tc>
        <w:tc>
          <w:tcPr>
            <w:tcW w:w="1365" w:type="dxa"/>
            <w:tcBorders>
              <w:top w:val="single" w:color="auto" w:sz="4" w:space="0"/>
              <w:left w:val="single" w:color="auto" w:sz="4" w:space="0"/>
              <w:bottom w:val="single" w:color="auto" w:sz="4" w:space="0"/>
              <w:right w:val="single" w:color="auto" w:sz="4" w:space="0"/>
            </w:tcBorders>
            <w:vAlign w:val="center"/>
          </w:tcPr>
          <w:p w14:paraId="3EA5C56B">
            <w:pPr>
              <w:pStyle w:val="41"/>
              <w:rPr>
                <w:rFonts w:hint="default" w:ascii="Times New Roman" w:hAnsi="Times New Roman" w:cs="Times New Roman"/>
                <w:color w:val="auto"/>
                <w:u w:val="none"/>
              </w:rPr>
            </w:pPr>
            <w:r>
              <w:rPr>
                <w:rFonts w:hint="default" w:ascii="Times New Roman" w:hAnsi="Times New Roman" w:cs="Times New Roman"/>
                <w:color w:val="auto"/>
                <w:u w:val="none"/>
              </w:rPr>
              <w:t>45.1</w:t>
            </w:r>
          </w:p>
        </w:tc>
        <w:tc>
          <w:tcPr>
            <w:tcW w:w="1076" w:type="dxa"/>
            <w:tcBorders>
              <w:top w:val="single" w:color="auto" w:sz="4" w:space="0"/>
              <w:left w:val="single" w:color="auto" w:sz="4" w:space="0"/>
              <w:bottom w:val="single" w:color="auto" w:sz="4" w:space="0"/>
              <w:right w:val="single" w:color="auto" w:sz="12" w:space="0"/>
            </w:tcBorders>
            <w:vAlign w:val="center"/>
          </w:tcPr>
          <w:p w14:paraId="55A3B566">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r>
      <w:tr w14:paraId="487B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2A8AF918">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111" w:type="dxa"/>
            <w:tcBorders>
              <w:top w:val="single" w:color="auto" w:sz="4" w:space="0"/>
              <w:left w:val="single" w:color="auto" w:sz="4" w:space="0"/>
              <w:bottom w:val="single" w:color="auto" w:sz="4" w:space="0"/>
              <w:right w:val="single" w:color="auto" w:sz="4" w:space="0"/>
            </w:tcBorders>
            <w:vAlign w:val="center"/>
          </w:tcPr>
          <w:p w14:paraId="4258CB19">
            <w:pPr>
              <w:pStyle w:val="41"/>
              <w:rPr>
                <w:rFonts w:hint="default" w:ascii="Times New Roman" w:hAnsi="Times New Roman" w:cs="Times New Roman"/>
                <w:color w:val="auto"/>
                <w:u w:val="none"/>
              </w:rPr>
            </w:pPr>
            <w:r>
              <w:rPr>
                <w:rFonts w:hint="default" w:ascii="Times New Roman" w:hAnsi="Times New Roman" w:cs="Times New Roman"/>
                <w:color w:val="auto"/>
                <w:u w:val="none"/>
              </w:rPr>
              <w:t>7.1</w:t>
            </w:r>
          </w:p>
        </w:tc>
        <w:tc>
          <w:tcPr>
            <w:tcW w:w="1411" w:type="dxa"/>
            <w:tcBorders>
              <w:top w:val="single" w:color="auto" w:sz="4" w:space="0"/>
              <w:left w:val="single" w:color="auto" w:sz="4" w:space="0"/>
              <w:bottom w:val="single" w:color="auto" w:sz="4" w:space="0"/>
              <w:right w:val="single" w:color="auto" w:sz="4" w:space="0"/>
            </w:tcBorders>
            <w:vAlign w:val="center"/>
          </w:tcPr>
          <w:p w14:paraId="6C7FC902">
            <w:pPr>
              <w:pStyle w:val="41"/>
              <w:rPr>
                <w:rFonts w:hint="default" w:ascii="Times New Roman" w:hAnsi="Times New Roman" w:cs="Times New Roman"/>
                <w:color w:val="auto"/>
                <w:u w:val="none"/>
              </w:rPr>
            </w:pPr>
            <w:r>
              <w:rPr>
                <w:rFonts w:hint="default" w:ascii="Times New Roman" w:hAnsi="Times New Roman" w:cs="Times New Roman"/>
                <w:color w:val="auto"/>
                <w:u w:val="none"/>
              </w:rPr>
              <w:t>983.6</w:t>
            </w:r>
          </w:p>
        </w:tc>
        <w:tc>
          <w:tcPr>
            <w:tcW w:w="1318" w:type="dxa"/>
            <w:tcBorders>
              <w:top w:val="single" w:color="auto" w:sz="4" w:space="0"/>
              <w:left w:val="single" w:color="auto" w:sz="4" w:space="0"/>
              <w:bottom w:val="single" w:color="auto" w:sz="4" w:space="0"/>
              <w:right w:val="single" w:color="auto" w:sz="4" w:space="0"/>
            </w:tcBorders>
            <w:vAlign w:val="center"/>
          </w:tcPr>
          <w:p w14:paraId="22FCF042">
            <w:pPr>
              <w:pStyle w:val="41"/>
              <w:rPr>
                <w:rFonts w:hint="default" w:ascii="Times New Roman" w:hAnsi="Times New Roman" w:cs="Times New Roman"/>
                <w:color w:val="auto"/>
                <w:u w:val="none"/>
              </w:rPr>
            </w:pPr>
            <w:r>
              <w:rPr>
                <w:rFonts w:hint="default" w:ascii="Times New Roman" w:hAnsi="Times New Roman" w:cs="Times New Roman"/>
                <w:color w:val="auto"/>
                <w:u w:val="none"/>
              </w:rPr>
              <w:t>85</w:t>
            </w:r>
          </w:p>
        </w:tc>
        <w:tc>
          <w:tcPr>
            <w:tcW w:w="1448" w:type="dxa"/>
            <w:tcBorders>
              <w:top w:val="single" w:color="auto" w:sz="4" w:space="0"/>
              <w:left w:val="single" w:color="auto" w:sz="4" w:space="0"/>
              <w:bottom w:val="single" w:color="auto" w:sz="4" w:space="0"/>
              <w:right w:val="single" w:color="auto" w:sz="4" w:space="0"/>
            </w:tcBorders>
            <w:vAlign w:val="center"/>
          </w:tcPr>
          <w:p w14:paraId="0705D9E8">
            <w:pPr>
              <w:pStyle w:val="41"/>
              <w:rPr>
                <w:rFonts w:hint="default" w:ascii="Times New Roman" w:hAnsi="Times New Roman" w:cs="Times New Roman"/>
                <w:color w:val="auto"/>
                <w:u w:val="none"/>
              </w:rPr>
            </w:pPr>
            <w:r>
              <w:rPr>
                <w:rFonts w:hint="default" w:ascii="Times New Roman" w:hAnsi="Times New Roman" w:cs="Times New Roman"/>
                <w:color w:val="auto"/>
                <w:u w:val="none"/>
              </w:rPr>
              <w:t>110.5</w:t>
            </w:r>
          </w:p>
        </w:tc>
        <w:tc>
          <w:tcPr>
            <w:tcW w:w="1365" w:type="dxa"/>
            <w:tcBorders>
              <w:top w:val="single" w:color="auto" w:sz="4" w:space="0"/>
              <w:left w:val="single" w:color="auto" w:sz="4" w:space="0"/>
              <w:bottom w:val="single" w:color="auto" w:sz="4" w:space="0"/>
              <w:right w:val="single" w:color="auto" w:sz="4" w:space="0"/>
            </w:tcBorders>
            <w:vAlign w:val="center"/>
          </w:tcPr>
          <w:p w14:paraId="770927FC">
            <w:pPr>
              <w:pStyle w:val="41"/>
              <w:rPr>
                <w:rFonts w:hint="default" w:ascii="Times New Roman" w:hAnsi="Times New Roman" w:cs="Times New Roman"/>
                <w:color w:val="auto"/>
                <w:u w:val="none"/>
              </w:rPr>
            </w:pPr>
            <w:r>
              <w:rPr>
                <w:rFonts w:hint="default" w:ascii="Times New Roman" w:hAnsi="Times New Roman" w:cs="Times New Roman"/>
                <w:color w:val="auto"/>
                <w:u w:val="none"/>
              </w:rPr>
              <w:t>51.3</w:t>
            </w:r>
          </w:p>
        </w:tc>
        <w:tc>
          <w:tcPr>
            <w:tcW w:w="1076" w:type="dxa"/>
            <w:tcBorders>
              <w:top w:val="single" w:color="auto" w:sz="4" w:space="0"/>
              <w:left w:val="single" w:color="auto" w:sz="4" w:space="0"/>
              <w:bottom w:val="single" w:color="auto" w:sz="4" w:space="0"/>
              <w:right w:val="single" w:color="auto" w:sz="12" w:space="0"/>
            </w:tcBorders>
            <w:vAlign w:val="center"/>
          </w:tcPr>
          <w:p w14:paraId="0E6F0C75">
            <w:pPr>
              <w:pStyle w:val="41"/>
              <w:rPr>
                <w:rFonts w:hint="default" w:ascii="Times New Roman" w:hAnsi="Times New Roman" w:cs="Times New Roman"/>
                <w:color w:val="auto"/>
                <w:u w:val="none"/>
              </w:rPr>
            </w:pPr>
            <w:r>
              <w:rPr>
                <w:rFonts w:hint="default" w:ascii="Times New Roman" w:hAnsi="Times New Roman" w:cs="Times New Roman"/>
                <w:color w:val="auto"/>
                <w:u w:val="none"/>
              </w:rPr>
              <w:t>2.9</w:t>
            </w:r>
          </w:p>
        </w:tc>
      </w:tr>
      <w:tr w14:paraId="0534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1AB07A00">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1111" w:type="dxa"/>
            <w:tcBorders>
              <w:top w:val="single" w:color="auto" w:sz="4" w:space="0"/>
              <w:left w:val="single" w:color="auto" w:sz="4" w:space="0"/>
              <w:bottom w:val="single" w:color="auto" w:sz="4" w:space="0"/>
              <w:right w:val="single" w:color="auto" w:sz="4" w:space="0"/>
            </w:tcBorders>
            <w:vAlign w:val="center"/>
          </w:tcPr>
          <w:p w14:paraId="4D2ABB0A">
            <w:pPr>
              <w:pStyle w:val="41"/>
              <w:rPr>
                <w:rFonts w:hint="default" w:ascii="Times New Roman" w:hAnsi="Times New Roman" w:cs="Times New Roman"/>
                <w:color w:val="auto"/>
                <w:u w:val="none"/>
              </w:rPr>
            </w:pPr>
            <w:r>
              <w:rPr>
                <w:rFonts w:hint="default" w:ascii="Times New Roman" w:hAnsi="Times New Roman" w:cs="Times New Roman"/>
                <w:color w:val="auto"/>
                <w:u w:val="none"/>
              </w:rPr>
              <w:t>11.1</w:t>
            </w:r>
          </w:p>
        </w:tc>
        <w:tc>
          <w:tcPr>
            <w:tcW w:w="1411" w:type="dxa"/>
            <w:tcBorders>
              <w:top w:val="single" w:color="auto" w:sz="4" w:space="0"/>
              <w:left w:val="single" w:color="auto" w:sz="4" w:space="0"/>
              <w:bottom w:val="single" w:color="auto" w:sz="4" w:space="0"/>
              <w:right w:val="single" w:color="auto" w:sz="4" w:space="0"/>
            </w:tcBorders>
            <w:vAlign w:val="center"/>
          </w:tcPr>
          <w:p w14:paraId="7558CF6F">
            <w:pPr>
              <w:pStyle w:val="41"/>
              <w:rPr>
                <w:rFonts w:hint="default" w:ascii="Times New Roman" w:hAnsi="Times New Roman" w:cs="Times New Roman"/>
                <w:color w:val="auto"/>
                <w:u w:val="none"/>
              </w:rPr>
            </w:pPr>
            <w:r>
              <w:rPr>
                <w:rFonts w:hint="default" w:ascii="Times New Roman" w:hAnsi="Times New Roman" w:cs="Times New Roman"/>
                <w:color w:val="auto"/>
                <w:u w:val="none"/>
              </w:rPr>
              <w:t>980.4</w:t>
            </w:r>
          </w:p>
        </w:tc>
        <w:tc>
          <w:tcPr>
            <w:tcW w:w="1318" w:type="dxa"/>
            <w:tcBorders>
              <w:top w:val="single" w:color="auto" w:sz="4" w:space="0"/>
              <w:left w:val="single" w:color="auto" w:sz="4" w:space="0"/>
              <w:bottom w:val="single" w:color="auto" w:sz="4" w:space="0"/>
              <w:right w:val="single" w:color="auto" w:sz="4" w:space="0"/>
            </w:tcBorders>
            <w:vAlign w:val="center"/>
          </w:tcPr>
          <w:p w14:paraId="796E99D4">
            <w:pPr>
              <w:pStyle w:val="41"/>
              <w:rPr>
                <w:rFonts w:hint="default" w:ascii="Times New Roman" w:hAnsi="Times New Roman" w:cs="Times New Roman"/>
                <w:color w:val="auto"/>
                <w:u w:val="none"/>
              </w:rPr>
            </w:pPr>
            <w:r>
              <w:rPr>
                <w:rFonts w:hint="default" w:ascii="Times New Roman" w:hAnsi="Times New Roman" w:cs="Times New Roman"/>
                <w:color w:val="auto"/>
                <w:u w:val="none"/>
              </w:rPr>
              <w:t>86</w:t>
            </w:r>
          </w:p>
        </w:tc>
        <w:tc>
          <w:tcPr>
            <w:tcW w:w="1448" w:type="dxa"/>
            <w:tcBorders>
              <w:top w:val="single" w:color="auto" w:sz="4" w:space="0"/>
              <w:left w:val="single" w:color="auto" w:sz="4" w:space="0"/>
              <w:bottom w:val="single" w:color="auto" w:sz="4" w:space="0"/>
              <w:right w:val="single" w:color="auto" w:sz="4" w:space="0"/>
            </w:tcBorders>
            <w:vAlign w:val="center"/>
          </w:tcPr>
          <w:p w14:paraId="190273BA">
            <w:pPr>
              <w:pStyle w:val="41"/>
              <w:rPr>
                <w:rFonts w:hint="default" w:ascii="Times New Roman" w:hAnsi="Times New Roman" w:cs="Times New Roman"/>
                <w:color w:val="auto"/>
                <w:u w:val="none"/>
              </w:rPr>
            </w:pPr>
            <w:r>
              <w:rPr>
                <w:rFonts w:hint="default" w:ascii="Times New Roman" w:hAnsi="Times New Roman" w:cs="Times New Roman"/>
                <w:color w:val="auto"/>
                <w:u w:val="none"/>
              </w:rPr>
              <w:t>151.4</w:t>
            </w:r>
          </w:p>
        </w:tc>
        <w:tc>
          <w:tcPr>
            <w:tcW w:w="1365" w:type="dxa"/>
            <w:tcBorders>
              <w:top w:val="single" w:color="auto" w:sz="4" w:space="0"/>
              <w:left w:val="single" w:color="auto" w:sz="4" w:space="0"/>
              <w:bottom w:val="single" w:color="auto" w:sz="4" w:space="0"/>
              <w:right w:val="single" w:color="auto" w:sz="4" w:space="0"/>
            </w:tcBorders>
            <w:vAlign w:val="center"/>
          </w:tcPr>
          <w:p w14:paraId="2F470C69">
            <w:pPr>
              <w:pStyle w:val="41"/>
              <w:rPr>
                <w:rFonts w:hint="default" w:ascii="Times New Roman" w:hAnsi="Times New Roman" w:cs="Times New Roman"/>
                <w:color w:val="auto"/>
                <w:u w:val="none"/>
              </w:rPr>
            </w:pPr>
            <w:r>
              <w:rPr>
                <w:rFonts w:hint="default" w:ascii="Times New Roman" w:hAnsi="Times New Roman" w:cs="Times New Roman"/>
                <w:color w:val="auto"/>
                <w:u w:val="none"/>
              </w:rPr>
              <w:t>73.9</w:t>
            </w:r>
          </w:p>
        </w:tc>
        <w:tc>
          <w:tcPr>
            <w:tcW w:w="1076" w:type="dxa"/>
            <w:tcBorders>
              <w:top w:val="single" w:color="auto" w:sz="4" w:space="0"/>
              <w:left w:val="single" w:color="auto" w:sz="4" w:space="0"/>
              <w:bottom w:val="single" w:color="auto" w:sz="4" w:space="0"/>
              <w:right w:val="single" w:color="auto" w:sz="12" w:space="0"/>
            </w:tcBorders>
            <w:vAlign w:val="center"/>
          </w:tcPr>
          <w:p w14:paraId="2DD1FE3A">
            <w:pPr>
              <w:pStyle w:val="41"/>
              <w:rPr>
                <w:rFonts w:hint="default" w:ascii="Times New Roman" w:hAnsi="Times New Roman" w:cs="Times New Roman"/>
                <w:color w:val="auto"/>
                <w:u w:val="none"/>
              </w:rPr>
            </w:pPr>
            <w:r>
              <w:rPr>
                <w:rFonts w:hint="default" w:ascii="Times New Roman" w:hAnsi="Times New Roman" w:cs="Times New Roman"/>
                <w:color w:val="auto"/>
                <w:u w:val="none"/>
              </w:rPr>
              <w:t>3.1</w:t>
            </w:r>
          </w:p>
        </w:tc>
      </w:tr>
      <w:tr w14:paraId="011EF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0A408820">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1111" w:type="dxa"/>
            <w:tcBorders>
              <w:top w:val="single" w:color="auto" w:sz="4" w:space="0"/>
              <w:left w:val="single" w:color="auto" w:sz="4" w:space="0"/>
              <w:bottom w:val="single" w:color="auto" w:sz="4" w:space="0"/>
              <w:right w:val="single" w:color="auto" w:sz="4" w:space="0"/>
            </w:tcBorders>
            <w:vAlign w:val="center"/>
          </w:tcPr>
          <w:p w14:paraId="33D9E425">
            <w:pPr>
              <w:pStyle w:val="41"/>
              <w:rPr>
                <w:rFonts w:hint="default" w:ascii="Times New Roman" w:hAnsi="Times New Roman" w:cs="Times New Roman"/>
                <w:color w:val="auto"/>
                <w:u w:val="none"/>
              </w:rPr>
            </w:pPr>
            <w:r>
              <w:rPr>
                <w:rFonts w:hint="default" w:ascii="Times New Roman" w:hAnsi="Times New Roman" w:cs="Times New Roman"/>
                <w:color w:val="auto"/>
                <w:u w:val="none"/>
              </w:rPr>
              <w:t>17.5</w:t>
            </w:r>
          </w:p>
        </w:tc>
        <w:tc>
          <w:tcPr>
            <w:tcW w:w="1411" w:type="dxa"/>
            <w:tcBorders>
              <w:top w:val="single" w:color="auto" w:sz="4" w:space="0"/>
              <w:left w:val="single" w:color="auto" w:sz="4" w:space="0"/>
              <w:bottom w:val="single" w:color="auto" w:sz="4" w:space="0"/>
              <w:right w:val="single" w:color="auto" w:sz="4" w:space="0"/>
            </w:tcBorders>
            <w:vAlign w:val="center"/>
          </w:tcPr>
          <w:p w14:paraId="385A19DF">
            <w:pPr>
              <w:pStyle w:val="41"/>
              <w:rPr>
                <w:rFonts w:hint="default" w:ascii="Times New Roman" w:hAnsi="Times New Roman" w:cs="Times New Roman"/>
                <w:color w:val="auto"/>
                <w:u w:val="none"/>
              </w:rPr>
            </w:pPr>
            <w:r>
              <w:rPr>
                <w:rFonts w:hint="default" w:ascii="Times New Roman" w:hAnsi="Times New Roman" w:cs="Times New Roman"/>
                <w:color w:val="auto"/>
                <w:u w:val="none"/>
              </w:rPr>
              <w:t>976.2</w:t>
            </w:r>
          </w:p>
        </w:tc>
        <w:tc>
          <w:tcPr>
            <w:tcW w:w="1318" w:type="dxa"/>
            <w:tcBorders>
              <w:top w:val="single" w:color="auto" w:sz="4" w:space="0"/>
              <w:left w:val="single" w:color="auto" w:sz="4" w:space="0"/>
              <w:bottom w:val="single" w:color="auto" w:sz="4" w:space="0"/>
              <w:right w:val="single" w:color="auto" w:sz="4" w:space="0"/>
            </w:tcBorders>
            <w:vAlign w:val="center"/>
          </w:tcPr>
          <w:p w14:paraId="06D79A18">
            <w:pPr>
              <w:pStyle w:val="41"/>
              <w:rPr>
                <w:rFonts w:hint="default" w:ascii="Times New Roman" w:hAnsi="Times New Roman" w:cs="Times New Roman"/>
                <w:color w:val="auto"/>
                <w:u w:val="none"/>
              </w:rPr>
            </w:pPr>
            <w:r>
              <w:rPr>
                <w:rFonts w:hint="default" w:ascii="Times New Roman" w:hAnsi="Times New Roman" w:cs="Times New Roman"/>
                <w:color w:val="auto"/>
                <w:u w:val="none"/>
              </w:rPr>
              <w:t>83</w:t>
            </w:r>
          </w:p>
        </w:tc>
        <w:tc>
          <w:tcPr>
            <w:tcW w:w="1448" w:type="dxa"/>
            <w:tcBorders>
              <w:top w:val="single" w:color="auto" w:sz="4" w:space="0"/>
              <w:left w:val="single" w:color="auto" w:sz="4" w:space="0"/>
              <w:bottom w:val="single" w:color="auto" w:sz="4" w:space="0"/>
              <w:right w:val="single" w:color="auto" w:sz="4" w:space="0"/>
            </w:tcBorders>
            <w:vAlign w:val="center"/>
          </w:tcPr>
          <w:p w14:paraId="3456C9B4">
            <w:pPr>
              <w:pStyle w:val="41"/>
              <w:rPr>
                <w:rFonts w:hint="default" w:ascii="Times New Roman" w:hAnsi="Times New Roman" w:cs="Times New Roman"/>
                <w:color w:val="auto"/>
                <w:u w:val="none"/>
              </w:rPr>
            </w:pPr>
            <w:r>
              <w:rPr>
                <w:rFonts w:hint="default" w:ascii="Times New Roman" w:hAnsi="Times New Roman" w:cs="Times New Roman"/>
                <w:color w:val="auto"/>
                <w:u w:val="none"/>
              </w:rPr>
              <w:t>190.1</w:t>
            </w:r>
          </w:p>
        </w:tc>
        <w:tc>
          <w:tcPr>
            <w:tcW w:w="1365" w:type="dxa"/>
            <w:tcBorders>
              <w:top w:val="single" w:color="auto" w:sz="4" w:space="0"/>
              <w:left w:val="single" w:color="auto" w:sz="4" w:space="0"/>
              <w:bottom w:val="single" w:color="auto" w:sz="4" w:space="0"/>
              <w:right w:val="single" w:color="auto" w:sz="4" w:space="0"/>
            </w:tcBorders>
            <w:vAlign w:val="center"/>
          </w:tcPr>
          <w:p w14:paraId="30BC3960">
            <w:pPr>
              <w:pStyle w:val="41"/>
              <w:rPr>
                <w:rFonts w:hint="default" w:ascii="Times New Roman" w:hAnsi="Times New Roman" w:cs="Times New Roman"/>
                <w:color w:val="auto"/>
                <w:u w:val="none"/>
              </w:rPr>
            </w:pPr>
            <w:r>
              <w:rPr>
                <w:rFonts w:hint="default" w:ascii="Times New Roman" w:hAnsi="Times New Roman" w:cs="Times New Roman"/>
                <w:color w:val="auto"/>
                <w:u w:val="none"/>
              </w:rPr>
              <w:t>113.0</w:t>
            </w:r>
          </w:p>
        </w:tc>
        <w:tc>
          <w:tcPr>
            <w:tcW w:w="1076" w:type="dxa"/>
            <w:tcBorders>
              <w:top w:val="single" w:color="auto" w:sz="4" w:space="0"/>
              <w:left w:val="single" w:color="auto" w:sz="4" w:space="0"/>
              <w:bottom w:val="single" w:color="auto" w:sz="4" w:space="0"/>
              <w:right w:val="single" w:color="auto" w:sz="12" w:space="0"/>
            </w:tcBorders>
            <w:vAlign w:val="center"/>
          </w:tcPr>
          <w:p w14:paraId="7DFF96B1">
            <w:pPr>
              <w:pStyle w:val="41"/>
              <w:rPr>
                <w:rFonts w:hint="default" w:ascii="Times New Roman" w:hAnsi="Times New Roman" w:cs="Times New Roman"/>
                <w:color w:val="auto"/>
                <w:u w:val="none"/>
              </w:rPr>
            </w:pPr>
            <w:r>
              <w:rPr>
                <w:rFonts w:hint="default" w:ascii="Times New Roman" w:hAnsi="Times New Roman" w:cs="Times New Roman"/>
                <w:color w:val="auto"/>
                <w:u w:val="none"/>
              </w:rPr>
              <w:t>3.1</w:t>
            </w:r>
          </w:p>
        </w:tc>
      </w:tr>
      <w:tr w14:paraId="33F4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5C54A0F5">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1111" w:type="dxa"/>
            <w:tcBorders>
              <w:top w:val="single" w:color="auto" w:sz="4" w:space="0"/>
              <w:left w:val="single" w:color="auto" w:sz="4" w:space="0"/>
              <w:bottom w:val="single" w:color="auto" w:sz="4" w:space="0"/>
              <w:right w:val="single" w:color="auto" w:sz="4" w:space="0"/>
            </w:tcBorders>
            <w:vAlign w:val="center"/>
          </w:tcPr>
          <w:p w14:paraId="2345AE0F">
            <w:pPr>
              <w:pStyle w:val="41"/>
              <w:rPr>
                <w:rFonts w:hint="default" w:ascii="Times New Roman" w:hAnsi="Times New Roman" w:cs="Times New Roman"/>
                <w:color w:val="auto"/>
                <w:u w:val="none"/>
              </w:rPr>
            </w:pPr>
            <w:r>
              <w:rPr>
                <w:rFonts w:hint="default" w:ascii="Times New Roman" w:hAnsi="Times New Roman" w:cs="Times New Roman"/>
                <w:color w:val="auto"/>
                <w:u w:val="none"/>
              </w:rPr>
              <w:t>22.0</w:t>
            </w:r>
          </w:p>
        </w:tc>
        <w:tc>
          <w:tcPr>
            <w:tcW w:w="1411" w:type="dxa"/>
            <w:tcBorders>
              <w:top w:val="single" w:color="auto" w:sz="4" w:space="0"/>
              <w:left w:val="single" w:color="auto" w:sz="4" w:space="0"/>
              <w:bottom w:val="single" w:color="auto" w:sz="4" w:space="0"/>
              <w:right w:val="single" w:color="auto" w:sz="4" w:space="0"/>
            </w:tcBorders>
            <w:vAlign w:val="center"/>
          </w:tcPr>
          <w:p w14:paraId="3B9E8649">
            <w:pPr>
              <w:pStyle w:val="41"/>
              <w:rPr>
                <w:rFonts w:hint="default" w:ascii="Times New Roman" w:hAnsi="Times New Roman" w:cs="Times New Roman"/>
                <w:color w:val="auto"/>
                <w:u w:val="none"/>
              </w:rPr>
            </w:pPr>
            <w:r>
              <w:rPr>
                <w:rFonts w:hint="default" w:ascii="Times New Roman" w:hAnsi="Times New Roman" w:cs="Times New Roman"/>
                <w:color w:val="auto"/>
                <w:u w:val="none"/>
              </w:rPr>
              <w:t>972.9</w:t>
            </w:r>
          </w:p>
        </w:tc>
        <w:tc>
          <w:tcPr>
            <w:tcW w:w="1318" w:type="dxa"/>
            <w:tcBorders>
              <w:top w:val="single" w:color="auto" w:sz="4" w:space="0"/>
              <w:left w:val="single" w:color="auto" w:sz="4" w:space="0"/>
              <w:bottom w:val="single" w:color="auto" w:sz="4" w:space="0"/>
              <w:right w:val="single" w:color="auto" w:sz="4" w:space="0"/>
            </w:tcBorders>
            <w:vAlign w:val="center"/>
          </w:tcPr>
          <w:p w14:paraId="332FC8E9">
            <w:pPr>
              <w:pStyle w:val="41"/>
              <w:rPr>
                <w:rFonts w:hint="default" w:ascii="Times New Roman" w:hAnsi="Times New Roman" w:cs="Times New Roman"/>
                <w:color w:val="auto"/>
                <w:u w:val="none"/>
              </w:rPr>
            </w:pPr>
            <w:r>
              <w:rPr>
                <w:rFonts w:hint="default" w:ascii="Times New Roman" w:hAnsi="Times New Roman" w:cs="Times New Roman"/>
                <w:color w:val="auto"/>
                <w:u w:val="none"/>
              </w:rPr>
              <w:t>82</w:t>
            </w:r>
          </w:p>
        </w:tc>
        <w:tc>
          <w:tcPr>
            <w:tcW w:w="1448" w:type="dxa"/>
            <w:tcBorders>
              <w:top w:val="single" w:color="auto" w:sz="4" w:space="0"/>
              <w:left w:val="single" w:color="auto" w:sz="4" w:space="0"/>
              <w:bottom w:val="single" w:color="auto" w:sz="4" w:space="0"/>
              <w:right w:val="single" w:color="auto" w:sz="4" w:space="0"/>
            </w:tcBorders>
            <w:vAlign w:val="center"/>
          </w:tcPr>
          <w:p w14:paraId="69044255">
            <w:pPr>
              <w:pStyle w:val="41"/>
              <w:rPr>
                <w:rFonts w:hint="default" w:ascii="Times New Roman" w:hAnsi="Times New Roman" w:cs="Times New Roman"/>
                <w:color w:val="auto"/>
                <w:u w:val="none"/>
              </w:rPr>
            </w:pPr>
            <w:r>
              <w:rPr>
                <w:rFonts w:hint="default" w:ascii="Times New Roman" w:hAnsi="Times New Roman" w:cs="Times New Roman"/>
                <w:color w:val="auto"/>
                <w:u w:val="none"/>
              </w:rPr>
              <w:t>212.7</w:t>
            </w:r>
          </w:p>
        </w:tc>
        <w:tc>
          <w:tcPr>
            <w:tcW w:w="1365" w:type="dxa"/>
            <w:tcBorders>
              <w:top w:val="single" w:color="auto" w:sz="4" w:space="0"/>
              <w:left w:val="single" w:color="auto" w:sz="4" w:space="0"/>
              <w:bottom w:val="single" w:color="auto" w:sz="4" w:space="0"/>
              <w:right w:val="single" w:color="auto" w:sz="4" w:space="0"/>
            </w:tcBorders>
            <w:vAlign w:val="center"/>
          </w:tcPr>
          <w:p w14:paraId="561B9A36">
            <w:pPr>
              <w:pStyle w:val="41"/>
              <w:rPr>
                <w:rFonts w:hint="default" w:ascii="Times New Roman" w:hAnsi="Times New Roman" w:cs="Times New Roman"/>
                <w:color w:val="auto"/>
                <w:u w:val="none"/>
              </w:rPr>
            </w:pPr>
            <w:r>
              <w:rPr>
                <w:rFonts w:hint="default" w:ascii="Times New Roman" w:hAnsi="Times New Roman" w:cs="Times New Roman"/>
                <w:color w:val="auto"/>
                <w:u w:val="none"/>
              </w:rPr>
              <w:t>142.0</w:t>
            </w:r>
          </w:p>
        </w:tc>
        <w:tc>
          <w:tcPr>
            <w:tcW w:w="1076" w:type="dxa"/>
            <w:tcBorders>
              <w:top w:val="single" w:color="auto" w:sz="4" w:space="0"/>
              <w:left w:val="single" w:color="auto" w:sz="4" w:space="0"/>
              <w:bottom w:val="single" w:color="auto" w:sz="4" w:space="0"/>
              <w:right w:val="single" w:color="auto" w:sz="12" w:space="0"/>
            </w:tcBorders>
            <w:vAlign w:val="center"/>
          </w:tcPr>
          <w:p w14:paraId="4B2EC275">
            <w:pPr>
              <w:pStyle w:val="41"/>
              <w:rPr>
                <w:rFonts w:hint="default" w:ascii="Times New Roman" w:hAnsi="Times New Roman" w:cs="Times New Roman"/>
                <w:color w:val="auto"/>
                <w:u w:val="none"/>
              </w:rPr>
            </w:pPr>
            <w:r>
              <w:rPr>
                <w:rFonts w:hint="default" w:ascii="Times New Roman" w:hAnsi="Times New Roman" w:cs="Times New Roman"/>
                <w:color w:val="auto"/>
                <w:u w:val="none"/>
              </w:rPr>
              <w:t>2.7</w:t>
            </w:r>
          </w:p>
        </w:tc>
      </w:tr>
      <w:tr w14:paraId="3000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54A6CA3C">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1111" w:type="dxa"/>
            <w:tcBorders>
              <w:top w:val="single" w:color="auto" w:sz="4" w:space="0"/>
              <w:left w:val="single" w:color="auto" w:sz="4" w:space="0"/>
              <w:bottom w:val="single" w:color="auto" w:sz="4" w:space="0"/>
              <w:right w:val="single" w:color="auto" w:sz="4" w:space="0"/>
            </w:tcBorders>
            <w:vAlign w:val="center"/>
          </w:tcPr>
          <w:p w14:paraId="17456C56">
            <w:pPr>
              <w:pStyle w:val="41"/>
              <w:rPr>
                <w:rFonts w:hint="default" w:ascii="Times New Roman" w:hAnsi="Times New Roman" w:cs="Times New Roman"/>
                <w:color w:val="auto"/>
                <w:u w:val="none"/>
              </w:rPr>
            </w:pPr>
            <w:r>
              <w:rPr>
                <w:rFonts w:hint="default" w:ascii="Times New Roman" w:hAnsi="Times New Roman" w:cs="Times New Roman"/>
                <w:color w:val="auto"/>
                <w:u w:val="none"/>
              </w:rPr>
              <w:t>25.7</w:t>
            </w:r>
          </w:p>
        </w:tc>
        <w:tc>
          <w:tcPr>
            <w:tcW w:w="1411" w:type="dxa"/>
            <w:tcBorders>
              <w:top w:val="single" w:color="auto" w:sz="4" w:space="0"/>
              <w:left w:val="single" w:color="auto" w:sz="4" w:space="0"/>
              <w:bottom w:val="single" w:color="auto" w:sz="4" w:space="0"/>
              <w:right w:val="single" w:color="auto" w:sz="4" w:space="0"/>
            </w:tcBorders>
            <w:vAlign w:val="center"/>
          </w:tcPr>
          <w:p w14:paraId="656EB5B1">
            <w:pPr>
              <w:pStyle w:val="41"/>
              <w:rPr>
                <w:rFonts w:hint="default" w:ascii="Times New Roman" w:hAnsi="Times New Roman" w:cs="Times New Roman"/>
                <w:color w:val="auto"/>
                <w:u w:val="none"/>
              </w:rPr>
            </w:pPr>
            <w:r>
              <w:rPr>
                <w:rFonts w:hint="default" w:ascii="Times New Roman" w:hAnsi="Times New Roman" w:cs="Times New Roman"/>
                <w:color w:val="auto"/>
                <w:u w:val="none"/>
              </w:rPr>
              <w:t>969.2</w:t>
            </w:r>
          </w:p>
        </w:tc>
        <w:tc>
          <w:tcPr>
            <w:tcW w:w="1318" w:type="dxa"/>
            <w:tcBorders>
              <w:top w:val="single" w:color="auto" w:sz="4" w:space="0"/>
              <w:left w:val="single" w:color="auto" w:sz="4" w:space="0"/>
              <w:bottom w:val="single" w:color="auto" w:sz="4" w:space="0"/>
              <w:right w:val="single" w:color="auto" w:sz="4" w:space="0"/>
            </w:tcBorders>
            <w:vAlign w:val="center"/>
          </w:tcPr>
          <w:p w14:paraId="439A2851">
            <w:pPr>
              <w:pStyle w:val="41"/>
              <w:rPr>
                <w:rFonts w:hint="default" w:ascii="Times New Roman" w:hAnsi="Times New Roman" w:cs="Times New Roman"/>
                <w:color w:val="auto"/>
                <w:u w:val="none"/>
              </w:rPr>
            </w:pPr>
            <w:r>
              <w:rPr>
                <w:rFonts w:hint="default" w:ascii="Times New Roman" w:hAnsi="Times New Roman" w:cs="Times New Roman"/>
                <w:color w:val="auto"/>
                <w:u w:val="none"/>
              </w:rPr>
              <w:t>80</w:t>
            </w:r>
          </w:p>
        </w:tc>
        <w:tc>
          <w:tcPr>
            <w:tcW w:w="1448" w:type="dxa"/>
            <w:tcBorders>
              <w:top w:val="single" w:color="auto" w:sz="4" w:space="0"/>
              <w:left w:val="single" w:color="auto" w:sz="4" w:space="0"/>
              <w:bottom w:val="single" w:color="auto" w:sz="4" w:space="0"/>
              <w:right w:val="single" w:color="auto" w:sz="4" w:space="0"/>
            </w:tcBorders>
            <w:vAlign w:val="center"/>
          </w:tcPr>
          <w:p w14:paraId="7E3A0EDB">
            <w:pPr>
              <w:pStyle w:val="41"/>
              <w:rPr>
                <w:rFonts w:hint="default" w:ascii="Times New Roman" w:hAnsi="Times New Roman" w:cs="Times New Roman"/>
                <w:color w:val="auto"/>
                <w:u w:val="none"/>
              </w:rPr>
            </w:pPr>
            <w:r>
              <w:rPr>
                <w:rFonts w:hint="default" w:ascii="Times New Roman" w:hAnsi="Times New Roman" w:cs="Times New Roman"/>
                <w:color w:val="auto"/>
                <w:u w:val="none"/>
              </w:rPr>
              <w:t>175.4</w:t>
            </w:r>
          </w:p>
        </w:tc>
        <w:tc>
          <w:tcPr>
            <w:tcW w:w="1365" w:type="dxa"/>
            <w:tcBorders>
              <w:top w:val="single" w:color="auto" w:sz="4" w:space="0"/>
              <w:left w:val="single" w:color="auto" w:sz="4" w:space="0"/>
              <w:bottom w:val="single" w:color="auto" w:sz="4" w:space="0"/>
              <w:right w:val="single" w:color="auto" w:sz="4" w:space="0"/>
            </w:tcBorders>
            <w:vAlign w:val="center"/>
          </w:tcPr>
          <w:p w14:paraId="4923F9CE">
            <w:pPr>
              <w:pStyle w:val="41"/>
              <w:rPr>
                <w:rFonts w:hint="default" w:ascii="Times New Roman" w:hAnsi="Times New Roman" w:cs="Times New Roman"/>
                <w:color w:val="auto"/>
                <w:u w:val="none"/>
              </w:rPr>
            </w:pPr>
            <w:r>
              <w:rPr>
                <w:rFonts w:hint="default" w:ascii="Times New Roman" w:hAnsi="Times New Roman" w:cs="Times New Roman"/>
                <w:color w:val="auto"/>
                <w:u w:val="none"/>
              </w:rPr>
              <w:t>179.2</w:t>
            </w:r>
          </w:p>
        </w:tc>
        <w:tc>
          <w:tcPr>
            <w:tcW w:w="1076" w:type="dxa"/>
            <w:tcBorders>
              <w:top w:val="single" w:color="auto" w:sz="4" w:space="0"/>
              <w:left w:val="single" w:color="auto" w:sz="4" w:space="0"/>
              <w:bottom w:val="single" w:color="auto" w:sz="4" w:space="0"/>
              <w:right w:val="single" w:color="auto" w:sz="12" w:space="0"/>
            </w:tcBorders>
            <w:vAlign w:val="center"/>
          </w:tcPr>
          <w:p w14:paraId="1CC52999">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r>
      <w:tr w14:paraId="5ED91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7C957561">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1111" w:type="dxa"/>
            <w:tcBorders>
              <w:top w:val="single" w:color="auto" w:sz="4" w:space="0"/>
              <w:left w:val="single" w:color="auto" w:sz="4" w:space="0"/>
              <w:bottom w:val="single" w:color="auto" w:sz="4" w:space="0"/>
              <w:right w:val="single" w:color="auto" w:sz="4" w:space="0"/>
            </w:tcBorders>
            <w:vAlign w:val="center"/>
          </w:tcPr>
          <w:p w14:paraId="67522997">
            <w:pPr>
              <w:pStyle w:val="41"/>
              <w:rPr>
                <w:rFonts w:hint="default" w:ascii="Times New Roman" w:hAnsi="Times New Roman" w:cs="Times New Roman"/>
                <w:color w:val="auto"/>
                <w:u w:val="none"/>
              </w:rPr>
            </w:pPr>
            <w:r>
              <w:rPr>
                <w:rFonts w:hint="default" w:ascii="Times New Roman" w:hAnsi="Times New Roman" w:cs="Times New Roman"/>
                <w:color w:val="auto"/>
                <w:u w:val="none"/>
              </w:rPr>
              <w:t>28.2</w:t>
            </w:r>
          </w:p>
        </w:tc>
        <w:tc>
          <w:tcPr>
            <w:tcW w:w="1411" w:type="dxa"/>
            <w:tcBorders>
              <w:top w:val="single" w:color="auto" w:sz="4" w:space="0"/>
              <w:left w:val="single" w:color="auto" w:sz="4" w:space="0"/>
              <w:bottom w:val="single" w:color="auto" w:sz="4" w:space="0"/>
              <w:right w:val="single" w:color="auto" w:sz="4" w:space="0"/>
            </w:tcBorders>
            <w:vAlign w:val="center"/>
          </w:tcPr>
          <w:p w14:paraId="77673486">
            <w:pPr>
              <w:pStyle w:val="41"/>
              <w:rPr>
                <w:rFonts w:hint="default" w:ascii="Times New Roman" w:hAnsi="Times New Roman" w:cs="Times New Roman"/>
                <w:color w:val="auto"/>
                <w:u w:val="none"/>
              </w:rPr>
            </w:pPr>
            <w:r>
              <w:rPr>
                <w:rFonts w:hint="default" w:ascii="Times New Roman" w:hAnsi="Times New Roman" w:cs="Times New Roman"/>
                <w:color w:val="auto"/>
                <w:u w:val="none"/>
              </w:rPr>
              <w:t>968.3</w:t>
            </w:r>
          </w:p>
        </w:tc>
        <w:tc>
          <w:tcPr>
            <w:tcW w:w="1318" w:type="dxa"/>
            <w:tcBorders>
              <w:top w:val="single" w:color="auto" w:sz="4" w:space="0"/>
              <w:left w:val="single" w:color="auto" w:sz="4" w:space="0"/>
              <w:bottom w:val="single" w:color="auto" w:sz="4" w:space="0"/>
              <w:right w:val="single" w:color="auto" w:sz="4" w:space="0"/>
            </w:tcBorders>
            <w:vAlign w:val="center"/>
          </w:tcPr>
          <w:p w14:paraId="7AA30011">
            <w:pPr>
              <w:pStyle w:val="41"/>
              <w:rPr>
                <w:rFonts w:hint="default" w:ascii="Times New Roman" w:hAnsi="Times New Roman" w:cs="Times New Roman"/>
                <w:color w:val="auto"/>
                <w:u w:val="none"/>
              </w:rPr>
            </w:pPr>
            <w:r>
              <w:rPr>
                <w:rFonts w:hint="default" w:ascii="Times New Roman" w:hAnsi="Times New Roman" w:cs="Times New Roman"/>
                <w:color w:val="auto"/>
                <w:u w:val="none"/>
              </w:rPr>
              <w:t>72</w:t>
            </w:r>
          </w:p>
        </w:tc>
        <w:tc>
          <w:tcPr>
            <w:tcW w:w="1448" w:type="dxa"/>
            <w:tcBorders>
              <w:top w:val="single" w:color="auto" w:sz="4" w:space="0"/>
              <w:left w:val="single" w:color="auto" w:sz="4" w:space="0"/>
              <w:bottom w:val="single" w:color="auto" w:sz="4" w:space="0"/>
              <w:right w:val="single" w:color="auto" w:sz="4" w:space="0"/>
            </w:tcBorders>
            <w:vAlign w:val="center"/>
          </w:tcPr>
          <w:p w14:paraId="6C1276F0">
            <w:pPr>
              <w:pStyle w:val="41"/>
              <w:rPr>
                <w:rFonts w:hint="default" w:ascii="Times New Roman" w:hAnsi="Times New Roman" w:cs="Times New Roman"/>
                <w:color w:val="auto"/>
                <w:u w:val="none"/>
              </w:rPr>
            </w:pPr>
            <w:r>
              <w:rPr>
                <w:rFonts w:hint="default" w:ascii="Times New Roman" w:hAnsi="Times New Roman" w:cs="Times New Roman"/>
                <w:color w:val="auto"/>
                <w:u w:val="none"/>
              </w:rPr>
              <w:t>116.8</w:t>
            </w:r>
          </w:p>
        </w:tc>
        <w:tc>
          <w:tcPr>
            <w:tcW w:w="1365" w:type="dxa"/>
            <w:tcBorders>
              <w:top w:val="single" w:color="auto" w:sz="4" w:space="0"/>
              <w:left w:val="single" w:color="auto" w:sz="4" w:space="0"/>
              <w:bottom w:val="single" w:color="auto" w:sz="4" w:space="0"/>
              <w:right w:val="single" w:color="auto" w:sz="4" w:space="0"/>
            </w:tcBorders>
            <w:vAlign w:val="center"/>
          </w:tcPr>
          <w:p w14:paraId="5A54343E">
            <w:pPr>
              <w:pStyle w:val="41"/>
              <w:rPr>
                <w:rFonts w:hint="default" w:ascii="Times New Roman" w:hAnsi="Times New Roman" w:cs="Times New Roman"/>
                <w:color w:val="auto"/>
                <w:u w:val="none"/>
              </w:rPr>
            </w:pPr>
            <w:r>
              <w:rPr>
                <w:rFonts w:hint="default" w:ascii="Times New Roman" w:hAnsi="Times New Roman" w:cs="Times New Roman"/>
                <w:color w:val="auto"/>
                <w:u w:val="none"/>
              </w:rPr>
              <w:t>252.0</w:t>
            </w:r>
          </w:p>
        </w:tc>
        <w:tc>
          <w:tcPr>
            <w:tcW w:w="1076" w:type="dxa"/>
            <w:tcBorders>
              <w:top w:val="single" w:color="auto" w:sz="4" w:space="0"/>
              <w:left w:val="single" w:color="auto" w:sz="4" w:space="0"/>
              <w:bottom w:val="single" w:color="auto" w:sz="4" w:space="0"/>
              <w:right w:val="single" w:color="auto" w:sz="12" w:space="0"/>
            </w:tcBorders>
            <w:vAlign w:val="center"/>
          </w:tcPr>
          <w:p w14:paraId="0ED49E68">
            <w:pPr>
              <w:pStyle w:val="41"/>
              <w:rPr>
                <w:rFonts w:hint="default" w:ascii="Times New Roman" w:hAnsi="Times New Roman" w:cs="Times New Roman"/>
                <w:color w:val="auto"/>
                <w:u w:val="none"/>
              </w:rPr>
            </w:pPr>
            <w:r>
              <w:rPr>
                <w:rFonts w:hint="default" w:ascii="Times New Roman" w:hAnsi="Times New Roman" w:cs="Times New Roman"/>
                <w:color w:val="auto"/>
                <w:u w:val="none"/>
              </w:rPr>
              <w:t>3.5</w:t>
            </w:r>
          </w:p>
        </w:tc>
      </w:tr>
      <w:tr w14:paraId="22034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1FE78242">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1111" w:type="dxa"/>
            <w:tcBorders>
              <w:top w:val="single" w:color="auto" w:sz="4" w:space="0"/>
              <w:left w:val="single" w:color="auto" w:sz="4" w:space="0"/>
              <w:bottom w:val="single" w:color="auto" w:sz="4" w:space="0"/>
              <w:right w:val="single" w:color="auto" w:sz="4" w:space="0"/>
            </w:tcBorders>
            <w:vAlign w:val="center"/>
          </w:tcPr>
          <w:p w14:paraId="1DEA128A">
            <w:pPr>
              <w:pStyle w:val="41"/>
              <w:rPr>
                <w:rFonts w:hint="default" w:ascii="Times New Roman" w:hAnsi="Times New Roman" w:cs="Times New Roman"/>
                <w:color w:val="auto"/>
                <w:u w:val="none"/>
              </w:rPr>
            </w:pPr>
            <w:r>
              <w:rPr>
                <w:rFonts w:hint="default" w:ascii="Times New Roman" w:hAnsi="Times New Roman" w:cs="Times New Roman"/>
                <w:color w:val="auto"/>
                <w:u w:val="none"/>
              </w:rPr>
              <w:t>27.2</w:t>
            </w:r>
          </w:p>
        </w:tc>
        <w:tc>
          <w:tcPr>
            <w:tcW w:w="1411" w:type="dxa"/>
            <w:tcBorders>
              <w:top w:val="single" w:color="auto" w:sz="4" w:space="0"/>
              <w:left w:val="single" w:color="auto" w:sz="4" w:space="0"/>
              <w:bottom w:val="single" w:color="auto" w:sz="4" w:space="0"/>
              <w:right w:val="single" w:color="auto" w:sz="4" w:space="0"/>
            </w:tcBorders>
            <w:vAlign w:val="center"/>
          </w:tcPr>
          <w:p w14:paraId="0B14BD75">
            <w:pPr>
              <w:pStyle w:val="41"/>
              <w:rPr>
                <w:rFonts w:hint="default" w:ascii="Times New Roman" w:hAnsi="Times New Roman" w:cs="Times New Roman"/>
                <w:color w:val="auto"/>
                <w:u w:val="none"/>
              </w:rPr>
            </w:pPr>
            <w:r>
              <w:rPr>
                <w:rFonts w:hint="default" w:ascii="Times New Roman" w:hAnsi="Times New Roman" w:cs="Times New Roman"/>
                <w:color w:val="auto"/>
                <w:u w:val="none"/>
              </w:rPr>
              <w:t>969.2</w:t>
            </w:r>
          </w:p>
        </w:tc>
        <w:tc>
          <w:tcPr>
            <w:tcW w:w="1318" w:type="dxa"/>
            <w:tcBorders>
              <w:top w:val="single" w:color="auto" w:sz="4" w:space="0"/>
              <w:left w:val="single" w:color="auto" w:sz="4" w:space="0"/>
              <w:bottom w:val="single" w:color="auto" w:sz="4" w:space="0"/>
              <w:right w:val="single" w:color="auto" w:sz="4" w:space="0"/>
            </w:tcBorders>
            <w:vAlign w:val="center"/>
          </w:tcPr>
          <w:p w14:paraId="4561998A">
            <w:pPr>
              <w:pStyle w:val="41"/>
              <w:rPr>
                <w:rFonts w:hint="default" w:ascii="Times New Roman" w:hAnsi="Times New Roman" w:cs="Times New Roman"/>
                <w:color w:val="auto"/>
                <w:u w:val="none"/>
              </w:rPr>
            </w:pPr>
            <w:r>
              <w:rPr>
                <w:rFonts w:hint="default" w:ascii="Times New Roman" w:hAnsi="Times New Roman" w:cs="Times New Roman"/>
                <w:color w:val="auto"/>
                <w:u w:val="none"/>
              </w:rPr>
              <w:t>77</w:t>
            </w:r>
          </w:p>
        </w:tc>
        <w:tc>
          <w:tcPr>
            <w:tcW w:w="1448" w:type="dxa"/>
            <w:tcBorders>
              <w:top w:val="single" w:color="auto" w:sz="4" w:space="0"/>
              <w:left w:val="single" w:color="auto" w:sz="4" w:space="0"/>
              <w:bottom w:val="single" w:color="auto" w:sz="4" w:space="0"/>
              <w:right w:val="single" w:color="auto" w:sz="4" w:space="0"/>
            </w:tcBorders>
            <w:vAlign w:val="center"/>
          </w:tcPr>
          <w:p w14:paraId="425946E5">
            <w:pPr>
              <w:pStyle w:val="41"/>
              <w:rPr>
                <w:rFonts w:hint="default" w:ascii="Times New Roman" w:hAnsi="Times New Roman" w:cs="Times New Roman"/>
                <w:color w:val="auto"/>
                <w:u w:val="none"/>
              </w:rPr>
            </w:pPr>
            <w:r>
              <w:rPr>
                <w:rFonts w:hint="default" w:ascii="Times New Roman" w:hAnsi="Times New Roman" w:cs="Times New Roman"/>
                <w:color w:val="auto"/>
                <w:u w:val="none"/>
              </w:rPr>
              <w:t>155.5</w:t>
            </w:r>
          </w:p>
        </w:tc>
        <w:tc>
          <w:tcPr>
            <w:tcW w:w="1365" w:type="dxa"/>
            <w:tcBorders>
              <w:top w:val="single" w:color="auto" w:sz="4" w:space="0"/>
              <w:left w:val="single" w:color="auto" w:sz="4" w:space="0"/>
              <w:bottom w:val="single" w:color="auto" w:sz="4" w:space="0"/>
              <w:right w:val="single" w:color="auto" w:sz="4" w:space="0"/>
            </w:tcBorders>
            <w:vAlign w:val="center"/>
          </w:tcPr>
          <w:p w14:paraId="0EB5B401">
            <w:pPr>
              <w:pStyle w:val="41"/>
              <w:rPr>
                <w:rFonts w:hint="default" w:ascii="Times New Roman" w:hAnsi="Times New Roman" w:cs="Times New Roman"/>
                <w:color w:val="auto"/>
                <w:u w:val="none"/>
              </w:rPr>
            </w:pPr>
            <w:r>
              <w:rPr>
                <w:rFonts w:hint="default" w:ascii="Times New Roman" w:hAnsi="Times New Roman" w:cs="Times New Roman"/>
                <w:color w:val="auto"/>
                <w:u w:val="none"/>
              </w:rPr>
              <w:t>203.9</w:t>
            </w:r>
          </w:p>
        </w:tc>
        <w:tc>
          <w:tcPr>
            <w:tcW w:w="1076" w:type="dxa"/>
            <w:tcBorders>
              <w:top w:val="single" w:color="auto" w:sz="4" w:space="0"/>
              <w:left w:val="single" w:color="auto" w:sz="4" w:space="0"/>
              <w:bottom w:val="single" w:color="auto" w:sz="4" w:space="0"/>
              <w:right w:val="single" w:color="auto" w:sz="12" w:space="0"/>
            </w:tcBorders>
            <w:vAlign w:val="center"/>
          </w:tcPr>
          <w:p w14:paraId="79CA6F1B">
            <w:pPr>
              <w:pStyle w:val="41"/>
              <w:rPr>
                <w:rFonts w:hint="default" w:ascii="Times New Roman" w:hAnsi="Times New Roman" w:cs="Times New Roman"/>
                <w:color w:val="auto"/>
                <w:u w:val="none"/>
              </w:rPr>
            </w:pPr>
            <w:r>
              <w:rPr>
                <w:rFonts w:hint="default" w:ascii="Times New Roman" w:hAnsi="Times New Roman" w:cs="Times New Roman"/>
                <w:color w:val="auto"/>
                <w:u w:val="none"/>
              </w:rPr>
              <w:t>2.9</w:t>
            </w:r>
          </w:p>
        </w:tc>
      </w:tr>
      <w:tr w14:paraId="1531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0E532BD6">
            <w:pPr>
              <w:pStyle w:val="41"/>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1111" w:type="dxa"/>
            <w:tcBorders>
              <w:top w:val="single" w:color="auto" w:sz="4" w:space="0"/>
              <w:left w:val="single" w:color="auto" w:sz="4" w:space="0"/>
              <w:bottom w:val="single" w:color="auto" w:sz="4" w:space="0"/>
              <w:right w:val="single" w:color="auto" w:sz="4" w:space="0"/>
            </w:tcBorders>
            <w:vAlign w:val="center"/>
          </w:tcPr>
          <w:p w14:paraId="633C218E">
            <w:pPr>
              <w:pStyle w:val="41"/>
              <w:rPr>
                <w:rFonts w:hint="default" w:ascii="Times New Roman" w:hAnsi="Times New Roman" w:cs="Times New Roman"/>
                <w:color w:val="auto"/>
                <w:u w:val="none"/>
              </w:rPr>
            </w:pPr>
            <w:r>
              <w:rPr>
                <w:rFonts w:hint="default" w:ascii="Times New Roman" w:hAnsi="Times New Roman" w:cs="Times New Roman"/>
                <w:color w:val="auto"/>
                <w:u w:val="none"/>
              </w:rPr>
              <w:t>23.5</w:t>
            </w:r>
          </w:p>
        </w:tc>
        <w:tc>
          <w:tcPr>
            <w:tcW w:w="1411" w:type="dxa"/>
            <w:tcBorders>
              <w:top w:val="single" w:color="auto" w:sz="4" w:space="0"/>
              <w:left w:val="single" w:color="auto" w:sz="4" w:space="0"/>
              <w:bottom w:val="single" w:color="auto" w:sz="4" w:space="0"/>
              <w:right w:val="single" w:color="auto" w:sz="4" w:space="0"/>
            </w:tcBorders>
            <w:vAlign w:val="center"/>
          </w:tcPr>
          <w:p w14:paraId="20AC6A20">
            <w:pPr>
              <w:pStyle w:val="41"/>
              <w:rPr>
                <w:rFonts w:hint="default" w:ascii="Times New Roman" w:hAnsi="Times New Roman" w:cs="Times New Roman"/>
                <w:color w:val="auto"/>
                <w:u w:val="none"/>
              </w:rPr>
            </w:pPr>
            <w:r>
              <w:rPr>
                <w:rFonts w:hint="default" w:ascii="Times New Roman" w:hAnsi="Times New Roman" w:cs="Times New Roman"/>
                <w:color w:val="auto"/>
                <w:u w:val="none"/>
              </w:rPr>
              <w:t>975.0</w:t>
            </w:r>
          </w:p>
        </w:tc>
        <w:tc>
          <w:tcPr>
            <w:tcW w:w="1318" w:type="dxa"/>
            <w:tcBorders>
              <w:top w:val="single" w:color="auto" w:sz="4" w:space="0"/>
              <w:left w:val="single" w:color="auto" w:sz="4" w:space="0"/>
              <w:bottom w:val="single" w:color="auto" w:sz="4" w:space="0"/>
              <w:right w:val="single" w:color="auto" w:sz="4" w:space="0"/>
            </w:tcBorders>
            <w:vAlign w:val="center"/>
          </w:tcPr>
          <w:p w14:paraId="419E1036">
            <w:pPr>
              <w:pStyle w:val="41"/>
              <w:rPr>
                <w:rFonts w:hint="default" w:ascii="Times New Roman" w:hAnsi="Times New Roman" w:cs="Times New Roman"/>
                <w:color w:val="auto"/>
                <w:u w:val="none"/>
              </w:rPr>
            </w:pPr>
            <w:r>
              <w:rPr>
                <w:rFonts w:hint="default" w:ascii="Times New Roman" w:hAnsi="Times New Roman" w:cs="Times New Roman"/>
                <w:color w:val="auto"/>
                <w:u w:val="none"/>
              </w:rPr>
              <w:t>80</w:t>
            </w:r>
          </w:p>
        </w:tc>
        <w:tc>
          <w:tcPr>
            <w:tcW w:w="1448" w:type="dxa"/>
            <w:tcBorders>
              <w:top w:val="single" w:color="auto" w:sz="4" w:space="0"/>
              <w:left w:val="single" w:color="auto" w:sz="4" w:space="0"/>
              <w:bottom w:val="single" w:color="auto" w:sz="4" w:space="0"/>
              <w:right w:val="single" w:color="auto" w:sz="4" w:space="0"/>
            </w:tcBorders>
            <w:vAlign w:val="center"/>
          </w:tcPr>
          <w:p w14:paraId="6110DE50">
            <w:pPr>
              <w:pStyle w:val="41"/>
              <w:rPr>
                <w:rFonts w:hint="default" w:ascii="Times New Roman" w:hAnsi="Times New Roman" w:cs="Times New Roman"/>
                <w:color w:val="auto"/>
                <w:u w:val="none"/>
              </w:rPr>
            </w:pPr>
            <w:r>
              <w:rPr>
                <w:rFonts w:hint="default" w:ascii="Times New Roman" w:hAnsi="Times New Roman" w:cs="Times New Roman"/>
                <w:color w:val="auto"/>
                <w:u w:val="none"/>
              </w:rPr>
              <w:t>82.0</w:t>
            </w:r>
          </w:p>
        </w:tc>
        <w:tc>
          <w:tcPr>
            <w:tcW w:w="1365" w:type="dxa"/>
            <w:tcBorders>
              <w:top w:val="single" w:color="auto" w:sz="4" w:space="0"/>
              <w:left w:val="single" w:color="auto" w:sz="4" w:space="0"/>
              <w:bottom w:val="single" w:color="auto" w:sz="4" w:space="0"/>
              <w:right w:val="single" w:color="auto" w:sz="4" w:space="0"/>
            </w:tcBorders>
            <w:vAlign w:val="center"/>
          </w:tcPr>
          <w:p w14:paraId="04027785">
            <w:pPr>
              <w:pStyle w:val="41"/>
              <w:rPr>
                <w:rFonts w:hint="default" w:ascii="Times New Roman" w:hAnsi="Times New Roman" w:cs="Times New Roman"/>
                <w:color w:val="auto"/>
                <w:u w:val="none"/>
              </w:rPr>
            </w:pPr>
            <w:r>
              <w:rPr>
                <w:rFonts w:hint="default" w:ascii="Times New Roman" w:hAnsi="Times New Roman" w:cs="Times New Roman"/>
                <w:color w:val="auto"/>
                <w:u w:val="none"/>
              </w:rPr>
              <w:t>137.1</w:t>
            </w:r>
          </w:p>
        </w:tc>
        <w:tc>
          <w:tcPr>
            <w:tcW w:w="1076" w:type="dxa"/>
            <w:tcBorders>
              <w:top w:val="single" w:color="auto" w:sz="4" w:space="0"/>
              <w:left w:val="single" w:color="auto" w:sz="4" w:space="0"/>
              <w:bottom w:val="single" w:color="auto" w:sz="4" w:space="0"/>
              <w:right w:val="single" w:color="auto" w:sz="12" w:space="0"/>
            </w:tcBorders>
            <w:vAlign w:val="center"/>
          </w:tcPr>
          <w:p w14:paraId="47175204">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r>
      <w:tr w14:paraId="2CD3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354836F6">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111" w:type="dxa"/>
            <w:tcBorders>
              <w:top w:val="single" w:color="auto" w:sz="4" w:space="0"/>
              <w:left w:val="single" w:color="auto" w:sz="4" w:space="0"/>
              <w:bottom w:val="single" w:color="auto" w:sz="4" w:space="0"/>
              <w:right w:val="single" w:color="auto" w:sz="4" w:space="0"/>
            </w:tcBorders>
            <w:vAlign w:val="center"/>
          </w:tcPr>
          <w:p w14:paraId="31F53447">
            <w:pPr>
              <w:pStyle w:val="41"/>
              <w:rPr>
                <w:rFonts w:hint="default" w:ascii="Times New Roman" w:hAnsi="Times New Roman" w:cs="Times New Roman"/>
                <w:color w:val="auto"/>
                <w:u w:val="none"/>
              </w:rPr>
            </w:pPr>
            <w:r>
              <w:rPr>
                <w:rFonts w:hint="default" w:ascii="Times New Roman" w:hAnsi="Times New Roman" w:cs="Times New Roman"/>
                <w:color w:val="auto"/>
                <w:u w:val="none"/>
              </w:rPr>
              <w:t>18.4</w:t>
            </w:r>
          </w:p>
        </w:tc>
        <w:tc>
          <w:tcPr>
            <w:tcW w:w="1411" w:type="dxa"/>
            <w:tcBorders>
              <w:top w:val="single" w:color="auto" w:sz="4" w:space="0"/>
              <w:left w:val="single" w:color="auto" w:sz="4" w:space="0"/>
              <w:bottom w:val="single" w:color="auto" w:sz="4" w:space="0"/>
              <w:right w:val="single" w:color="auto" w:sz="4" w:space="0"/>
            </w:tcBorders>
            <w:vAlign w:val="center"/>
          </w:tcPr>
          <w:p w14:paraId="759F58BD">
            <w:pPr>
              <w:pStyle w:val="41"/>
              <w:rPr>
                <w:rFonts w:hint="default" w:ascii="Times New Roman" w:hAnsi="Times New Roman" w:cs="Times New Roman"/>
                <w:color w:val="auto"/>
                <w:u w:val="none"/>
              </w:rPr>
            </w:pPr>
            <w:r>
              <w:rPr>
                <w:rFonts w:hint="default" w:ascii="Times New Roman" w:hAnsi="Times New Roman" w:cs="Times New Roman"/>
                <w:color w:val="auto"/>
                <w:u w:val="none"/>
              </w:rPr>
              <w:t>980.7</w:t>
            </w:r>
          </w:p>
        </w:tc>
        <w:tc>
          <w:tcPr>
            <w:tcW w:w="1318" w:type="dxa"/>
            <w:tcBorders>
              <w:top w:val="single" w:color="auto" w:sz="4" w:space="0"/>
              <w:left w:val="single" w:color="auto" w:sz="4" w:space="0"/>
              <w:bottom w:val="single" w:color="auto" w:sz="4" w:space="0"/>
              <w:right w:val="single" w:color="auto" w:sz="4" w:space="0"/>
            </w:tcBorders>
            <w:vAlign w:val="center"/>
          </w:tcPr>
          <w:p w14:paraId="3CF21892">
            <w:pPr>
              <w:pStyle w:val="41"/>
              <w:rPr>
                <w:rFonts w:hint="default" w:ascii="Times New Roman" w:hAnsi="Times New Roman" w:cs="Times New Roman"/>
                <w:color w:val="auto"/>
                <w:u w:val="none"/>
              </w:rPr>
            </w:pPr>
            <w:r>
              <w:rPr>
                <w:rFonts w:hint="default" w:ascii="Times New Roman" w:hAnsi="Times New Roman" w:cs="Times New Roman"/>
                <w:color w:val="auto"/>
                <w:u w:val="none"/>
              </w:rPr>
              <w:t>80</w:t>
            </w:r>
          </w:p>
        </w:tc>
        <w:tc>
          <w:tcPr>
            <w:tcW w:w="1448" w:type="dxa"/>
            <w:tcBorders>
              <w:top w:val="single" w:color="auto" w:sz="4" w:space="0"/>
              <w:left w:val="single" w:color="auto" w:sz="4" w:space="0"/>
              <w:bottom w:val="single" w:color="auto" w:sz="4" w:space="0"/>
              <w:right w:val="single" w:color="auto" w:sz="4" w:space="0"/>
            </w:tcBorders>
            <w:vAlign w:val="center"/>
          </w:tcPr>
          <w:p w14:paraId="71F53E44">
            <w:pPr>
              <w:pStyle w:val="41"/>
              <w:rPr>
                <w:rFonts w:hint="default" w:ascii="Times New Roman" w:hAnsi="Times New Roman" w:cs="Times New Roman"/>
                <w:color w:val="auto"/>
                <w:u w:val="none"/>
              </w:rPr>
            </w:pPr>
            <w:r>
              <w:rPr>
                <w:rFonts w:hint="default" w:ascii="Times New Roman" w:hAnsi="Times New Roman" w:cs="Times New Roman"/>
                <w:color w:val="auto"/>
                <w:u w:val="none"/>
              </w:rPr>
              <w:t>91.2</w:t>
            </w:r>
          </w:p>
        </w:tc>
        <w:tc>
          <w:tcPr>
            <w:tcW w:w="1365" w:type="dxa"/>
            <w:tcBorders>
              <w:top w:val="single" w:color="auto" w:sz="4" w:space="0"/>
              <w:left w:val="single" w:color="auto" w:sz="4" w:space="0"/>
              <w:bottom w:val="single" w:color="auto" w:sz="4" w:space="0"/>
              <w:right w:val="single" w:color="auto" w:sz="4" w:space="0"/>
            </w:tcBorders>
            <w:vAlign w:val="center"/>
          </w:tcPr>
          <w:p w14:paraId="7A7DF3C7">
            <w:pPr>
              <w:pStyle w:val="41"/>
              <w:rPr>
                <w:rFonts w:hint="default" w:ascii="Times New Roman" w:hAnsi="Times New Roman" w:cs="Times New Roman"/>
                <w:color w:val="auto"/>
                <w:u w:val="none"/>
              </w:rPr>
            </w:pPr>
            <w:r>
              <w:rPr>
                <w:rFonts w:hint="default" w:ascii="Times New Roman" w:hAnsi="Times New Roman" w:cs="Times New Roman"/>
                <w:color w:val="auto"/>
                <w:u w:val="none"/>
              </w:rPr>
              <w:t>107.9</w:t>
            </w:r>
          </w:p>
        </w:tc>
        <w:tc>
          <w:tcPr>
            <w:tcW w:w="1076" w:type="dxa"/>
            <w:tcBorders>
              <w:top w:val="single" w:color="auto" w:sz="4" w:space="0"/>
              <w:left w:val="single" w:color="auto" w:sz="4" w:space="0"/>
              <w:bottom w:val="single" w:color="auto" w:sz="4" w:space="0"/>
              <w:right w:val="single" w:color="auto" w:sz="12" w:space="0"/>
            </w:tcBorders>
            <w:vAlign w:val="center"/>
          </w:tcPr>
          <w:p w14:paraId="6B012209">
            <w:pPr>
              <w:pStyle w:val="41"/>
              <w:rPr>
                <w:rFonts w:hint="default" w:ascii="Times New Roman" w:hAnsi="Times New Roman" w:cs="Times New Roman"/>
                <w:color w:val="auto"/>
                <w:u w:val="none"/>
              </w:rPr>
            </w:pPr>
            <w:r>
              <w:rPr>
                <w:rFonts w:hint="default" w:ascii="Times New Roman" w:hAnsi="Times New Roman" w:cs="Times New Roman"/>
                <w:color w:val="auto"/>
                <w:u w:val="none"/>
              </w:rPr>
              <w:t>2.6</w:t>
            </w:r>
          </w:p>
        </w:tc>
      </w:tr>
      <w:tr w14:paraId="494C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1F3028C9">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1111" w:type="dxa"/>
            <w:tcBorders>
              <w:top w:val="single" w:color="auto" w:sz="4" w:space="0"/>
              <w:left w:val="single" w:color="auto" w:sz="4" w:space="0"/>
              <w:bottom w:val="single" w:color="auto" w:sz="4" w:space="0"/>
              <w:right w:val="single" w:color="auto" w:sz="4" w:space="0"/>
            </w:tcBorders>
            <w:vAlign w:val="center"/>
          </w:tcPr>
          <w:p w14:paraId="27B6DEC3">
            <w:pPr>
              <w:pStyle w:val="41"/>
              <w:rPr>
                <w:rFonts w:hint="default" w:ascii="Times New Roman" w:hAnsi="Times New Roman" w:cs="Times New Roman"/>
                <w:color w:val="auto"/>
                <w:u w:val="none"/>
              </w:rPr>
            </w:pPr>
            <w:r>
              <w:rPr>
                <w:rFonts w:hint="default" w:ascii="Times New Roman" w:hAnsi="Times New Roman" w:cs="Times New Roman"/>
                <w:color w:val="auto"/>
                <w:u w:val="none"/>
              </w:rPr>
              <w:t>12.9</w:t>
            </w:r>
          </w:p>
        </w:tc>
        <w:tc>
          <w:tcPr>
            <w:tcW w:w="1411" w:type="dxa"/>
            <w:tcBorders>
              <w:top w:val="single" w:color="auto" w:sz="4" w:space="0"/>
              <w:left w:val="single" w:color="auto" w:sz="4" w:space="0"/>
              <w:bottom w:val="single" w:color="auto" w:sz="4" w:space="0"/>
              <w:right w:val="single" w:color="auto" w:sz="4" w:space="0"/>
            </w:tcBorders>
            <w:vAlign w:val="center"/>
          </w:tcPr>
          <w:p w14:paraId="6467DAF0">
            <w:pPr>
              <w:pStyle w:val="41"/>
              <w:rPr>
                <w:rFonts w:hint="default" w:ascii="Times New Roman" w:hAnsi="Times New Roman" w:cs="Times New Roman"/>
                <w:color w:val="auto"/>
                <w:u w:val="none"/>
              </w:rPr>
            </w:pPr>
            <w:r>
              <w:rPr>
                <w:rFonts w:hint="default" w:ascii="Times New Roman" w:hAnsi="Times New Roman" w:cs="Times New Roman"/>
                <w:color w:val="auto"/>
                <w:u w:val="none"/>
              </w:rPr>
              <w:t>984.5</w:t>
            </w:r>
          </w:p>
        </w:tc>
        <w:tc>
          <w:tcPr>
            <w:tcW w:w="1318" w:type="dxa"/>
            <w:tcBorders>
              <w:top w:val="single" w:color="auto" w:sz="4" w:space="0"/>
              <w:left w:val="single" w:color="auto" w:sz="4" w:space="0"/>
              <w:bottom w:val="single" w:color="auto" w:sz="4" w:space="0"/>
              <w:right w:val="single" w:color="auto" w:sz="4" w:space="0"/>
            </w:tcBorders>
            <w:vAlign w:val="center"/>
          </w:tcPr>
          <w:p w14:paraId="6DCAD0EE">
            <w:pPr>
              <w:pStyle w:val="41"/>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1448" w:type="dxa"/>
            <w:tcBorders>
              <w:top w:val="single" w:color="auto" w:sz="4" w:space="0"/>
              <w:left w:val="single" w:color="auto" w:sz="4" w:space="0"/>
              <w:bottom w:val="single" w:color="auto" w:sz="4" w:space="0"/>
              <w:right w:val="single" w:color="auto" w:sz="4" w:space="0"/>
            </w:tcBorders>
            <w:vAlign w:val="center"/>
          </w:tcPr>
          <w:p w14:paraId="418E6ABD">
            <w:pPr>
              <w:pStyle w:val="41"/>
              <w:rPr>
                <w:rFonts w:hint="default" w:ascii="Times New Roman" w:hAnsi="Times New Roman" w:cs="Times New Roman"/>
                <w:color w:val="auto"/>
                <w:u w:val="none"/>
              </w:rPr>
            </w:pPr>
            <w:r>
              <w:rPr>
                <w:rFonts w:hint="default" w:ascii="Times New Roman" w:hAnsi="Times New Roman" w:cs="Times New Roman"/>
                <w:color w:val="auto"/>
                <w:u w:val="none"/>
              </w:rPr>
              <w:t>62.6</w:t>
            </w:r>
          </w:p>
        </w:tc>
        <w:tc>
          <w:tcPr>
            <w:tcW w:w="1365" w:type="dxa"/>
            <w:tcBorders>
              <w:top w:val="single" w:color="auto" w:sz="4" w:space="0"/>
              <w:left w:val="single" w:color="auto" w:sz="4" w:space="0"/>
              <w:bottom w:val="single" w:color="auto" w:sz="4" w:space="0"/>
              <w:right w:val="single" w:color="auto" w:sz="4" w:space="0"/>
            </w:tcBorders>
            <w:vAlign w:val="center"/>
          </w:tcPr>
          <w:p w14:paraId="53ABE215">
            <w:pPr>
              <w:pStyle w:val="41"/>
              <w:rPr>
                <w:rFonts w:hint="default" w:ascii="Times New Roman" w:hAnsi="Times New Roman" w:cs="Times New Roman"/>
                <w:color w:val="auto"/>
                <w:u w:val="none"/>
              </w:rPr>
            </w:pPr>
            <w:r>
              <w:rPr>
                <w:rFonts w:hint="default" w:ascii="Times New Roman" w:hAnsi="Times New Roman" w:cs="Times New Roman"/>
                <w:color w:val="auto"/>
                <w:u w:val="none"/>
              </w:rPr>
              <w:t>79.6</w:t>
            </w:r>
          </w:p>
        </w:tc>
        <w:tc>
          <w:tcPr>
            <w:tcW w:w="1076" w:type="dxa"/>
            <w:tcBorders>
              <w:top w:val="single" w:color="auto" w:sz="4" w:space="0"/>
              <w:left w:val="single" w:color="auto" w:sz="4" w:space="0"/>
              <w:bottom w:val="single" w:color="auto" w:sz="4" w:space="0"/>
              <w:right w:val="single" w:color="auto" w:sz="12" w:space="0"/>
            </w:tcBorders>
            <w:vAlign w:val="center"/>
          </w:tcPr>
          <w:p w14:paraId="61F9264F">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r>
      <w:tr w14:paraId="2D01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4" w:space="0"/>
              <w:right w:val="single" w:color="auto" w:sz="4" w:space="0"/>
            </w:tcBorders>
            <w:vAlign w:val="center"/>
          </w:tcPr>
          <w:p w14:paraId="7BB5D3E5">
            <w:pPr>
              <w:pStyle w:val="41"/>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1111" w:type="dxa"/>
            <w:tcBorders>
              <w:top w:val="single" w:color="auto" w:sz="4" w:space="0"/>
              <w:left w:val="single" w:color="auto" w:sz="4" w:space="0"/>
              <w:bottom w:val="single" w:color="auto" w:sz="4" w:space="0"/>
              <w:right w:val="single" w:color="auto" w:sz="4" w:space="0"/>
            </w:tcBorders>
            <w:vAlign w:val="center"/>
          </w:tcPr>
          <w:p w14:paraId="06722DFE">
            <w:pPr>
              <w:pStyle w:val="41"/>
              <w:rPr>
                <w:rFonts w:hint="default" w:ascii="Times New Roman" w:hAnsi="Times New Roman" w:cs="Times New Roman"/>
                <w:color w:val="auto"/>
                <w:u w:val="none"/>
              </w:rPr>
            </w:pPr>
            <w:r>
              <w:rPr>
                <w:rFonts w:hint="default" w:ascii="Times New Roman" w:hAnsi="Times New Roman" w:cs="Times New Roman"/>
                <w:color w:val="auto"/>
                <w:u w:val="none"/>
              </w:rPr>
              <w:t>7.9</w:t>
            </w:r>
          </w:p>
        </w:tc>
        <w:tc>
          <w:tcPr>
            <w:tcW w:w="1411" w:type="dxa"/>
            <w:tcBorders>
              <w:top w:val="single" w:color="auto" w:sz="4" w:space="0"/>
              <w:left w:val="single" w:color="auto" w:sz="4" w:space="0"/>
              <w:bottom w:val="single" w:color="auto" w:sz="4" w:space="0"/>
              <w:right w:val="single" w:color="auto" w:sz="4" w:space="0"/>
            </w:tcBorders>
            <w:vAlign w:val="center"/>
          </w:tcPr>
          <w:p w14:paraId="48F3CD69">
            <w:pPr>
              <w:pStyle w:val="41"/>
              <w:rPr>
                <w:rFonts w:hint="default" w:ascii="Times New Roman" w:hAnsi="Times New Roman" w:cs="Times New Roman"/>
                <w:color w:val="auto"/>
                <w:u w:val="none"/>
              </w:rPr>
            </w:pPr>
            <w:r>
              <w:rPr>
                <w:rFonts w:hint="default" w:ascii="Times New Roman" w:hAnsi="Times New Roman" w:cs="Times New Roman"/>
                <w:color w:val="auto"/>
                <w:u w:val="none"/>
              </w:rPr>
              <w:t>986.6</w:t>
            </w:r>
          </w:p>
        </w:tc>
        <w:tc>
          <w:tcPr>
            <w:tcW w:w="1318" w:type="dxa"/>
            <w:tcBorders>
              <w:top w:val="single" w:color="auto" w:sz="4" w:space="0"/>
              <w:left w:val="single" w:color="auto" w:sz="4" w:space="0"/>
              <w:bottom w:val="single" w:color="auto" w:sz="4" w:space="0"/>
              <w:right w:val="single" w:color="auto" w:sz="4" w:space="0"/>
            </w:tcBorders>
            <w:vAlign w:val="center"/>
          </w:tcPr>
          <w:p w14:paraId="414D2666">
            <w:pPr>
              <w:pStyle w:val="41"/>
              <w:rPr>
                <w:rFonts w:hint="default" w:ascii="Times New Roman" w:hAnsi="Times New Roman" w:cs="Times New Roman"/>
                <w:color w:val="auto"/>
                <w:u w:val="none"/>
              </w:rPr>
            </w:pPr>
            <w:r>
              <w:rPr>
                <w:rFonts w:hint="default" w:ascii="Times New Roman" w:hAnsi="Times New Roman" w:cs="Times New Roman"/>
                <w:color w:val="auto"/>
                <w:u w:val="none"/>
              </w:rPr>
              <w:t>78</w:t>
            </w:r>
          </w:p>
        </w:tc>
        <w:tc>
          <w:tcPr>
            <w:tcW w:w="1448" w:type="dxa"/>
            <w:tcBorders>
              <w:top w:val="single" w:color="auto" w:sz="4" w:space="0"/>
              <w:left w:val="single" w:color="auto" w:sz="4" w:space="0"/>
              <w:bottom w:val="single" w:color="auto" w:sz="4" w:space="0"/>
              <w:right w:val="single" w:color="auto" w:sz="4" w:space="0"/>
            </w:tcBorders>
            <w:vAlign w:val="center"/>
          </w:tcPr>
          <w:p w14:paraId="4A7EBFF6">
            <w:pPr>
              <w:pStyle w:val="41"/>
              <w:rPr>
                <w:rFonts w:hint="default" w:ascii="Times New Roman" w:hAnsi="Times New Roman" w:cs="Times New Roman"/>
                <w:color w:val="auto"/>
                <w:u w:val="none"/>
              </w:rPr>
            </w:pPr>
            <w:r>
              <w:rPr>
                <w:rFonts w:hint="default" w:ascii="Times New Roman" w:hAnsi="Times New Roman" w:cs="Times New Roman"/>
                <w:color w:val="auto"/>
                <w:u w:val="none"/>
              </w:rPr>
              <w:t>44.1</w:t>
            </w:r>
          </w:p>
        </w:tc>
        <w:tc>
          <w:tcPr>
            <w:tcW w:w="1365" w:type="dxa"/>
            <w:tcBorders>
              <w:top w:val="single" w:color="auto" w:sz="4" w:space="0"/>
              <w:left w:val="single" w:color="auto" w:sz="4" w:space="0"/>
              <w:bottom w:val="single" w:color="auto" w:sz="4" w:space="0"/>
              <w:right w:val="single" w:color="auto" w:sz="4" w:space="0"/>
            </w:tcBorders>
            <w:vAlign w:val="center"/>
          </w:tcPr>
          <w:p w14:paraId="19EC5AFD">
            <w:pPr>
              <w:pStyle w:val="41"/>
              <w:rPr>
                <w:rFonts w:hint="default" w:ascii="Times New Roman" w:hAnsi="Times New Roman" w:cs="Times New Roman"/>
                <w:color w:val="auto"/>
                <w:u w:val="none"/>
              </w:rPr>
            </w:pPr>
            <w:r>
              <w:rPr>
                <w:rFonts w:hint="default" w:ascii="Times New Roman" w:hAnsi="Times New Roman" w:cs="Times New Roman"/>
                <w:color w:val="auto"/>
                <w:u w:val="none"/>
              </w:rPr>
              <w:t>64.5</w:t>
            </w:r>
          </w:p>
        </w:tc>
        <w:tc>
          <w:tcPr>
            <w:tcW w:w="1076" w:type="dxa"/>
            <w:tcBorders>
              <w:top w:val="single" w:color="auto" w:sz="4" w:space="0"/>
              <w:left w:val="single" w:color="auto" w:sz="4" w:space="0"/>
              <w:bottom w:val="single" w:color="auto" w:sz="4" w:space="0"/>
              <w:right w:val="single" w:color="auto" w:sz="12" w:space="0"/>
            </w:tcBorders>
            <w:vAlign w:val="center"/>
          </w:tcPr>
          <w:p w14:paraId="74F72530">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r>
      <w:tr w14:paraId="53E91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45" w:type="dxa"/>
            <w:tcBorders>
              <w:top w:val="single" w:color="auto" w:sz="4" w:space="0"/>
              <w:left w:val="single" w:color="auto" w:sz="12" w:space="0"/>
              <w:bottom w:val="single" w:color="auto" w:sz="12" w:space="0"/>
              <w:right w:val="single" w:color="auto" w:sz="4" w:space="0"/>
            </w:tcBorders>
            <w:vAlign w:val="center"/>
          </w:tcPr>
          <w:p w14:paraId="2BA6E9C4">
            <w:pPr>
              <w:pStyle w:val="41"/>
              <w:rPr>
                <w:rFonts w:hint="default" w:ascii="Times New Roman" w:hAnsi="Times New Roman" w:cs="Times New Roman"/>
                <w:color w:val="auto"/>
                <w:u w:val="none"/>
              </w:rPr>
            </w:pPr>
            <w:r>
              <w:rPr>
                <w:rFonts w:hint="default" w:ascii="Times New Roman" w:hAnsi="Times New Roman" w:cs="Times New Roman"/>
                <w:color w:val="auto"/>
                <w:u w:val="none"/>
              </w:rPr>
              <w:t>全年</w:t>
            </w:r>
          </w:p>
        </w:tc>
        <w:tc>
          <w:tcPr>
            <w:tcW w:w="1111" w:type="dxa"/>
            <w:tcBorders>
              <w:top w:val="single" w:color="auto" w:sz="4" w:space="0"/>
              <w:left w:val="single" w:color="auto" w:sz="4" w:space="0"/>
              <w:bottom w:val="single" w:color="auto" w:sz="12" w:space="0"/>
              <w:right w:val="single" w:color="auto" w:sz="4" w:space="0"/>
            </w:tcBorders>
            <w:vAlign w:val="center"/>
          </w:tcPr>
          <w:p w14:paraId="5D1C88EF">
            <w:pPr>
              <w:pStyle w:val="41"/>
              <w:rPr>
                <w:rFonts w:hint="default" w:ascii="Times New Roman" w:hAnsi="Times New Roman" w:cs="Times New Roman"/>
                <w:color w:val="auto"/>
                <w:u w:val="none"/>
              </w:rPr>
            </w:pPr>
            <w:r>
              <w:rPr>
                <w:rFonts w:hint="default" w:ascii="Times New Roman" w:hAnsi="Times New Roman" w:cs="Times New Roman"/>
                <w:color w:val="auto"/>
                <w:u w:val="none"/>
              </w:rPr>
              <w:t>17.2</w:t>
            </w:r>
          </w:p>
        </w:tc>
        <w:tc>
          <w:tcPr>
            <w:tcW w:w="1411" w:type="dxa"/>
            <w:tcBorders>
              <w:top w:val="single" w:color="auto" w:sz="4" w:space="0"/>
              <w:left w:val="single" w:color="auto" w:sz="4" w:space="0"/>
              <w:bottom w:val="single" w:color="auto" w:sz="12" w:space="0"/>
              <w:right w:val="single" w:color="auto" w:sz="4" w:space="0"/>
            </w:tcBorders>
            <w:vAlign w:val="center"/>
          </w:tcPr>
          <w:p w14:paraId="08CF4E89">
            <w:pPr>
              <w:pStyle w:val="41"/>
              <w:rPr>
                <w:rFonts w:hint="default" w:ascii="Times New Roman" w:hAnsi="Times New Roman" w:cs="Times New Roman"/>
                <w:color w:val="auto"/>
                <w:u w:val="none"/>
              </w:rPr>
            </w:pPr>
            <w:r>
              <w:rPr>
                <w:rFonts w:hint="default" w:ascii="Times New Roman" w:hAnsi="Times New Roman" w:cs="Times New Roman"/>
                <w:color w:val="auto"/>
                <w:u w:val="none"/>
              </w:rPr>
              <w:t>977.7</w:t>
            </w:r>
          </w:p>
        </w:tc>
        <w:tc>
          <w:tcPr>
            <w:tcW w:w="1318" w:type="dxa"/>
            <w:tcBorders>
              <w:top w:val="single" w:color="auto" w:sz="4" w:space="0"/>
              <w:left w:val="single" w:color="auto" w:sz="4" w:space="0"/>
              <w:bottom w:val="single" w:color="auto" w:sz="12" w:space="0"/>
              <w:right w:val="single" w:color="auto" w:sz="4" w:space="0"/>
            </w:tcBorders>
            <w:vAlign w:val="center"/>
          </w:tcPr>
          <w:p w14:paraId="2037D4BD">
            <w:pPr>
              <w:pStyle w:val="41"/>
              <w:rPr>
                <w:rFonts w:hint="default" w:ascii="Times New Roman" w:hAnsi="Times New Roman" w:cs="Times New Roman"/>
                <w:color w:val="auto"/>
                <w:u w:val="none"/>
              </w:rPr>
            </w:pPr>
            <w:r>
              <w:rPr>
                <w:rFonts w:hint="default" w:ascii="Times New Roman" w:hAnsi="Times New Roman" w:cs="Times New Roman"/>
                <w:color w:val="auto"/>
                <w:u w:val="none"/>
              </w:rPr>
              <w:t>81</w:t>
            </w:r>
          </w:p>
        </w:tc>
        <w:tc>
          <w:tcPr>
            <w:tcW w:w="1448" w:type="dxa"/>
            <w:tcBorders>
              <w:top w:val="single" w:color="auto" w:sz="4" w:space="0"/>
              <w:left w:val="single" w:color="auto" w:sz="4" w:space="0"/>
              <w:bottom w:val="single" w:color="auto" w:sz="12" w:space="0"/>
              <w:right w:val="single" w:color="auto" w:sz="4" w:space="0"/>
            </w:tcBorders>
            <w:vAlign w:val="center"/>
          </w:tcPr>
          <w:p w14:paraId="7D8C1A4F">
            <w:pPr>
              <w:pStyle w:val="41"/>
              <w:rPr>
                <w:rFonts w:hint="default" w:ascii="Times New Roman" w:hAnsi="Times New Roman" w:cs="Times New Roman"/>
                <w:color w:val="auto"/>
                <w:u w:val="none"/>
              </w:rPr>
            </w:pPr>
            <w:r>
              <w:rPr>
                <w:rFonts w:hint="default" w:ascii="Times New Roman" w:hAnsi="Times New Roman" w:cs="Times New Roman"/>
                <w:color w:val="auto"/>
                <w:u w:val="none"/>
              </w:rPr>
              <w:t>1471.7</w:t>
            </w:r>
          </w:p>
        </w:tc>
        <w:tc>
          <w:tcPr>
            <w:tcW w:w="1365" w:type="dxa"/>
            <w:tcBorders>
              <w:top w:val="single" w:color="auto" w:sz="4" w:space="0"/>
              <w:left w:val="single" w:color="auto" w:sz="4" w:space="0"/>
              <w:bottom w:val="single" w:color="auto" w:sz="12" w:space="0"/>
              <w:right w:val="single" w:color="auto" w:sz="4" w:space="0"/>
            </w:tcBorders>
            <w:vAlign w:val="center"/>
          </w:tcPr>
          <w:p w14:paraId="18FE4850">
            <w:pPr>
              <w:pStyle w:val="41"/>
              <w:rPr>
                <w:rFonts w:hint="default" w:ascii="Times New Roman" w:hAnsi="Times New Roman" w:cs="Times New Roman"/>
                <w:color w:val="auto"/>
                <w:u w:val="none"/>
              </w:rPr>
            </w:pPr>
            <w:r>
              <w:rPr>
                <w:rFonts w:hint="default" w:ascii="Times New Roman" w:hAnsi="Times New Roman" w:cs="Times New Roman"/>
                <w:color w:val="auto"/>
                <w:u w:val="none"/>
              </w:rPr>
              <w:t>1449.5</w:t>
            </w:r>
          </w:p>
        </w:tc>
        <w:tc>
          <w:tcPr>
            <w:tcW w:w="1076" w:type="dxa"/>
            <w:tcBorders>
              <w:top w:val="single" w:color="auto" w:sz="4" w:space="0"/>
              <w:left w:val="single" w:color="auto" w:sz="4" w:space="0"/>
              <w:bottom w:val="single" w:color="auto" w:sz="12" w:space="0"/>
              <w:right w:val="single" w:color="auto" w:sz="12" w:space="0"/>
            </w:tcBorders>
            <w:vAlign w:val="center"/>
          </w:tcPr>
          <w:p w14:paraId="5E82C568">
            <w:pPr>
              <w:pStyle w:val="41"/>
              <w:rPr>
                <w:rFonts w:hint="default" w:ascii="Times New Roman" w:hAnsi="Times New Roman" w:cs="Times New Roman"/>
                <w:color w:val="auto"/>
                <w:u w:val="none"/>
              </w:rPr>
            </w:pPr>
            <w:r>
              <w:rPr>
                <w:rFonts w:hint="default" w:ascii="Times New Roman" w:hAnsi="Times New Roman" w:cs="Times New Roman"/>
                <w:color w:val="auto"/>
                <w:u w:val="none"/>
              </w:rPr>
              <w:t>2.9</w:t>
            </w:r>
          </w:p>
        </w:tc>
      </w:tr>
    </w:tbl>
    <w:p w14:paraId="7A41862B">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（4）风速、风向</w:t>
      </w:r>
    </w:p>
    <w:p w14:paraId="3A0C1D7E">
      <w:pPr>
        <w:pStyle w:val="28"/>
        <w:spacing w:line="360" w:lineRule="auto"/>
        <w:ind w:firstLine="480" w:firstLineChars="200"/>
        <w:rPr>
          <w:rFonts w:hint="default" w:ascii="Times New Roman" w:hAnsi="Times New Roman" w:cs="Times New Roman"/>
          <w:color w:val="auto"/>
          <w:sz w:val="24"/>
          <w:u w:val="none"/>
        </w:rPr>
      </w:pPr>
      <w:r>
        <w:rPr>
          <w:rFonts w:hint="default" w:ascii="Times New Roman" w:hAnsi="Times New Roman" w:cs="Times New Roman"/>
          <w:color w:val="auto"/>
          <w:sz w:val="24"/>
          <w:u w:val="none"/>
        </w:rPr>
        <w:t>表6.2-2是岳阳市气象站近20年来风向频率统计表，图6.2-1是相应的风向频率玫瑰图。</w:t>
      </w:r>
    </w:p>
    <w:p w14:paraId="1AD8D61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表6.2-2 岳阳市气象站全年及四季风向频率（%）分布</w:t>
      </w:r>
    </w:p>
    <w:tbl>
      <w:tblPr>
        <w:tblStyle w:val="30"/>
        <w:tblW w:w="9071"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403"/>
        <w:gridCol w:w="482"/>
        <w:gridCol w:w="518"/>
        <w:gridCol w:w="465"/>
        <w:gridCol w:w="577"/>
        <w:gridCol w:w="332"/>
        <w:gridCol w:w="547"/>
        <w:gridCol w:w="435"/>
        <w:gridCol w:w="537"/>
        <w:gridCol w:w="323"/>
        <w:gridCol w:w="598"/>
        <w:gridCol w:w="495"/>
        <w:gridCol w:w="668"/>
        <w:gridCol w:w="495"/>
        <w:gridCol w:w="668"/>
        <w:gridCol w:w="526"/>
        <w:gridCol w:w="658"/>
        <w:gridCol w:w="344"/>
      </w:tblGrid>
      <w:tr w14:paraId="37E3CF4B">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auto" w:sz="12" w:space="0"/>
              <w:left w:val="single" w:color="auto" w:sz="12" w:space="0"/>
              <w:bottom w:val="single" w:color="000000" w:sz="6" w:space="0"/>
              <w:right w:val="single" w:color="000000" w:sz="6" w:space="0"/>
            </w:tcBorders>
            <w:vAlign w:val="center"/>
          </w:tcPr>
          <w:p w14:paraId="318B7BC3">
            <w:pPr>
              <w:pStyle w:val="41"/>
              <w:rPr>
                <w:rFonts w:hint="default" w:ascii="Times New Roman" w:hAnsi="Times New Roman" w:cs="Times New Roman"/>
                <w:color w:val="auto"/>
                <w:u w:val="none"/>
              </w:rPr>
            </w:pPr>
            <w:r>
              <w:rPr>
                <w:rFonts w:hint="default" w:ascii="Times New Roman" w:hAnsi="Times New Roman" w:cs="Times New Roman"/>
                <w:color w:val="auto"/>
                <w:u w:val="none"/>
              </w:rPr>
              <w:t>时间</w:t>
            </w:r>
          </w:p>
        </w:tc>
        <w:tc>
          <w:tcPr>
            <w:tcW w:w="482" w:type="dxa"/>
            <w:tcBorders>
              <w:top w:val="single" w:color="auto" w:sz="12" w:space="0"/>
              <w:left w:val="single" w:color="000000" w:sz="6" w:space="0"/>
              <w:bottom w:val="single" w:color="000000" w:sz="6" w:space="0"/>
              <w:right w:val="single" w:color="000000" w:sz="6" w:space="0"/>
            </w:tcBorders>
            <w:vAlign w:val="center"/>
          </w:tcPr>
          <w:p w14:paraId="69CFF8CA">
            <w:pPr>
              <w:pStyle w:val="41"/>
              <w:rPr>
                <w:rFonts w:hint="default" w:ascii="Times New Roman" w:hAnsi="Times New Roman" w:cs="Times New Roman"/>
                <w:color w:val="auto"/>
                <w:u w:val="none"/>
              </w:rPr>
            </w:pPr>
            <w:r>
              <w:rPr>
                <w:rFonts w:hint="default" w:ascii="Times New Roman" w:hAnsi="Times New Roman" w:cs="Times New Roman"/>
                <w:color w:val="auto"/>
                <w:u w:val="none"/>
              </w:rPr>
              <w:t>N</w:t>
            </w:r>
          </w:p>
        </w:tc>
        <w:tc>
          <w:tcPr>
            <w:tcW w:w="518" w:type="dxa"/>
            <w:tcBorders>
              <w:top w:val="single" w:color="auto" w:sz="12" w:space="0"/>
              <w:left w:val="single" w:color="000000" w:sz="6" w:space="0"/>
              <w:bottom w:val="single" w:color="000000" w:sz="6" w:space="0"/>
              <w:right w:val="single" w:color="000000" w:sz="6" w:space="0"/>
            </w:tcBorders>
            <w:vAlign w:val="center"/>
          </w:tcPr>
          <w:p w14:paraId="18F7DEA1">
            <w:pPr>
              <w:pStyle w:val="41"/>
              <w:rPr>
                <w:rFonts w:hint="default" w:ascii="Times New Roman" w:hAnsi="Times New Roman" w:cs="Times New Roman"/>
                <w:color w:val="auto"/>
                <w:u w:val="none"/>
              </w:rPr>
            </w:pPr>
            <w:r>
              <w:rPr>
                <w:rFonts w:hint="default" w:ascii="Times New Roman" w:hAnsi="Times New Roman" w:cs="Times New Roman"/>
                <w:color w:val="auto"/>
                <w:u w:val="none"/>
              </w:rPr>
              <w:t>NNE</w:t>
            </w:r>
          </w:p>
        </w:tc>
        <w:tc>
          <w:tcPr>
            <w:tcW w:w="465" w:type="dxa"/>
            <w:tcBorders>
              <w:top w:val="single" w:color="auto" w:sz="12" w:space="0"/>
              <w:left w:val="single" w:color="000000" w:sz="6" w:space="0"/>
              <w:bottom w:val="single" w:color="000000" w:sz="6" w:space="0"/>
              <w:right w:val="single" w:color="000000" w:sz="6" w:space="0"/>
            </w:tcBorders>
            <w:vAlign w:val="center"/>
          </w:tcPr>
          <w:p w14:paraId="3A349983">
            <w:pPr>
              <w:pStyle w:val="41"/>
              <w:rPr>
                <w:rFonts w:hint="default" w:ascii="Times New Roman" w:hAnsi="Times New Roman" w:cs="Times New Roman"/>
                <w:color w:val="auto"/>
                <w:u w:val="none"/>
              </w:rPr>
            </w:pPr>
            <w:r>
              <w:rPr>
                <w:rFonts w:hint="default" w:ascii="Times New Roman" w:hAnsi="Times New Roman" w:cs="Times New Roman"/>
                <w:color w:val="auto"/>
                <w:u w:val="none"/>
              </w:rPr>
              <w:t>NE</w:t>
            </w:r>
          </w:p>
        </w:tc>
        <w:tc>
          <w:tcPr>
            <w:tcW w:w="577" w:type="dxa"/>
            <w:tcBorders>
              <w:top w:val="single" w:color="auto" w:sz="12" w:space="0"/>
              <w:left w:val="single" w:color="000000" w:sz="6" w:space="0"/>
              <w:bottom w:val="single" w:color="000000" w:sz="6" w:space="0"/>
              <w:right w:val="single" w:color="000000" w:sz="6" w:space="0"/>
            </w:tcBorders>
            <w:vAlign w:val="center"/>
          </w:tcPr>
          <w:p w14:paraId="034C3DB2">
            <w:pPr>
              <w:pStyle w:val="41"/>
              <w:rPr>
                <w:rFonts w:hint="default" w:ascii="Times New Roman" w:hAnsi="Times New Roman" w:cs="Times New Roman"/>
                <w:color w:val="auto"/>
                <w:u w:val="none"/>
              </w:rPr>
            </w:pPr>
            <w:r>
              <w:rPr>
                <w:rFonts w:hint="default" w:ascii="Times New Roman" w:hAnsi="Times New Roman" w:cs="Times New Roman"/>
                <w:color w:val="auto"/>
                <w:u w:val="none"/>
              </w:rPr>
              <w:t>ENE</w:t>
            </w:r>
          </w:p>
        </w:tc>
        <w:tc>
          <w:tcPr>
            <w:tcW w:w="332" w:type="dxa"/>
            <w:tcBorders>
              <w:top w:val="single" w:color="auto" w:sz="12" w:space="0"/>
              <w:left w:val="single" w:color="000000" w:sz="6" w:space="0"/>
              <w:bottom w:val="single" w:color="000000" w:sz="6" w:space="0"/>
              <w:right w:val="single" w:color="000000" w:sz="6" w:space="0"/>
            </w:tcBorders>
            <w:vAlign w:val="center"/>
          </w:tcPr>
          <w:p w14:paraId="3AEDC62C">
            <w:pPr>
              <w:pStyle w:val="41"/>
              <w:rPr>
                <w:rFonts w:hint="default" w:ascii="Times New Roman" w:hAnsi="Times New Roman" w:cs="Times New Roman"/>
                <w:color w:val="auto"/>
                <w:u w:val="none"/>
              </w:rPr>
            </w:pPr>
            <w:r>
              <w:rPr>
                <w:rFonts w:hint="default" w:ascii="Times New Roman" w:hAnsi="Times New Roman" w:cs="Times New Roman"/>
                <w:color w:val="auto"/>
                <w:u w:val="none"/>
              </w:rPr>
              <w:t>E</w:t>
            </w:r>
          </w:p>
        </w:tc>
        <w:tc>
          <w:tcPr>
            <w:tcW w:w="547" w:type="dxa"/>
            <w:tcBorders>
              <w:top w:val="single" w:color="auto" w:sz="12" w:space="0"/>
              <w:left w:val="single" w:color="000000" w:sz="6" w:space="0"/>
              <w:bottom w:val="single" w:color="000000" w:sz="6" w:space="0"/>
              <w:right w:val="single" w:color="000000" w:sz="6" w:space="0"/>
            </w:tcBorders>
            <w:vAlign w:val="center"/>
          </w:tcPr>
          <w:p w14:paraId="13DDC0B3">
            <w:pPr>
              <w:pStyle w:val="41"/>
              <w:rPr>
                <w:rFonts w:hint="default" w:ascii="Times New Roman" w:hAnsi="Times New Roman" w:cs="Times New Roman"/>
                <w:color w:val="auto"/>
                <w:u w:val="none"/>
              </w:rPr>
            </w:pPr>
            <w:r>
              <w:rPr>
                <w:rFonts w:hint="default" w:ascii="Times New Roman" w:hAnsi="Times New Roman" w:cs="Times New Roman"/>
                <w:color w:val="auto"/>
                <w:u w:val="none"/>
              </w:rPr>
              <w:t>ESE</w:t>
            </w:r>
          </w:p>
        </w:tc>
        <w:tc>
          <w:tcPr>
            <w:tcW w:w="435" w:type="dxa"/>
            <w:tcBorders>
              <w:top w:val="single" w:color="auto" w:sz="12" w:space="0"/>
              <w:left w:val="single" w:color="000000" w:sz="6" w:space="0"/>
              <w:bottom w:val="single" w:color="000000" w:sz="6" w:space="0"/>
              <w:right w:val="single" w:color="000000" w:sz="6" w:space="0"/>
            </w:tcBorders>
            <w:vAlign w:val="center"/>
          </w:tcPr>
          <w:p w14:paraId="43302AFA">
            <w:pPr>
              <w:pStyle w:val="41"/>
              <w:rPr>
                <w:rFonts w:hint="default" w:ascii="Times New Roman" w:hAnsi="Times New Roman" w:cs="Times New Roman"/>
                <w:color w:val="auto"/>
                <w:u w:val="none"/>
              </w:rPr>
            </w:pPr>
            <w:r>
              <w:rPr>
                <w:rFonts w:hint="default" w:ascii="Times New Roman" w:hAnsi="Times New Roman" w:cs="Times New Roman"/>
                <w:color w:val="auto"/>
                <w:u w:val="none"/>
              </w:rPr>
              <w:t>SE</w:t>
            </w:r>
          </w:p>
        </w:tc>
        <w:tc>
          <w:tcPr>
            <w:tcW w:w="537" w:type="dxa"/>
            <w:tcBorders>
              <w:top w:val="single" w:color="auto" w:sz="12" w:space="0"/>
              <w:left w:val="single" w:color="000000" w:sz="6" w:space="0"/>
              <w:bottom w:val="single" w:color="000000" w:sz="6" w:space="0"/>
              <w:right w:val="single" w:color="000000" w:sz="6" w:space="0"/>
            </w:tcBorders>
            <w:vAlign w:val="center"/>
          </w:tcPr>
          <w:p w14:paraId="3CB2A907">
            <w:pPr>
              <w:pStyle w:val="41"/>
              <w:rPr>
                <w:rFonts w:hint="default" w:ascii="Times New Roman" w:hAnsi="Times New Roman" w:cs="Times New Roman"/>
                <w:color w:val="auto"/>
                <w:u w:val="none"/>
              </w:rPr>
            </w:pPr>
            <w:r>
              <w:rPr>
                <w:rFonts w:hint="default" w:ascii="Times New Roman" w:hAnsi="Times New Roman" w:cs="Times New Roman"/>
                <w:color w:val="auto"/>
                <w:u w:val="none"/>
              </w:rPr>
              <w:t>SSE</w:t>
            </w:r>
          </w:p>
        </w:tc>
        <w:tc>
          <w:tcPr>
            <w:tcW w:w="323" w:type="dxa"/>
            <w:tcBorders>
              <w:top w:val="single" w:color="auto" w:sz="12" w:space="0"/>
              <w:left w:val="single" w:color="000000" w:sz="6" w:space="0"/>
              <w:bottom w:val="single" w:color="000000" w:sz="6" w:space="0"/>
              <w:right w:val="single" w:color="000000" w:sz="6" w:space="0"/>
            </w:tcBorders>
            <w:vAlign w:val="center"/>
          </w:tcPr>
          <w:p w14:paraId="470DAAC1">
            <w:pPr>
              <w:pStyle w:val="41"/>
              <w:rPr>
                <w:rFonts w:hint="default" w:ascii="Times New Roman" w:hAnsi="Times New Roman" w:cs="Times New Roman"/>
                <w:color w:val="auto"/>
                <w:u w:val="none"/>
              </w:rPr>
            </w:pPr>
            <w:r>
              <w:rPr>
                <w:rFonts w:hint="default" w:ascii="Times New Roman" w:hAnsi="Times New Roman" w:cs="Times New Roman"/>
                <w:color w:val="auto"/>
                <w:u w:val="none"/>
              </w:rPr>
              <w:t>S</w:t>
            </w:r>
          </w:p>
        </w:tc>
        <w:tc>
          <w:tcPr>
            <w:tcW w:w="598" w:type="dxa"/>
            <w:tcBorders>
              <w:top w:val="single" w:color="auto" w:sz="12" w:space="0"/>
              <w:left w:val="single" w:color="000000" w:sz="6" w:space="0"/>
              <w:bottom w:val="single" w:color="000000" w:sz="6" w:space="0"/>
              <w:right w:val="single" w:color="000000" w:sz="6" w:space="0"/>
            </w:tcBorders>
            <w:vAlign w:val="center"/>
          </w:tcPr>
          <w:p w14:paraId="7854F8C7">
            <w:pPr>
              <w:pStyle w:val="41"/>
              <w:rPr>
                <w:rFonts w:hint="default" w:ascii="Times New Roman" w:hAnsi="Times New Roman" w:cs="Times New Roman"/>
                <w:color w:val="auto"/>
                <w:u w:val="none"/>
              </w:rPr>
            </w:pPr>
            <w:r>
              <w:rPr>
                <w:rFonts w:hint="default" w:ascii="Times New Roman" w:hAnsi="Times New Roman" w:cs="Times New Roman"/>
                <w:color w:val="auto"/>
                <w:u w:val="none"/>
              </w:rPr>
              <w:t>SSW</w:t>
            </w:r>
          </w:p>
        </w:tc>
        <w:tc>
          <w:tcPr>
            <w:tcW w:w="495" w:type="dxa"/>
            <w:tcBorders>
              <w:top w:val="single" w:color="auto" w:sz="12" w:space="0"/>
              <w:left w:val="single" w:color="000000" w:sz="6" w:space="0"/>
              <w:bottom w:val="single" w:color="000000" w:sz="6" w:space="0"/>
              <w:right w:val="single" w:color="000000" w:sz="6" w:space="0"/>
            </w:tcBorders>
            <w:vAlign w:val="center"/>
          </w:tcPr>
          <w:p w14:paraId="4E4D9247">
            <w:pPr>
              <w:pStyle w:val="41"/>
              <w:rPr>
                <w:rFonts w:hint="default" w:ascii="Times New Roman" w:hAnsi="Times New Roman" w:cs="Times New Roman"/>
                <w:color w:val="auto"/>
                <w:u w:val="none"/>
              </w:rPr>
            </w:pPr>
            <w:r>
              <w:rPr>
                <w:rFonts w:hint="default" w:ascii="Times New Roman" w:hAnsi="Times New Roman" w:cs="Times New Roman"/>
                <w:color w:val="auto"/>
                <w:u w:val="none"/>
              </w:rPr>
              <w:t>SW</w:t>
            </w:r>
          </w:p>
        </w:tc>
        <w:tc>
          <w:tcPr>
            <w:tcW w:w="668" w:type="dxa"/>
            <w:tcBorders>
              <w:top w:val="single" w:color="auto" w:sz="12" w:space="0"/>
              <w:left w:val="single" w:color="000000" w:sz="6" w:space="0"/>
              <w:bottom w:val="single" w:color="000000" w:sz="6" w:space="0"/>
              <w:right w:val="single" w:color="000000" w:sz="6" w:space="0"/>
            </w:tcBorders>
            <w:vAlign w:val="center"/>
          </w:tcPr>
          <w:p w14:paraId="66167D60">
            <w:pPr>
              <w:pStyle w:val="41"/>
              <w:rPr>
                <w:rFonts w:hint="default" w:ascii="Times New Roman" w:hAnsi="Times New Roman" w:cs="Times New Roman"/>
                <w:color w:val="auto"/>
                <w:u w:val="none"/>
              </w:rPr>
            </w:pPr>
            <w:r>
              <w:rPr>
                <w:rFonts w:hint="default" w:ascii="Times New Roman" w:hAnsi="Times New Roman" w:cs="Times New Roman"/>
                <w:color w:val="auto"/>
                <w:u w:val="none"/>
              </w:rPr>
              <w:t>WSW</w:t>
            </w:r>
          </w:p>
        </w:tc>
        <w:tc>
          <w:tcPr>
            <w:tcW w:w="495" w:type="dxa"/>
            <w:tcBorders>
              <w:top w:val="single" w:color="auto" w:sz="12" w:space="0"/>
              <w:left w:val="single" w:color="000000" w:sz="6" w:space="0"/>
              <w:bottom w:val="single" w:color="000000" w:sz="6" w:space="0"/>
              <w:right w:val="single" w:color="000000" w:sz="6" w:space="0"/>
            </w:tcBorders>
            <w:vAlign w:val="center"/>
          </w:tcPr>
          <w:p w14:paraId="69E45D36">
            <w:pPr>
              <w:pStyle w:val="41"/>
              <w:rPr>
                <w:rFonts w:hint="default" w:ascii="Times New Roman" w:hAnsi="Times New Roman" w:cs="Times New Roman"/>
                <w:color w:val="auto"/>
                <w:u w:val="none"/>
              </w:rPr>
            </w:pPr>
            <w:r>
              <w:rPr>
                <w:rFonts w:hint="default" w:ascii="Times New Roman" w:hAnsi="Times New Roman" w:cs="Times New Roman"/>
                <w:color w:val="auto"/>
                <w:u w:val="none"/>
              </w:rPr>
              <w:t>SW</w:t>
            </w:r>
          </w:p>
        </w:tc>
        <w:tc>
          <w:tcPr>
            <w:tcW w:w="668" w:type="dxa"/>
            <w:tcBorders>
              <w:top w:val="single" w:color="auto" w:sz="12" w:space="0"/>
              <w:left w:val="single" w:color="000000" w:sz="6" w:space="0"/>
              <w:bottom w:val="single" w:color="000000" w:sz="6" w:space="0"/>
              <w:right w:val="single" w:color="000000" w:sz="6" w:space="0"/>
            </w:tcBorders>
            <w:vAlign w:val="center"/>
          </w:tcPr>
          <w:p w14:paraId="2622C570">
            <w:pPr>
              <w:pStyle w:val="41"/>
              <w:rPr>
                <w:rFonts w:hint="default" w:ascii="Times New Roman" w:hAnsi="Times New Roman" w:cs="Times New Roman"/>
                <w:color w:val="auto"/>
                <w:u w:val="none"/>
              </w:rPr>
            </w:pPr>
            <w:r>
              <w:rPr>
                <w:rFonts w:hint="default" w:ascii="Times New Roman" w:hAnsi="Times New Roman" w:cs="Times New Roman"/>
                <w:color w:val="auto"/>
                <w:u w:val="none"/>
              </w:rPr>
              <w:t>WSW</w:t>
            </w:r>
          </w:p>
        </w:tc>
        <w:tc>
          <w:tcPr>
            <w:tcW w:w="526" w:type="dxa"/>
            <w:tcBorders>
              <w:top w:val="single" w:color="auto" w:sz="12" w:space="0"/>
              <w:left w:val="single" w:color="000000" w:sz="6" w:space="0"/>
              <w:bottom w:val="single" w:color="000000" w:sz="6" w:space="0"/>
              <w:right w:val="single" w:color="000000" w:sz="6" w:space="0"/>
            </w:tcBorders>
            <w:vAlign w:val="center"/>
          </w:tcPr>
          <w:p w14:paraId="76E65429">
            <w:pPr>
              <w:pStyle w:val="41"/>
              <w:rPr>
                <w:rFonts w:hint="default" w:ascii="Times New Roman" w:hAnsi="Times New Roman" w:cs="Times New Roman"/>
                <w:color w:val="auto"/>
                <w:u w:val="none"/>
              </w:rPr>
            </w:pPr>
            <w:r>
              <w:rPr>
                <w:rFonts w:hint="default" w:ascii="Times New Roman" w:hAnsi="Times New Roman" w:cs="Times New Roman"/>
                <w:color w:val="auto"/>
                <w:u w:val="none"/>
              </w:rPr>
              <w:t>NW</w:t>
            </w:r>
          </w:p>
        </w:tc>
        <w:tc>
          <w:tcPr>
            <w:tcW w:w="658" w:type="dxa"/>
            <w:tcBorders>
              <w:top w:val="single" w:color="auto" w:sz="12" w:space="0"/>
              <w:left w:val="single" w:color="000000" w:sz="6" w:space="0"/>
              <w:bottom w:val="single" w:color="000000" w:sz="6" w:space="0"/>
              <w:right w:val="single" w:color="000000" w:sz="6" w:space="0"/>
            </w:tcBorders>
            <w:vAlign w:val="center"/>
          </w:tcPr>
          <w:p w14:paraId="412DEA51">
            <w:pPr>
              <w:pStyle w:val="41"/>
              <w:rPr>
                <w:rFonts w:hint="default" w:ascii="Times New Roman" w:hAnsi="Times New Roman" w:cs="Times New Roman"/>
                <w:color w:val="auto"/>
                <w:u w:val="none"/>
              </w:rPr>
            </w:pPr>
            <w:r>
              <w:rPr>
                <w:rFonts w:hint="default" w:ascii="Times New Roman" w:hAnsi="Times New Roman" w:cs="Times New Roman"/>
                <w:color w:val="auto"/>
                <w:u w:val="none"/>
              </w:rPr>
              <w:t>NNW</w:t>
            </w:r>
          </w:p>
        </w:tc>
        <w:tc>
          <w:tcPr>
            <w:tcW w:w="344" w:type="dxa"/>
            <w:tcBorders>
              <w:top w:val="single" w:color="auto" w:sz="12" w:space="0"/>
              <w:left w:val="single" w:color="000000" w:sz="6" w:space="0"/>
              <w:bottom w:val="single" w:color="000000" w:sz="6" w:space="0"/>
              <w:right w:val="single" w:color="auto" w:sz="12" w:space="0"/>
            </w:tcBorders>
            <w:vAlign w:val="center"/>
          </w:tcPr>
          <w:p w14:paraId="00DF14D7">
            <w:pPr>
              <w:pStyle w:val="41"/>
              <w:rPr>
                <w:rFonts w:hint="default" w:ascii="Times New Roman" w:hAnsi="Times New Roman" w:cs="Times New Roman"/>
                <w:color w:val="auto"/>
                <w:u w:val="none"/>
              </w:rPr>
            </w:pPr>
            <w:r>
              <w:rPr>
                <w:rFonts w:hint="default" w:ascii="Times New Roman" w:hAnsi="Times New Roman" w:cs="Times New Roman"/>
                <w:color w:val="auto"/>
                <w:u w:val="none"/>
              </w:rPr>
              <w:t>C</w:t>
            </w:r>
          </w:p>
        </w:tc>
      </w:tr>
      <w:tr w14:paraId="5425979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14:paraId="26EBFE5A">
            <w:pPr>
              <w:pStyle w:val="41"/>
              <w:rPr>
                <w:rFonts w:hint="default" w:ascii="Times New Roman" w:hAnsi="Times New Roman" w:cs="Times New Roman"/>
                <w:color w:val="auto"/>
                <w:u w:val="none"/>
              </w:rPr>
            </w:pPr>
            <w:r>
              <w:rPr>
                <w:rFonts w:hint="default" w:ascii="Times New Roman" w:hAnsi="Times New Roman" w:cs="Times New Roman"/>
                <w:color w:val="auto"/>
                <w:u w:val="none"/>
              </w:rPr>
              <w:t>春</w:t>
            </w:r>
          </w:p>
        </w:tc>
        <w:tc>
          <w:tcPr>
            <w:tcW w:w="482" w:type="dxa"/>
            <w:tcBorders>
              <w:top w:val="single" w:color="000000" w:sz="6" w:space="0"/>
              <w:left w:val="single" w:color="000000" w:sz="6" w:space="0"/>
              <w:bottom w:val="single" w:color="000000" w:sz="6" w:space="0"/>
              <w:right w:val="single" w:color="000000" w:sz="6" w:space="0"/>
            </w:tcBorders>
            <w:vAlign w:val="center"/>
          </w:tcPr>
          <w:p w14:paraId="2CC0570C">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518" w:type="dxa"/>
            <w:tcBorders>
              <w:top w:val="single" w:color="000000" w:sz="6" w:space="0"/>
              <w:left w:val="single" w:color="000000" w:sz="6" w:space="0"/>
              <w:bottom w:val="single" w:color="000000" w:sz="6" w:space="0"/>
              <w:right w:val="single" w:color="000000" w:sz="6" w:space="0"/>
            </w:tcBorders>
            <w:vAlign w:val="center"/>
          </w:tcPr>
          <w:p w14:paraId="5C1DFFC3">
            <w:pPr>
              <w:pStyle w:val="41"/>
              <w:rPr>
                <w:rFonts w:hint="default" w:ascii="Times New Roman" w:hAnsi="Times New Roman" w:cs="Times New Roman"/>
                <w:color w:val="auto"/>
                <w:u w:val="none"/>
              </w:rPr>
            </w:pPr>
            <w:r>
              <w:rPr>
                <w:rFonts w:hint="default" w:ascii="Times New Roman" w:hAnsi="Times New Roman" w:cs="Times New Roman"/>
                <w:color w:val="auto"/>
                <w:u w:val="none"/>
              </w:rPr>
              <w:t>17</w:t>
            </w:r>
          </w:p>
        </w:tc>
        <w:tc>
          <w:tcPr>
            <w:tcW w:w="465" w:type="dxa"/>
            <w:tcBorders>
              <w:top w:val="single" w:color="000000" w:sz="6" w:space="0"/>
              <w:left w:val="single" w:color="000000" w:sz="6" w:space="0"/>
              <w:bottom w:val="single" w:color="000000" w:sz="6" w:space="0"/>
              <w:right w:val="single" w:color="000000" w:sz="6" w:space="0"/>
            </w:tcBorders>
            <w:vAlign w:val="center"/>
          </w:tcPr>
          <w:p w14:paraId="1DA906B4">
            <w:pPr>
              <w:pStyle w:val="41"/>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577" w:type="dxa"/>
            <w:tcBorders>
              <w:top w:val="single" w:color="000000" w:sz="6" w:space="0"/>
              <w:left w:val="single" w:color="000000" w:sz="6" w:space="0"/>
              <w:bottom w:val="single" w:color="000000" w:sz="6" w:space="0"/>
              <w:right w:val="single" w:color="000000" w:sz="6" w:space="0"/>
            </w:tcBorders>
            <w:vAlign w:val="center"/>
          </w:tcPr>
          <w:p w14:paraId="656E2F3D">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332" w:type="dxa"/>
            <w:tcBorders>
              <w:top w:val="single" w:color="000000" w:sz="6" w:space="0"/>
              <w:left w:val="single" w:color="000000" w:sz="6" w:space="0"/>
              <w:bottom w:val="single" w:color="000000" w:sz="6" w:space="0"/>
              <w:right w:val="single" w:color="000000" w:sz="6" w:space="0"/>
            </w:tcBorders>
            <w:vAlign w:val="center"/>
          </w:tcPr>
          <w:p w14:paraId="48B216CB">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547" w:type="dxa"/>
            <w:tcBorders>
              <w:top w:val="single" w:color="000000" w:sz="6" w:space="0"/>
              <w:left w:val="single" w:color="000000" w:sz="6" w:space="0"/>
              <w:bottom w:val="single" w:color="000000" w:sz="6" w:space="0"/>
              <w:right w:val="single" w:color="000000" w:sz="6" w:space="0"/>
            </w:tcBorders>
            <w:vAlign w:val="center"/>
          </w:tcPr>
          <w:p w14:paraId="59D93D1E">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435" w:type="dxa"/>
            <w:tcBorders>
              <w:top w:val="single" w:color="000000" w:sz="6" w:space="0"/>
              <w:left w:val="single" w:color="000000" w:sz="6" w:space="0"/>
              <w:bottom w:val="single" w:color="000000" w:sz="6" w:space="0"/>
              <w:right w:val="single" w:color="000000" w:sz="6" w:space="0"/>
            </w:tcBorders>
            <w:vAlign w:val="center"/>
          </w:tcPr>
          <w:p w14:paraId="766FFC54">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537" w:type="dxa"/>
            <w:tcBorders>
              <w:top w:val="single" w:color="000000" w:sz="6" w:space="0"/>
              <w:left w:val="single" w:color="000000" w:sz="6" w:space="0"/>
              <w:bottom w:val="single" w:color="000000" w:sz="6" w:space="0"/>
              <w:right w:val="single" w:color="000000" w:sz="6" w:space="0"/>
            </w:tcBorders>
            <w:vAlign w:val="center"/>
          </w:tcPr>
          <w:p w14:paraId="43B355C6">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323" w:type="dxa"/>
            <w:tcBorders>
              <w:top w:val="single" w:color="000000" w:sz="6" w:space="0"/>
              <w:left w:val="single" w:color="000000" w:sz="6" w:space="0"/>
              <w:bottom w:val="single" w:color="000000" w:sz="6" w:space="0"/>
              <w:right w:val="single" w:color="000000" w:sz="6" w:space="0"/>
            </w:tcBorders>
            <w:vAlign w:val="center"/>
          </w:tcPr>
          <w:p w14:paraId="66F3DA70">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598" w:type="dxa"/>
            <w:tcBorders>
              <w:top w:val="single" w:color="000000" w:sz="6" w:space="0"/>
              <w:left w:val="single" w:color="000000" w:sz="6" w:space="0"/>
              <w:bottom w:val="single" w:color="000000" w:sz="6" w:space="0"/>
              <w:right w:val="single" w:color="000000" w:sz="6" w:space="0"/>
            </w:tcBorders>
            <w:vAlign w:val="center"/>
          </w:tcPr>
          <w:p w14:paraId="2F27825D">
            <w:pPr>
              <w:pStyle w:val="41"/>
              <w:rPr>
                <w:rFonts w:hint="default" w:ascii="Times New Roman" w:hAnsi="Times New Roman" w:cs="Times New Roman"/>
                <w:color w:val="auto"/>
                <w:u w:val="none"/>
              </w:rPr>
            </w:pPr>
            <w:r>
              <w:rPr>
                <w:rFonts w:hint="default" w:ascii="Times New Roman" w:hAnsi="Times New Roman" w:cs="Times New Roman"/>
                <w:color w:val="auto"/>
                <w:u w:val="none"/>
              </w:rPr>
              <w:t>0</w:t>
            </w:r>
          </w:p>
        </w:tc>
        <w:tc>
          <w:tcPr>
            <w:tcW w:w="495" w:type="dxa"/>
            <w:tcBorders>
              <w:top w:val="single" w:color="000000" w:sz="6" w:space="0"/>
              <w:left w:val="single" w:color="000000" w:sz="6" w:space="0"/>
              <w:bottom w:val="single" w:color="000000" w:sz="6" w:space="0"/>
              <w:right w:val="single" w:color="000000" w:sz="6" w:space="0"/>
            </w:tcBorders>
            <w:vAlign w:val="center"/>
          </w:tcPr>
          <w:p w14:paraId="7C97A02C">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668" w:type="dxa"/>
            <w:tcBorders>
              <w:top w:val="single" w:color="000000" w:sz="6" w:space="0"/>
              <w:left w:val="single" w:color="000000" w:sz="6" w:space="0"/>
              <w:bottom w:val="single" w:color="000000" w:sz="6" w:space="0"/>
              <w:right w:val="single" w:color="000000" w:sz="6" w:space="0"/>
            </w:tcBorders>
            <w:vAlign w:val="center"/>
          </w:tcPr>
          <w:p w14:paraId="302E7795">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495" w:type="dxa"/>
            <w:tcBorders>
              <w:top w:val="single" w:color="000000" w:sz="6" w:space="0"/>
              <w:left w:val="single" w:color="000000" w:sz="6" w:space="0"/>
              <w:bottom w:val="single" w:color="000000" w:sz="6" w:space="0"/>
              <w:right w:val="single" w:color="000000" w:sz="6" w:space="0"/>
            </w:tcBorders>
            <w:vAlign w:val="center"/>
          </w:tcPr>
          <w:p w14:paraId="7FFBC40E">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668" w:type="dxa"/>
            <w:tcBorders>
              <w:top w:val="single" w:color="000000" w:sz="6" w:space="0"/>
              <w:left w:val="single" w:color="000000" w:sz="6" w:space="0"/>
              <w:bottom w:val="single" w:color="000000" w:sz="6" w:space="0"/>
              <w:right w:val="single" w:color="000000" w:sz="6" w:space="0"/>
            </w:tcBorders>
            <w:vAlign w:val="center"/>
          </w:tcPr>
          <w:p w14:paraId="6CF9919F">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526" w:type="dxa"/>
            <w:tcBorders>
              <w:top w:val="single" w:color="000000" w:sz="6" w:space="0"/>
              <w:left w:val="single" w:color="000000" w:sz="6" w:space="0"/>
              <w:bottom w:val="single" w:color="000000" w:sz="6" w:space="0"/>
              <w:right w:val="single" w:color="000000" w:sz="6" w:space="0"/>
            </w:tcBorders>
            <w:vAlign w:val="center"/>
          </w:tcPr>
          <w:p w14:paraId="3E408F38">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658" w:type="dxa"/>
            <w:tcBorders>
              <w:top w:val="single" w:color="000000" w:sz="6" w:space="0"/>
              <w:left w:val="single" w:color="000000" w:sz="6" w:space="0"/>
              <w:bottom w:val="single" w:color="000000" w:sz="6" w:space="0"/>
              <w:right w:val="single" w:color="000000" w:sz="6" w:space="0"/>
            </w:tcBorders>
            <w:vAlign w:val="center"/>
          </w:tcPr>
          <w:p w14:paraId="19D037C4">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344" w:type="dxa"/>
            <w:tcBorders>
              <w:top w:val="single" w:color="000000" w:sz="6" w:space="0"/>
              <w:left w:val="single" w:color="000000" w:sz="6" w:space="0"/>
              <w:bottom w:val="single" w:color="000000" w:sz="6" w:space="0"/>
              <w:right w:val="single" w:color="auto" w:sz="12" w:space="0"/>
            </w:tcBorders>
            <w:vAlign w:val="center"/>
          </w:tcPr>
          <w:p w14:paraId="7FDC07BD">
            <w:pPr>
              <w:pStyle w:val="41"/>
              <w:rPr>
                <w:rFonts w:hint="default" w:ascii="Times New Roman" w:hAnsi="Times New Roman" w:cs="Times New Roman"/>
                <w:color w:val="auto"/>
                <w:u w:val="none"/>
              </w:rPr>
            </w:pPr>
            <w:r>
              <w:rPr>
                <w:rFonts w:hint="default" w:ascii="Times New Roman" w:hAnsi="Times New Roman" w:cs="Times New Roman"/>
                <w:color w:val="auto"/>
                <w:u w:val="none"/>
              </w:rPr>
              <w:t>9</w:t>
            </w:r>
          </w:p>
        </w:tc>
      </w:tr>
      <w:tr w14:paraId="4EA4E6F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14:paraId="7D71617E">
            <w:pPr>
              <w:pStyle w:val="41"/>
              <w:rPr>
                <w:rFonts w:hint="default" w:ascii="Times New Roman" w:hAnsi="Times New Roman" w:cs="Times New Roman"/>
                <w:color w:val="auto"/>
                <w:u w:val="none"/>
              </w:rPr>
            </w:pPr>
            <w:r>
              <w:rPr>
                <w:rFonts w:hint="default" w:ascii="Times New Roman" w:hAnsi="Times New Roman" w:cs="Times New Roman"/>
                <w:color w:val="auto"/>
                <w:u w:val="none"/>
              </w:rPr>
              <w:t>夏</w:t>
            </w:r>
          </w:p>
        </w:tc>
        <w:tc>
          <w:tcPr>
            <w:tcW w:w="482" w:type="dxa"/>
            <w:tcBorders>
              <w:top w:val="single" w:color="000000" w:sz="6" w:space="0"/>
              <w:left w:val="single" w:color="000000" w:sz="6" w:space="0"/>
              <w:bottom w:val="single" w:color="000000" w:sz="6" w:space="0"/>
              <w:right w:val="single" w:color="000000" w:sz="6" w:space="0"/>
            </w:tcBorders>
            <w:vAlign w:val="center"/>
          </w:tcPr>
          <w:p w14:paraId="63E371BC">
            <w:pPr>
              <w:pStyle w:val="41"/>
              <w:rPr>
                <w:rFonts w:hint="default" w:ascii="Times New Roman" w:hAnsi="Times New Roman" w:cs="Times New Roman"/>
                <w:color w:val="auto"/>
                <w:u w:val="none"/>
              </w:rPr>
            </w:pPr>
            <w:r>
              <w:rPr>
                <w:rFonts w:hint="default" w:ascii="Times New Roman" w:hAnsi="Times New Roman" w:cs="Times New Roman"/>
                <w:color w:val="auto"/>
                <w:u w:val="none"/>
              </w:rPr>
              <w:t>13</w:t>
            </w:r>
          </w:p>
        </w:tc>
        <w:tc>
          <w:tcPr>
            <w:tcW w:w="518" w:type="dxa"/>
            <w:tcBorders>
              <w:top w:val="single" w:color="000000" w:sz="6" w:space="0"/>
              <w:left w:val="single" w:color="000000" w:sz="6" w:space="0"/>
              <w:bottom w:val="single" w:color="000000" w:sz="6" w:space="0"/>
              <w:right w:val="single" w:color="000000" w:sz="6" w:space="0"/>
            </w:tcBorders>
            <w:vAlign w:val="center"/>
          </w:tcPr>
          <w:p w14:paraId="12CA0C57">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465" w:type="dxa"/>
            <w:tcBorders>
              <w:top w:val="single" w:color="000000" w:sz="6" w:space="0"/>
              <w:left w:val="single" w:color="000000" w:sz="6" w:space="0"/>
              <w:bottom w:val="single" w:color="000000" w:sz="6" w:space="0"/>
              <w:right w:val="single" w:color="000000" w:sz="6" w:space="0"/>
            </w:tcBorders>
            <w:vAlign w:val="center"/>
          </w:tcPr>
          <w:p w14:paraId="6770D5A7">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c>
          <w:tcPr>
            <w:tcW w:w="577" w:type="dxa"/>
            <w:tcBorders>
              <w:top w:val="single" w:color="000000" w:sz="6" w:space="0"/>
              <w:left w:val="single" w:color="000000" w:sz="6" w:space="0"/>
              <w:bottom w:val="single" w:color="000000" w:sz="6" w:space="0"/>
              <w:right w:val="single" w:color="000000" w:sz="6" w:space="0"/>
            </w:tcBorders>
            <w:vAlign w:val="center"/>
          </w:tcPr>
          <w:p w14:paraId="6B0C632C">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332" w:type="dxa"/>
            <w:tcBorders>
              <w:top w:val="single" w:color="000000" w:sz="6" w:space="0"/>
              <w:left w:val="single" w:color="000000" w:sz="6" w:space="0"/>
              <w:bottom w:val="single" w:color="000000" w:sz="6" w:space="0"/>
              <w:right w:val="single" w:color="000000" w:sz="6" w:space="0"/>
            </w:tcBorders>
            <w:vAlign w:val="center"/>
          </w:tcPr>
          <w:p w14:paraId="4EDD42A9">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47" w:type="dxa"/>
            <w:tcBorders>
              <w:top w:val="single" w:color="000000" w:sz="6" w:space="0"/>
              <w:left w:val="single" w:color="000000" w:sz="6" w:space="0"/>
              <w:bottom w:val="single" w:color="000000" w:sz="6" w:space="0"/>
              <w:right w:val="single" w:color="000000" w:sz="6" w:space="0"/>
            </w:tcBorders>
            <w:vAlign w:val="center"/>
          </w:tcPr>
          <w:p w14:paraId="5014E842">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435" w:type="dxa"/>
            <w:tcBorders>
              <w:top w:val="single" w:color="000000" w:sz="6" w:space="0"/>
              <w:left w:val="single" w:color="000000" w:sz="6" w:space="0"/>
              <w:bottom w:val="single" w:color="000000" w:sz="6" w:space="0"/>
              <w:right w:val="single" w:color="000000" w:sz="6" w:space="0"/>
            </w:tcBorders>
            <w:vAlign w:val="center"/>
          </w:tcPr>
          <w:p w14:paraId="0E993EE3">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537" w:type="dxa"/>
            <w:tcBorders>
              <w:top w:val="single" w:color="000000" w:sz="6" w:space="0"/>
              <w:left w:val="single" w:color="000000" w:sz="6" w:space="0"/>
              <w:bottom w:val="single" w:color="000000" w:sz="6" w:space="0"/>
              <w:right w:val="single" w:color="000000" w:sz="6" w:space="0"/>
            </w:tcBorders>
            <w:vAlign w:val="center"/>
          </w:tcPr>
          <w:p w14:paraId="6ACEE5B8">
            <w:pPr>
              <w:pStyle w:val="41"/>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323" w:type="dxa"/>
            <w:tcBorders>
              <w:top w:val="single" w:color="000000" w:sz="6" w:space="0"/>
              <w:left w:val="single" w:color="000000" w:sz="6" w:space="0"/>
              <w:bottom w:val="single" w:color="000000" w:sz="6" w:space="0"/>
              <w:right w:val="single" w:color="000000" w:sz="6" w:space="0"/>
            </w:tcBorders>
            <w:vAlign w:val="center"/>
          </w:tcPr>
          <w:p w14:paraId="1C8C18A3">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598" w:type="dxa"/>
            <w:tcBorders>
              <w:top w:val="single" w:color="000000" w:sz="6" w:space="0"/>
              <w:left w:val="single" w:color="000000" w:sz="6" w:space="0"/>
              <w:bottom w:val="single" w:color="000000" w:sz="6" w:space="0"/>
              <w:right w:val="single" w:color="000000" w:sz="6" w:space="0"/>
            </w:tcBorders>
            <w:vAlign w:val="center"/>
          </w:tcPr>
          <w:p w14:paraId="0700FD6F">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495" w:type="dxa"/>
            <w:tcBorders>
              <w:top w:val="single" w:color="000000" w:sz="6" w:space="0"/>
              <w:left w:val="single" w:color="000000" w:sz="6" w:space="0"/>
              <w:bottom w:val="single" w:color="000000" w:sz="6" w:space="0"/>
              <w:right w:val="single" w:color="000000" w:sz="6" w:space="0"/>
            </w:tcBorders>
            <w:vAlign w:val="center"/>
          </w:tcPr>
          <w:p w14:paraId="1D84A66D">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668" w:type="dxa"/>
            <w:tcBorders>
              <w:top w:val="single" w:color="000000" w:sz="6" w:space="0"/>
              <w:left w:val="single" w:color="000000" w:sz="6" w:space="0"/>
              <w:bottom w:val="single" w:color="000000" w:sz="6" w:space="0"/>
              <w:right w:val="single" w:color="000000" w:sz="6" w:space="0"/>
            </w:tcBorders>
            <w:vAlign w:val="center"/>
          </w:tcPr>
          <w:p w14:paraId="2FCDBE37">
            <w:pPr>
              <w:pStyle w:val="41"/>
              <w:rPr>
                <w:rFonts w:hint="default" w:ascii="Times New Roman" w:hAnsi="Times New Roman" w:cs="Times New Roman"/>
                <w:color w:val="auto"/>
                <w:u w:val="none"/>
              </w:rPr>
            </w:pPr>
            <w:r>
              <w:rPr>
                <w:rFonts w:hint="default" w:ascii="Times New Roman" w:hAnsi="Times New Roman" w:cs="Times New Roman"/>
                <w:color w:val="auto"/>
                <w:u w:val="none"/>
              </w:rPr>
              <w:t>7</w:t>
            </w:r>
          </w:p>
        </w:tc>
        <w:tc>
          <w:tcPr>
            <w:tcW w:w="495" w:type="dxa"/>
            <w:tcBorders>
              <w:top w:val="single" w:color="000000" w:sz="6" w:space="0"/>
              <w:left w:val="single" w:color="000000" w:sz="6" w:space="0"/>
              <w:bottom w:val="single" w:color="000000" w:sz="6" w:space="0"/>
              <w:right w:val="single" w:color="000000" w:sz="6" w:space="0"/>
            </w:tcBorders>
            <w:vAlign w:val="center"/>
          </w:tcPr>
          <w:p w14:paraId="4A3149B5">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668" w:type="dxa"/>
            <w:tcBorders>
              <w:top w:val="single" w:color="000000" w:sz="6" w:space="0"/>
              <w:left w:val="single" w:color="000000" w:sz="6" w:space="0"/>
              <w:bottom w:val="single" w:color="000000" w:sz="6" w:space="0"/>
              <w:right w:val="single" w:color="000000" w:sz="6" w:space="0"/>
            </w:tcBorders>
            <w:vAlign w:val="center"/>
          </w:tcPr>
          <w:p w14:paraId="55ED6FB0">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526" w:type="dxa"/>
            <w:tcBorders>
              <w:top w:val="single" w:color="000000" w:sz="6" w:space="0"/>
              <w:left w:val="single" w:color="000000" w:sz="6" w:space="0"/>
              <w:bottom w:val="single" w:color="000000" w:sz="6" w:space="0"/>
              <w:right w:val="single" w:color="000000" w:sz="6" w:space="0"/>
            </w:tcBorders>
            <w:vAlign w:val="center"/>
          </w:tcPr>
          <w:p w14:paraId="3ED339BB">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58" w:type="dxa"/>
            <w:tcBorders>
              <w:top w:val="single" w:color="000000" w:sz="6" w:space="0"/>
              <w:left w:val="single" w:color="000000" w:sz="6" w:space="0"/>
              <w:bottom w:val="single" w:color="000000" w:sz="6" w:space="0"/>
              <w:right w:val="single" w:color="000000" w:sz="6" w:space="0"/>
            </w:tcBorders>
            <w:vAlign w:val="center"/>
          </w:tcPr>
          <w:p w14:paraId="07A4BB59">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344" w:type="dxa"/>
            <w:tcBorders>
              <w:top w:val="single" w:color="000000" w:sz="6" w:space="0"/>
              <w:left w:val="single" w:color="000000" w:sz="6" w:space="0"/>
              <w:bottom w:val="single" w:color="000000" w:sz="6" w:space="0"/>
              <w:right w:val="single" w:color="auto" w:sz="12" w:space="0"/>
            </w:tcBorders>
            <w:vAlign w:val="center"/>
          </w:tcPr>
          <w:p w14:paraId="28959E65">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r>
      <w:tr w14:paraId="1FB5B28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14:paraId="249BD396">
            <w:pPr>
              <w:pStyle w:val="41"/>
              <w:rPr>
                <w:rFonts w:hint="default" w:ascii="Times New Roman" w:hAnsi="Times New Roman" w:cs="Times New Roman"/>
                <w:color w:val="auto"/>
                <w:u w:val="none"/>
              </w:rPr>
            </w:pPr>
            <w:r>
              <w:rPr>
                <w:rFonts w:hint="default" w:ascii="Times New Roman" w:hAnsi="Times New Roman" w:cs="Times New Roman"/>
                <w:color w:val="auto"/>
                <w:u w:val="none"/>
              </w:rPr>
              <w:t>秋</w:t>
            </w:r>
          </w:p>
        </w:tc>
        <w:tc>
          <w:tcPr>
            <w:tcW w:w="482" w:type="dxa"/>
            <w:tcBorders>
              <w:top w:val="single" w:color="000000" w:sz="6" w:space="0"/>
              <w:left w:val="single" w:color="000000" w:sz="6" w:space="0"/>
              <w:bottom w:val="single" w:color="000000" w:sz="6" w:space="0"/>
              <w:right w:val="single" w:color="000000" w:sz="6" w:space="0"/>
            </w:tcBorders>
            <w:vAlign w:val="center"/>
          </w:tcPr>
          <w:p w14:paraId="0FB5E373">
            <w:pPr>
              <w:pStyle w:val="41"/>
              <w:rPr>
                <w:rFonts w:hint="default" w:ascii="Times New Roman" w:hAnsi="Times New Roman" w:cs="Times New Roman"/>
                <w:color w:val="auto"/>
                <w:u w:val="none"/>
              </w:rPr>
            </w:pPr>
            <w:r>
              <w:rPr>
                <w:rFonts w:hint="default" w:ascii="Times New Roman" w:hAnsi="Times New Roman" w:cs="Times New Roman"/>
                <w:color w:val="auto"/>
                <w:u w:val="none"/>
              </w:rPr>
              <w:t>14</w:t>
            </w:r>
          </w:p>
        </w:tc>
        <w:tc>
          <w:tcPr>
            <w:tcW w:w="518" w:type="dxa"/>
            <w:tcBorders>
              <w:top w:val="single" w:color="000000" w:sz="6" w:space="0"/>
              <w:left w:val="single" w:color="000000" w:sz="6" w:space="0"/>
              <w:bottom w:val="single" w:color="000000" w:sz="6" w:space="0"/>
              <w:right w:val="single" w:color="000000" w:sz="6" w:space="0"/>
            </w:tcBorders>
            <w:vAlign w:val="center"/>
          </w:tcPr>
          <w:p w14:paraId="615FD9B1">
            <w:pPr>
              <w:pStyle w:val="41"/>
              <w:rPr>
                <w:rFonts w:hint="default" w:ascii="Times New Roman" w:hAnsi="Times New Roman" w:cs="Times New Roman"/>
                <w:color w:val="auto"/>
                <w:u w:val="none"/>
              </w:rPr>
            </w:pPr>
            <w:r>
              <w:rPr>
                <w:rFonts w:hint="default" w:ascii="Times New Roman" w:hAnsi="Times New Roman" w:cs="Times New Roman"/>
                <w:color w:val="auto"/>
                <w:u w:val="none"/>
              </w:rPr>
              <w:t>20</w:t>
            </w:r>
          </w:p>
        </w:tc>
        <w:tc>
          <w:tcPr>
            <w:tcW w:w="465" w:type="dxa"/>
            <w:tcBorders>
              <w:top w:val="single" w:color="000000" w:sz="6" w:space="0"/>
              <w:left w:val="single" w:color="000000" w:sz="6" w:space="0"/>
              <w:bottom w:val="single" w:color="000000" w:sz="6" w:space="0"/>
              <w:right w:val="single" w:color="000000" w:sz="6" w:space="0"/>
            </w:tcBorders>
            <w:vAlign w:val="center"/>
          </w:tcPr>
          <w:p w14:paraId="6CC27936">
            <w:pPr>
              <w:pStyle w:val="41"/>
              <w:rPr>
                <w:rFonts w:hint="default" w:ascii="Times New Roman" w:hAnsi="Times New Roman" w:cs="Times New Roman"/>
                <w:color w:val="auto"/>
                <w:u w:val="none"/>
              </w:rPr>
            </w:pPr>
            <w:r>
              <w:rPr>
                <w:rFonts w:hint="default" w:ascii="Times New Roman" w:hAnsi="Times New Roman" w:cs="Times New Roman"/>
                <w:color w:val="auto"/>
                <w:u w:val="none"/>
              </w:rPr>
              <w:t>18</w:t>
            </w:r>
          </w:p>
        </w:tc>
        <w:tc>
          <w:tcPr>
            <w:tcW w:w="577" w:type="dxa"/>
            <w:tcBorders>
              <w:top w:val="single" w:color="000000" w:sz="6" w:space="0"/>
              <w:left w:val="single" w:color="000000" w:sz="6" w:space="0"/>
              <w:bottom w:val="single" w:color="000000" w:sz="6" w:space="0"/>
              <w:right w:val="single" w:color="000000" w:sz="6" w:space="0"/>
            </w:tcBorders>
            <w:vAlign w:val="center"/>
          </w:tcPr>
          <w:p w14:paraId="629A1B8B">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332" w:type="dxa"/>
            <w:tcBorders>
              <w:top w:val="single" w:color="000000" w:sz="6" w:space="0"/>
              <w:left w:val="single" w:color="000000" w:sz="6" w:space="0"/>
              <w:bottom w:val="single" w:color="000000" w:sz="6" w:space="0"/>
              <w:right w:val="single" w:color="000000" w:sz="6" w:space="0"/>
            </w:tcBorders>
            <w:vAlign w:val="center"/>
          </w:tcPr>
          <w:p w14:paraId="03AB18BA">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47" w:type="dxa"/>
            <w:tcBorders>
              <w:top w:val="single" w:color="000000" w:sz="6" w:space="0"/>
              <w:left w:val="single" w:color="000000" w:sz="6" w:space="0"/>
              <w:bottom w:val="single" w:color="000000" w:sz="6" w:space="0"/>
              <w:right w:val="single" w:color="000000" w:sz="6" w:space="0"/>
            </w:tcBorders>
            <w:vAlign w:val="center"/>
          </w:tcPr>
          <w:p w14:paraId="3208FD5F">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435" w:type="dxa"/>
            <w:tcBorders>
              <w:top w:val="single" w:color="000000" w:sz="6" w:space="0"/>
              <w:left w:val="single" w:color="000000" w:sz="6" w:space="0"/>
              <w:bottom w:val="single" w:color="000000" w:sz="6" w:space="0"/>
              <w:right w:val="single" w:color="000000" w:sz="6" w:space="0"/>
            </w:tcBorders>
            <w:vAlign w:val="center"/>
          </w:tcPr>
          <w:p w14:paraId="7CCE3DD7">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37" w:type="dxa"/>
            <w:tcBorders>
              <w:top w:val="single" w:color="000000" w:sz="6" w:space="0"/>
              <w:left w:val="single" w:color="000000" w:sz="6" w:space="0"/>
              <w:bottom w:val="single" w:color="000000" w:sz="6" w:space="0"/>
              <w:right w:val="single" w:color="000000" w:sz="6" w:space="0"/>
            </w:tcBorders>
            <w:vAlign w:val="center"/>
          </w:tcPr>
          <w:p w14:paraId="198A68C2">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323" w:type="dxa"/>
            <w:tcBorders>
              <w:top w:val="single" w:color="000000" w:sz="6" w:space="0"/>
              <w:left w:val="single" w:color="000000" w:sz="6" w:space="0"/>
              <w:bottom w:val="single" w:color="000000" w:sz="6" w:space="0"/>
              <w:right w:val="single" w:color="000000" w:sz="6" w:space="0"/>
            </w:tcBorders>
            <w:vAlign w:val="center"/>
          </w:tcPr>
          <w:p w14:paraId="3839AFF7">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598" w:type="dxa"/>
            <w:tcBorders>
              <w:top w:val="single" w:color="000000" w:sz="6" w:space="0"/>
              <w:left w:val="single" w:color="000000" w:sz="6" w:space="0"/>
              <w:bottom w:val="single" w:color="000000" w:sz="6" w:space="0"/>
              <w:right w:val="single" w:color="000000" w:sz="6" w:space="0"/>
            </w:tcBorders>
            <w:vAlign w:val="center"/>
          </w:tcPr>
          <w:p w14:paraId="156FDA77">
            <w:pPr>
              <w:pStyle w:val="41"/>
              <w:rPr>
                <w:rFonts w:hint="default" w:ascii="Times New Roman" w:hAnsi="Times New Roman" w:cs="Times New Roman"/>
                <w:color w:val="auto"/>
                <w:u w:val="none"/>
              </w:rPr>
            </w:pPr>
            <w:r>
              <w:rPr>
                <w:rFonts w:hint="default" w:ascii="Times New Roman" w:hAnsi="Times New Roman" w:cs="Times New Roman"/>
                <w:color w:val="auto"/>
                <w:u w:val="none"/>
              </w:rPr>
              <w:t>0</w:t>
            </w:r>
          </w:p>
        </w:tc>
        <w:tc>
          <w:tcPr>
            <w:tcW w:w="495" w:type="dxa"/>
            <w:tcBorders>
              <w:top w:val="single" w:color="000000" w:sz="6" w:space="0"/>
              <w:left w:val="single" w:color="000000" w:sz="6" w:space="0"/>
              <w:bottom w:val="single" w:color="000000" w:sz="6" w:space="0"/>
              <w:right w:val="single" w:color="000000" w:sz="6" w:space="0"/>
            </w:tcBorders>
            <w:vAlign w:val="center"/>
          </w:tcPr>
          <w:p w14:paraId="0E4FC936">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668" w:type="dxa"/>
            <w:tcBorders>
              <w:top w:val="single" w:color="000000" w:sz="6" w:space="0"/>
              <w:left w:val="single" w:color="000000" w:sz="6" w:space="0"/>
              <w:bottom w:val="single" w:color="000000" w:sz="6" w:space="0"/>
              <w:right w:val="single" w:color="000000" w:sz="6" w:space="0"/>
            </w:tcBorders>
            <w:vAlign w:val="center"/>
          </w:tcPr>
          <w:p w14:paraId="039B3FD6">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495" w:type="dxa"/>
            <w:tcBorders>
              <w:top w:val="single" w:color="000000" w:sz="6" w:space="0"/>
              <w:left w:val="single" w:color="000000" w:sz="6" w:space="0"/>
              <w:bottom w:val="single" w:color="000000" w:sz="6" w:space="0"/>
              <w:right w:val="single" w:color="000000" w:sz="6" w:space="0"/>
            </w:tcBorders>
            <w:vAlign w:val="center"/>
          </w:tcPr>
          <w:p w14:paraId="7AEA1292">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668" w:type="dxa"/>
            <w:tcBorders>
              <w:top w:val="single" w:color="000000" w:sz="6" w:space="0"/>
              <w:left w:val="single" w:color="000000" w:sz="6" w:space="0"/>
              <w:bottom w:val="single" w:color="000000" w:sz="6" w:space="0"/>
              <w:right w:val="single" w:color="000000" w:sz="6" w:space="0"/>
            </w:tcBorders>
            <w:vAlign w:val="center"/>
          </w:tcPr>
          <w:p w14:paraId="5D6E20FA">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526" w:type="dxa"/>
            <w:tcBorders>
              <w:top w:val="single" w:color="000000" w:sz="6" w:space="0"/>
              <w:left w:val="single" w:color="000000" w:sz="6" w:space="0"/>
              <w:bottom w:val="single" w:color="000000" w:sz="6" w:space="0"/>
              <w:right w:val="single" w:color="000000" w:sz="6" w:space="0"/>
            </w:tcBorders>
            <w:vAlign w:val="center"/>
          </w:tcPr>
          <w:p w14:paraId="0179F805">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658" w:type="dxa"/>
            <w:tcBorders>
              <w:top w:val="single" w:color="000000" w:sz="6" w:space="0"/>
              <w:left w:val="single" w:color="000000" w:sz="6" w:space="0"/>
              <w:bottom w:val="single" w:color="000000" w:sz="6" w:space="0"/>
              <w:right w:val="single" w:color="000000" w:sz="6" w:space="0"/>
            </w:tcBorders>
            <w:vAlign w:val="center"/>
          </w:tcPr>
          <w:p w14:paraId="55846CB7">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344" w:type="dxa"/>
            <w:tcBorders>
              <w:top w:val="single" w:color="000000" w:sz="6" w:space="0"/>
              <w:left w:val="single" w:color="000000" w:sz="6" w:space="0"/>
              <w:bottom w:val="single" w:color="000000" w:sz="6" w:space="0"/>
              <w:right w:val="single" w:color="auto" w:sz="12" w:space="0"/>
            </w:tcBorders>
            <w:vAlign w:val="center"/>
          </w:tcPr>
          <w:p w14:paraId="419EF730">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r>
      <w:tr w14:paraId="05640077">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000000" w:sz="6" w:space="0"/>
              <w:right w:val="single" w:color="000000" w:sz="6" w:space="0"/>
            </w:tcBorders>
            <w:vAlign w:val="center"/>
          </w:tcPr>
          <w:p w14:paraId="5B2BC8B4">
            <w:pPr>
              <w:pStyle w:val="41"/>
              <w:rPr>
                <w:rFonts w:hint="default" w:ascii="Times New Roman" w:hAnsi="Times New Roman" w:cs="Times New Roman"/>
                <w:color w:val="auto"/>
                <w:u w:val="none"/>
              </w:rPr>
            </w:pPr>
            <w:r>
              <w:rPr>
                <w:rFonts w:hint="default" w:ascii="Times New Roman" w:hAnsi="Times New Roman" w:cs="Times New Roman"/>
                <w:color w:val="auto"/>
                <w:u w:val="none"/>
              </w:rPr>
              <w:t>冬</w:t>
            </w:r>
          </w:p>
        </w:tc>
        <w:tc>
          <w:tcPr>
            <w:tcW w:w="482" w:type="dxa"/>
            <w:tcBorders>
              <w:top w:val="single" w:color="000000" w:sz="6" w:space="0"/>
              <w:left w:val="single" w:color="000000" w:sz="6" w:space="0"/>
              <w:bottom w:val="single" w:color="000000" w:sz="6" w:space="0"/>
              <w:right w:val="single" w:color="000000" w:sz="6" w:space="0"/>
            </w:tcBorders>
            <w:vAlign w:val="center"/>
          </w:tcPr>
          <w:p w14:paraId="22113C8C">
            <w:pPr>
              <w:pStyle w:val="41"/>
              <w:rPr>
                <w:rFonts w:hint="default" w:ascii="Times New Roman" w:hAnsi="Times New Roman" w:cs="Times New Roman"/>
                <w:color w:val="auto"/>
                <w:u w:val="none"/>
              </w:rPr>
            </w:pPr>
            <w:r>
              <w:rPr>
                <w:rFonts w:hint="default" w:ascii="Times New Roman" w:hAnsi="Times New Roman" w:cs="Times New Roman"/>
                <w:color w:val="auto"/>
                <w:u w:val="none"/>
              </w:rPr>
              <w:t>9</w:t>
            </w:r>
          </w:p>
        </w:tc>
        <w:tc>
          <w:tcPr>
            <w:tcW w:w="518" w:type="dxa"/>
            <w:tcBorders>
              <w:top w:val="single" w:color="000000" w:sz="6" w:space="0"/>
              <w:left w:val="single" w:color="000000" w:sz="6" w:space="0"/>
              <w:bottom w:val="single" w:color="000000" w:sz="6" w:space="0"/>
              <w:right w:val="single" w:color="000000" w:sz="6" w:space="0"/>
            </w:tcBorders>
            <w:vAlign w:val="center"/>
          </w:tcPr>
          <w:p w14:paraId="1CE734CF">
            <w:pPr>
              <w:pStyle w:val="41"/>
              <w:rPr>
                <w:rFonts w:hint="default" w:ascii="Times New Roman" w:hAnsi="Times New Roman" w:cs="Times New Roman"/>
                <w:color w:val="auto"/>
                <w:u w:val="none"/>
              </w:rPr>
            </w:pPr>
            <w:r>
              <w:rPr>
                <w:rFonts w:hint="default" w:ascii="Times New Roman" w:hAnsi="Times New Roman" w:cs="Times New Roman"/>
                <w:color w:val="auto"/>
                <w:u w:val="none"/>
              </w:rPr>
              <w:t>22</w:t>
            </w:r>
          </w:p>
        </w:tc>
        <w:tc>
          <w:tcPr>
            <w:tcW w:w="465" w:type="dxa"/>
            <w:tcBorders>
              <w:top w:val="single" w:color="000000" w:sz="6" w:space="0"/>
              <w:left w:val="single" w:color="000000" w:sz="6" w:space="0"/>
              <w:bottom w:val="single" w:color="000000" w:sz="6" w:space="0"/>
              <w:right w:val="single" w:color="000000" w:sz="6" w:space="0"/>
            </w:tcBorders>
            <w:vAlign w:val="center"/>
          </w:tcPr>
          <w:p w14:paraId="7D7F1066">
            <w:pPr>
              <w:pStyle w:val="41"/>
              <w:rPr>
                <w:rFonts w:hint="default" w:ascii="Times New Roman" w:hAnsi="Times New Roman" w:cs="Times New Roman"/>
                <w:color w:val="auto"/>
                <w:u w:val="none"/>
              </w:rPr>
            </w:pPr>
            <w:r>
              <w:rPr>
                <w:rFonts w:hint="default" w:ascii="Times New Roman" w:hAnsi="Times New Roman" w:cs="Times New Roman"/>
                <w:color w:val="auto"/>
                <w:u w:val="none"/>
              </w:rPr>
              <w:t>17</w:t>
            </w:r>
          </w:p>
        </w:tc>
        <w:tc>
          <w:tcPr>
            <w:tcW w:w="577" w:type="dxa"/>
            <w:tcBorders>
              <w:top w:val="single" w:color="000000" w:sz="6" w:space="0"/>
              <w:left w:val="single" w:color="000000" w:sz="6" w:space="0"/>
              <w:bottom w:val="single" w:color="000000" w:sz="6" w:space="0"/>
              <w:right w:val="single" w:color="000000" w:sz="6" w:space="0"/>
            </w:tcBorders>
            <w:vAlign w:val="center"/>
          </w:tcPr>
          <w:p w14:paraId="33B19F63">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332" w:type="dxa"/>
            <w:tcBorders>
              <w:top w:val="single" w:color="000000" w:sz="6" w:space="0"/>
              <w:left w:val="single" w:color="000000" w:sz="6" w:space="0"/>
              <w:bottom w:val="single" w:color="000000" w:sz="6" w:space="0"/>
              <w:right w:val="single" w:color="000000" w:sz="6" w:space="0"/>
            </w:tcBorders>
            <w:vAlign w:val="center"/>
          </w:tcPr>
          <w:p w14:paraId="533783AE">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47" w:type="dxa"/>
            <w:tcBorders>
              <w:top w:val="single" w:color="000000" w:sz="6" w:space="0"/>
              <w:left w:val="single" w:color="000000" w:sz="6" w:space="0"/>
              <w:bottom w:val="single" w:color="000000" w:sz="6" w:space="0"/>
              <w:right w:val="single" w:color="000000" w:sz="6" w:space="0"/>
            </w:tcBorders>
            <w:vAlign w:val="center"/>
          </w:tcPr>
          <w:p w14:paraId="3D43CA10">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435" w:type="dxa"/>
            <w:tcBorders>
              <w:top w:val="single" w:color="000000" w:sz="6" w:space="0"/>
              <w:left w:val="single" w:color="000000" w:sz="6" w:space="0"/>
              <w:bottom w:val="single" w:color="000000" w:sz="6" w:space="0"/>
              <w:right w:val="single" w:color="000000" w:sz="6" w:space="0"/>
            </w:tcBorders>
            <w:vAlign w:val="center"/>
          </w:tcPr>
          <w:p w14:paraId="51A9BE1E">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37" w:type="dxa"/>
            <w:tcBorders>
              <w:top w:val="single" w:color="000000" w:sz="6" w:space="0"/>
              <w:left w:val="single" w:color="000000" w:sz="6" w:space="0"/>
              <w:bottom w:val="single" w:color="000000" w:sz="6" w:space="0"/>
              <w:right w:val="single" w:color="000000" w:sz="6" w:space="0"/>
            </w:tcBorders>
            <w:vAlign w:val="center"/>
          </w:tcPr>
          <w:p w14:paraId="2384E975">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323" w:type="dxa"/>
            <w:tcBorders>
              <w:top w:val="single" w:color="000000" w:sz="6" w:space="0"/>
              <w:left w:val="single" w:color="000000" w:sz="6" w:space="0"/>
              <w:bottom w:val="single" w:color="000000" w:sz="6" w:space="0"/>
              <w:right w:val="single" w:color="000000" w:sz="6" w:space="0"/>
            </w:tcBorders>
            <w:vAlign w:val="center"/>
          </w:tcPr>
          <w:p w14:paraId="047E8A05">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598" w:type="dxa"/>
            <w:tcBorders>
              <w:top w:val="single" w:color="000000" w:sz="6" w:space="0"/>
              <w:left w:val="single" w:color="000000" w:sz="6" w:space="0"/>
              <w:bottom w:val="single" w:color="000000" w:sz="6" w:space="0"/>
              <w:right w:val="single" w:color="000000" w:sz="6" w:space="0"/>
            </w:tcBorders>
            <w:vAlign w:val="center"/>
          </w:tcPr>
          <w:p w14:paraId="1D3D3CE8">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495" w:type="dxa"/>
            <w:tcBorders>
              <w:top w:val="single" w:color="000000" w:sz="6" w:space="0"/>
              <w:left w:val="single" w:color="000000" w:sz="6" w:space="0"/>
              <w:bottom w:val="single" w:color="000000" w:sz="6" w:space="0"/>
              <w:right w:val="single" w:color="000000" w:sz="6" w:space="0"/>
            </w:tcBorders>
            <w:vAlign w:val="center"/>
          </w:tcPr>
          <w:p w14:paraId="799A877D">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68" w:type="dxa"/>
            <w:tcBorders>
              <w:top w:val="single" w:color="000000" w:sz="6" w:space="0"/>
              <w:left w:val="single" w:color="000000" w:sz="6" w:space="0"/>
              <w:bottom w:val="single" w:color="000000" w:sz="6" w:space="0"/>
              <w:right w:val="single" w:color="000000" w:sz="6" w:space="0"/>
            </w:tcBorders>
            <w:vAlign w:val="center"/>
          </w:tcPr>
          <w:p w14:paraId="32A7A3E8">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495" w:type="dxa"/>
            <w:tcBorders>
              <w:top w:val="single" w:color="000000" w:sz="6" w:space="0"/>
              <w:left w:val="single" w:color="000000" w:sz="6" w:space="0"/>
              <w:bottom w:val="single" w:color="000000" w:sz="6" w:space="0"/>
              <w:right w:val="single" w:color="000000" w:sz="6" w:space="0"/>
            </w:tcBorders>
            <w:vAlign w:val="center"/>
          </w:tcPr>
          <w:p w14:paraId="266EA580">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668" w:type="dxa"/>
            <w:tcBorders>
              <w:top w:val="single" w:color="000000" w:sz="6" w:space="0"/>
              <w:left w:val="single" w:color="000000" w:sz="6" w:space="0"/>
              <w:bottom w:val="single" w:color="000000" w:sz="6" w:space="0"/>
              <w:right w:val="single" w:color="000000" w:sz="6" w:space="0"/>
            </w:tcBorders>
            <w:vAlign w:val="center"/>
          </w:tcPr>
          <w:p w14:paraId="0F312D3D">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526" w:type="dxa"/>
            <w:tcBorders>
              <w:top w:val="single" w:color="000000" w:sz="6" w:space="0"/>
              <w:left w:val="single" w:color="000000" w:sz="6" w:space="0"/>
              <w:bottom w:val="single" w:color="000000" w:sz="6" w:space="0"/>
              <w:right w:val="single" w:color="000000" w:sz="6" w:space="0"/>
            </w:tcBorders>
            <w:vAlign w:val="center"/>
          </w:tcPr>
          <w:p w14:paraId="385A51C4">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658" w:type="dxa"/>
            <w:tcBorders>
              <w:top w:val="single" w:color="000000" w:sz="6" w:space="0"/>
              <w:left w:val="single" w:color="000000" w:sz="6" w:space="0"/>
              <w:bottom w:val="single" w:color="000000" w:sz="6" w:space="0"/>
              <w:right w:val="single" w:color="000000" w:sz="6" w:space="0"/>
            </w:tcBorders>
            <w:vAlign w:val="center"/>
          </w:tcPr>
          <w:p w14:paraId="5BFFF8F3">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344" w:type="dxa"/>
            <w:tcBorders>
              <w:top w:val="single" w:color="000000" w:sz="6" w:space="0"/>
              <w:left w:val="single" w:color="000000" w:sz="6" w:space="0"/>
              <w:bottom w:val="single" w:color="000000" w:sz="6" w:space="0"/>
              <w:right w:val="single" w:color="auto" w:sz="12" w:space="0"/>
            </w:tcBorders>
            <w:vAlign w:val="center"/>
          </w:tcPr>
          <w:p w14:paraId="2762ED22">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r>
      <w:tr w14:paraId="5A309E88">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403" w:type="dxa"/>
            <w:tcBorders>
              <w:top w:val="single" w:color="000000" w:sz="6" w:space="0"/>
              <w:left w:val="single" w:color="auto" w:sz="12" w:space="0"/>
              <w:bottom w:val="single" w:color="auto" w:sz="12" w:space="0"/>
              <w:right w:val="single" w:color="000000" w:sz="6" w:space="0"/>
            </w:tcBorders>
            <w:vAlign w:val="center"/>
          </w:tcPr>
          <w:p w14:paraId="3D3D576A">
            <w:pPr>
              <w:pStyle w:val="41"/>
              <w:rPr>
                <w:rFonts w:hint="default" w:ascii="Times New Roman" w:hAnsi="Times New Roman" w:cs="Times New Roman"/>
                <w:color w:val="auto"/>
                <w:u w:val="none"/>
              </w:rPr>
            </w:pPr>
            <w:r>
              <w:rPr>
                <w:rFonts w:hint="default" w:ascii="Times New Roman" w:hAnsi="Times New Roman" w:cs="Times New Roman"/>
                <w:color w:val="auto"/>
                <w:u w:val="none"/>
              </w:rPr>
              <w:t>全年</w:t>
            </w:r>
          </w:p>
        </w:tc>
        <w:tc>
          <w:tcPr>
            <w:tcW w:w="482" w:type="dxa"/>
            <w:tcBorders>
              <w:top w:val="single" w:color="000000" w:sz="6" w:space="0"/>
              <w:left w:val="single" w:color="000000" w:sz="6" w:space="0"/>
              <w:bottom w:val="single" w:color="auto" w:sz="12" w:space="0"/>
              <w:right w:val="single" w:color="000000" w:sz="6" w:space="0"/>
            </w:tcBorders>
            <w:vAlign w:val="center"/>
          </w:tcPr>
          <w:p w14:paraId="206E65E4">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518" w:type="dxa"/>
            <w:tcBorders>
              <w:top w:val="single" w:color="000000" w:sz="6" w:space="0"/>
              <w:left w:val="single" w:color="000000" w:sz="6" w:space="0"/>
              <w:bottom w:val="single" w:color="auto" w:sz="12" w:space="0"/>
              <w:right w:val="single" w:color="000000" w:sz="6" w:space="0"/>
            </w:tcBorders>
            <w:vAlign w:val="center"/>
          </w:tcPr>
          <w:p w14:paraId="658F6752">
            <w:pPr>
              <w:pStyle w:val="41"/>
              <w:rPr>
                <w:rFonts w:hint="default" w:ascii="Times New Roman" w:hAnsi="Times New Roman" w:cs="Times New Roman"/>
                <w:color w:val="auto"/>
                <w:u w:val="none"/>
              </w:rPr>
            </w:pPr>
            <w:r>
              <w:rPr>
                <w:rFonts w:hint="default" w:ascii="Times New Roman" w:hAnsi="Times New Roman" w:cs="Times New Roman"/>
                <w:color w:val="auto"/>
                <w:u w:val="none"/>
              </w:rPr>
              <w:t>18</w:t>
            </w:r>
          </w:p>
        </w:tc>
        <w:tc>
          <w:tcPr>
            <w:tcW w:w="465" w:type="dxa"/>
            <w:tcBorders>
              <w:top w:val="single" w:color="000000" w:sz="6" w:space="0"/>
              <w:left w:val="single" w:color="000000" w:sz="6" w:space="0"/>
              <w:bottom w:val="single" w:color="auto" w:sz="12" w:space="0"/>
              <w:right w:val="single" w:color="000000" w:sz="6" w:space="0"/>
            </w:tcBorders>
            <w:vAlign w:val="center"/>
          </w:tcPr>
          <w:p w14:paraId="2CE9F660">
            <w:pPr>
              <w:pStyle w:val="41"/>
              <w:rPr>
                <w:rFonts w:hint="default" w:ascii="Times New Roman" w:hAnsi="Times New Roman" w:cs="Times New Roman"/>
                <w:color w:val="auto"/>
                <w:u w:val="none"/>
              </w:rPr>
            </w:pPr>
            <w:r>
              <w:rPr>
                <w:rFonts w:hint="default" w:ascii="Times New Roman" w:hAnsi="Times New Roman" w:cs="Times New Roman"/>
                <w:color w:val="auto"/>
                <w:u w:val="none"/>
              </w:rPr>
              <w:t>16</w:t>
            </w:r>
          </w:p>
        </w:tc>
        <w:tc>
          <w:tcPr>
            <w:tcW w:w="577" w:type="dxa"/>
            <w:tcBorders>
              <w:top w:val="single" w:color="000000" w:sz="6" w:space="0"/>
              <w:left w:val="single" w:color="000000" w:sz="6" w:space="0"/>
              <w:bottom w:val="single" w:color="auto" w:sz="12" w:space="0"/>
              <w:right w:val="single" w:color="000000" w:sz="6" w:space="0"/>
            </w:tcBorders>
            <w:vAlign w:val="center"/>
          </w:tcPr>
          <w:p w14:paraId="375D2D0C">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332" w:type="dxa"/>
            <w:tcBorders>
              <w:top w:val="single" w:color="000000" w:sz="6" w:space="0"/>
              <w:left w:val="single" w:color="000000" w:sz="6" w:space="0"/>
              <w:bottom w:val="single" w:color="auto" w:sz="12" w:space="0"/>
              <w:right w:val="single" w:color="000000" w:sz="6" w:space="0"/>
            </w:tcBorders>
            <w:vAlign w:val="center"/>
          </w:tcPr>
          <w:p w14:paraId="3A0E3FC0">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547" w:type="dxa"/>
            <w:tcBorders>
              <w:top w:val="single" w:color="000000" w:sz="6" w:space="0"/>
              <w:left w:val="single" w:color="000000" w:sz="6" w:space="0"/>
              <w:bottom w:val="single" w:color="auto" w:sz="12" w:space="0"/>
              <w:right w:val="single" w:color="000000" w:sz="6" w:space="0"/>
            </w:tcBorders>
            <w:vAlign w:val="center"/>
          </w:tcPr>
          <w:p w14:paraId="4EBF8BD8">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435" w:type="dxa"/>
            <w:tcBorders>
              <w:top w:val="single" w:color="000000" w:sz="6" w:space="0"/>
              <w:left w:val="single" w:color="000000" w:sz="6" w:space="0"/>
              <w:bottom w:val="single" w:color="auto" w:sz="12" w:space="0"/>
              <w:right w:val="single" w:color="000000" w:sz="6" w:space="0"/>
            </w:tcBorders>
            <w:vAlign w:val="center"/>
          </w:tcPr>
          <w:p w14:paraId="0FE8D110">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37" w:type="dxa"/>
            <w:tcBorders>
              <w:top w:val="single" w:color="000000" w:sz="6" w:space="0"/>
              <w:left w:val="single" w:color="000000" w:sz="6" w:space="0"/>
              <w:bottom w:val="single" w:color="auto" w:sz="12" w:space="0"/>
              <w:right w:val="single" w:color="000000" w:sz="6" w:space="0"/>
            </w:tcBorders>
            <w:vAlign w:val="center"/>
          </w:tcPr>
          <w:p w14:paraId="5EB59B30">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323" w:type="dxa"/>
            <w:tcBorders>
              <w:top w:val="single" w:color="000000" w:sz="6" w:space="0"/>
              <w:left w:val="single" w:color="000000" w:sz="6" w:space="0"/>
              <w:bottom w:val="single" w:color="auto" w:sz="12" w:space="0"/>
              <w:right w:val="single" w:color="000000" w:sz="6" w:space="0"/>
            </w:tcBorders>
            <w:vAlign w:val="center"/>
          </w:tcPr>
          <w:p w14:paraId="2CF6ABBB">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98" w:type="dxa"/>
            <w:tcBorders>
              <w:top w:val="single" w:color="000000" w:sz="6" w:space="0"/>
              <w:left w:val="single" w:color="000000" w:sz="6" w:space="0"/>
              <w:bottom w:val="single" w:color="auto" w:sz="12" w:space="0"/>
              <w:right w:val="single" w:color="000000" w:sz="6" w:space="0"/>
            </w:tcBorders>
            <w:vAlign w:val="center"/>
          </w:tcPr>
          <w:p w14:paraId="20494A51">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495" w:type="dxa"/>
            <w:tcBorders>
              <w:top w:val="single" w:color="000000" w:sz="6" w:space="0"/>
              <w:left w:val="single" w:color="000000" w:sz="6" w:space="0"/>
              <w:bottom w:val="single" w:color="auto" w:sz="12" w:space="0"/>
              <w:right w:val="single" w:color="000000" w:sz="6" w:space="0"/>
            </w:tcBorders>
            <w:vAlign w:val="center"/>
          </w:tcPr>
          <w:p w14:paraId="2D30029E">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668" w:type="dxa"/>
            <w:tcBorders>
              <w:top w:val="single" w:color="000000" w:sz="6" w:space="0"/>
              <w:left w:val="single" w:color="000000" w:sz="6" w:space="0"/>
              <w:bottom w:val="single" w:color="auto" w:sz="12" w:space="0"/>
              <w:right w:val="single" w:color="000000" w:sz="6" w:space="0"/>
            </w:tcBorders>
            <w:vAlign w:val="center"/>
          </w:tcPr>
          <w:p w14:paraId="5CDF3333">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495" w:type="dxa"/>
            <w:tcBorders>
              <w:top w:val="single" w:color="000000" w:sz="6" w:space="0"/>
              <w:left w:val="single" w:color="000000" w:sz="6" w:space="0"/>
              <w:bottom w:val="single" w:color="auto" w:sz="12" w:space="0"/>
              <w:right w:val="single" w:color="000000" w:sz="6" w:space="0"/>
            </w:tcBorders>
            <w:vAlign w:val="center"/>
          </w:tcPr>
          <w:p w14:paraId="2074BACE">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68" w:type="dxa"/>
            <w:tcBorders>
              <w:top w:val="single" w:color="000000" w:sz="6" w:space="0"/>
              <w:left w:val="single" w:color="000000" w:sz="6" w:space="0"/>
              <w:bottom w:val="single" w:color="auto" w:sz="12" w:space="0"/>
              <w:right w:val="single" w:color="000000" w:sz="6" w:space="0"/>
            </w:tcBorders>
            <w:vAlign w:val="center"/>
          </w:tcPr>
          <w:p w14:paraId="44018763">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526" w:type="dxa"/>
            <w:tcBorders>
              <w:top w:val="single" w:color="000000" w:sz="6" w:space="0"/>
              <w:left w:val="single" w:color="000000" w:sz="6" w:space="0"/>
              <w:bottom w:val="single" w:color="auto" w:sz="12" w:space="0"/>
              <w:right w:val="single" w:color="000000" w:sz="6" w:space="0"/>
            </w:tcBorders>
            <w:vAlign w:val="center"/>
          </w:tcPr>
          <w:p w14:paraId="2AEC1EFE">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58" w:type="dxa"/>
            <w:tcBorders>
              <w:top w:val="single" w:color="000000" w:sz="6" w:space="0"/>
              <w:left w:val="single" w:color="000000" w:sz="6" w:space="0"/>
              <w:bottom w:val="single" w:color="auto" w:sz="12" w:space="0"/>
              <w:right w:val="single" w:color="000000" w:sz="6" w:space="0"/>
            </w:tcBorders>
            <w:vAlign w:val="center"/>
          </w:tcPr>
          <w:p w14:paraId="4FEEA3BE">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344" w:type="dxa"/>
            <w:tcBorders>
              <w:top w:val="single" w:color="000000" w:sz="6" w:space="0"/>
              <w:left w:val="single" w:color="000000" w:sz="6" w:space="0"/>
              <w:bottom w:val="single" w:color="auto" w:sz="12" w:space="0"/>
              <w:right w:val="single" w:color="auto" w:sz="12" w:space="0"/>
            </w:tcBorders>
            <w:vAlign w:val="center"/>
          </w:tcPr>
          <w:p w14:paraId="04C42E32">
            <w:pPr>
              <w:pStyle w:val="41"/>
              <w:rPr>
                <w:rFonts w:hint="default" w:ascii="Times New Roman" w:hAnsi="Times New Roman" w:cs="Times New Roman"/>
                <w:color w:val="auto"/>
                <w:u w:val="none"/>
              </w:rPr>
            </w:pPr>
            <w:r>
              <w:rPr>
                <w:rFonts w:hint="default" w:ascii="Times New Roman" w:hAnsi="Times New Roman" w:cs="Times New Roman"/>
                <w:color w:val="auto"/>
                <w:u w:val="none"/>
              </w:rPr>
              <w:t>8</w:t>
            </w:r>
          </w:p>
        </w:tc>
      </w:tr>
    </w:tbl>
    <w:p w14:paraId="5A5DB08A">
      <w:pPr>
        <w:pStyle w:val="13"/>
        <w:ind w:firstLine="420"/>
        <w:jc w:val="center"/>
        <w:rPr>
          <w:rFonts w:hint="default" w:ascii="Times New Roman" w:hAnsi="Times New Roman" w:cs="Times New Roman"/>
          <w:b w:val="0"/>
          <w:bCs w:val="0"/>
          <w:color w:val="auto"/>
          <w:sz w:val="21"/>
          <w:szCs w:val="21"/>
          <w:u w:val="none"/>
        </w:rPr>
      </w:pPr>
      <w:r>
        <w:rPr>
          <w:rFonts w:hint="default" w:ascii="Times New Roman" w:hAnsi="Times New Roman" w:cs="Times New Roman"/>
          <w:b w:val="0"/>
          <w:bCs w:val="0"/>
          <w:color w:val="auto"/>
          <w:sz w:val="21"/>
          <w:szCs w:val="21"/>
          <w:u w:val="none"/>
        </w:rPr>
        <w:drawing>
          <wp:inline distT="0" distB="0" distL="114300" distR="114300">
            <wp:extent cx="2644140" cy="2581910"/>
            <wp:effectExtent l="0" t="0" r="3810" b="8890"/>
            <wp:docPr id="48" name="图片 46" descr="岳阳市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descr="岳阳市风玫瑰图"/>
                    <pic:cNvPicPr>
                      <a:picLocks noChangeAspect="1"/>
                    </pic:cNvPicPr>
                  </pic:nvPicPr>
                  <pic:blipFill>
                    <a:blip r:embed="rId26"/>
                    <a:stretch>
                      <a:fillRect/>
                    </a:stretch>
                  </pic:blipFill>
                  <pic:spPr>
                    <a:xfrm>
                      <a:off x="0" y="0"/>
                      <a:ext cx="2644140" cy="2581910"/>
                    </a:xfrm>
                    <a:prstGeom prst="rect">
                      <a:avLst/>
                    </a:prstGeom>
                    <a:noFill/>
                    <a:ln>
                      <a:noFill/>
                    </a:ln>
                  </pic:spPr>
                </pic:pic>
              </a:graphicData>
            </a:graphic>
          </wp:inline>
        </w:drawing>
      </w:r>
      <w:bookmarkStart w:id="128" w:name="_Ref237162563"/>
    </w:p>
    <w:p w14:paraId="707C2ED9">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图</w:t>
      </w:r>
      <w:bookmarkEnd w:id="128"/>
      <w:r>
        <w:rPr>
          <w:rFonts w:hint="default" w:ascii="Times New Roman" w:hAnsi="Times New Roman" w:cs="Times New Roman"/>
          <w:b/>
          <w:bCs/>
          <w:color w:val="auto"/>
          <w:u w:val="none"/>
        </w:rPr>
        <w:t>6.2-1   岳阳全年及四季风频玫瑰图表</w:t>
      </w:r>
    </w:p>
    <w:p w14:paraId="23BAF04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6.2-3  岳阳市气象站近20年风速统计（单位：m/s）</w:t>
      </w:r>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575"/>
        <w:gridCol w:w="575"/>
        <w:gridCol w:w="575"/>
        <w:gridCol w:w="574"/>
        <w:gridCol w:w="574"/>
        <w:gridCol w:w="574"/>
        <w:gridCol w:w="574"/>
        <w:gridCol w:w="574"/>
        <w:gridCol w:w="574"/>
        <w:gridCol w:w="575"/>
        <w:gridCol w:w="764"/>
        <w:gridCol w:w="764"/>
        <w:gridCol w:w="869"/>
      </w:tblGrid>
      <w:tr w14:paraId="1B1E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tcBorders>
              <w:top w:val="single" w:color="auto" w:sz="12" w:space="0"/>
              <w:left w:val="single" w:color="auto" w:sz="12" w:space="0"/>
              <w:bottom w:val="single" w:color="auto" w:sz="4" w:space="0"/>
              <w:right w:val="single" w:color="auto" w:sz="4" w:space="0"/>
              <w:tl2br w:val="single" w:color="000000" w:sz="2" w:space="0"/>
            </w:tcBorders>
          </w:tcPr>
          <w:p w14:paraId="34C024D0">
            <w:pPr>
              <w:pStyle w:val="41"/>
              <w:rPr>
                <w:rFonts w:hint="default" w:ascii="Times New Roman" w:hAnsi="Times New Roman" w:cs="Times New Roman"/>
                <w:color w:val="auto"/>
                <w:u w:val="none"/>
              </w:rPr>
            </w:pPr>
            <w:r>
              <w:rPr>
                <w:rFonts w:hint="default" w:ascii="Times New Roman" w:hAnsi="Times New Roman" w:cs="Times New Roman"/>
                <w:color w:val="auto"/>
                <w:u w:val="none"/>
              </w:rPr>
              <w:t>风向时间</w:t>
            </w:r>
          </w:p>
        </w:tc>
        <w:tc>
          <w:tcPr>
            <w:tcW w:w="575" w:type="dxa"/>
            <w:tcBorders>
              <w:top w:val="single" w:color="auto" w:sz="12" w:space="0"/>
              <w:left w:val="single" w:color="auto" w:sz="4" w:space="0"/>
              <w:bottom w:val="single" w:color="auto" w:sz="4" w:space="0"/>
              <w:right w:val="single" w:color="auto" w:sz="4" w:space="0"/>
            </w:tcBorders>
            <w:vAlign w:val="center"/>
          </w:tcPr>
          <w:p w14:paraId="796FB060">
            <w:pPr>
              <w:pStyle w:val="41"/>
              <w:rPr>
                <w:rFonts w:hint="default" w:ascii="Times New Roman" w:hAnsi="Times New Roman" w:cs="Times New Roman"/>
                <w:color w:val="auto"/>
                <w:u w:val="none"/>
              </w:rPr>
            </w:pPr>
            <w:r>
              <w:rPr>
                <w:rFonts w:hint="default" w:ascii="Times New Roman" w:hAnsi="Times New Roman" w:cs="Times New Roman"/>
                <w:color w:val="auto"/>
                <w:u w:val="none"/>
              </w:rPr>
              <w:t>一</w:t>
            </w:r>
          </w:p>
        </w:tc>
        <w:tc>
          <w:tcPr>
            <w:tcW w:w="575" w:type="dxa"/>
            <w:tcBorders>
              <w:top w:val="single" w:color="auto" w:sz="12" w:space="0"/>
              <w:left w:val="single" w:color="auto" w:sz="4" w:space="0"/>
              <w:bottom w:val="single" w:color="auto" w:sz="4" w:space="0"/>
              <w:right w:val="single" w:color="auto" w:sz="4" w:space="0"/>
            </w:tcBorders>
            <w:vAlign w:val="center"/>
          </w:tcPr>
          <w:p w14:paraId="47D099BB">
            <w:pPr>
              <w:pStyle w:val="41"/>
              <w:rPr>
                <w:rFonts w:hint="default" w:ascii="Times New Roman" w:hAnsi="Times New Roman" w:cs="Times New Roman"/>
                <w:color w:val="auto"/>
                <w:u w:val="none"/>
              </w:rPr>
            </w:pPr>
            <w:r>
              <w:rPr>
                <w:rFonts w:hint="default" w:ascii="Times New Roman" w:hAnsi="Times New Roman" w:cs="Times New Roman"/>
                <w:color w:val="auto"/>
                <w:u w:val="none"/>
              </w:rPr>
              <w:t>二</w:t>
            </w:r>
          </w:p>
        </w:tc>
        <w:tc>
          <w:tcPr>
            <w:tcW w:w="575" w:type="dxa"/>
            <w:tcBorders>
              <w:top w:val="single" w:color="auto" w:sz="12" w:space="0"/>
              <w:left w:val="single" w:color="auto" w:sz="4" w:space="0"/>
              <w:bottom w:val="single" w:color="auto" w:sz="4" w:space="0"/>
              <w:right w:val="single" w:color="auto" w:sz="4" w:space="0"/>
            </w:tcBorders>
            <w:vAlign w:val="center"/>
          </w:tcPr>
          <w:p w14:paraId="1E30BFF2">
            <w:pPr>
              <w:pStyle w:val="41"/>
              <w:rPr>
                <w:rFonts w:hint="default" w:ascii="Times New Roman" w:hAnsi="Times New Roman" w:cs="Times New Roman"/>
                <w:color w:val="auto"/>
                <w:u w:val="none"/>
              </w:rPr>
            </w:pPr>
            <w:r>
              <w:rPr>
                <w:rFonts w:hint="default" w:ascii="Times New Roman" w:hAnsi="Times New Roman" w:cs="Times New Roman"/>
                <w:color w:val="auto"/>
                <w:u w:val="none"/>
              </w:rPr>
              <w:t>三</w:t>
            </w:r>
          </w:p>
        </w:tc>
        <w:tc>
          <w:tcPr>
            <w:tcW w:w="574" w:type="dxa"/>
            <w:tcBorders>
              <w:top w:val="single" w:color="auto" w:sz="12" w:space="0"/>
              <w:left w:val="single" w:color="auto" w:sz="4" w:space="0"/>
              <w:bottom w:val="single" w:color="auto" w:sz="4" w:space="0"/>
              <w:right w:val="single" w:color="auto" w:sz="4" w:space="0"/>
            </w:tcBorders>
            <w:vAlign w:val="center"/>
          </w:tcPr>
          <w:p w14:paraId="7C8A3933">
            <w:pPr>
              <w:pStyle w:val="41"/>
              <w:rPr>
                <w:rFonts w:hint="default" w:ascii="Times New Roman" w:hAnsi="Times New Roman" w:cs="Times New Roman"/>
                <w:color w:val="auto"/>
                <w:u w:val="none"/>
              </w:rPr>
            </w:pPr>
            <w:r>
              <w:rPr>
                <w:rFonts w:hint="default" w:ascii="Times New Roman" w:hAnsi="Times New Roman" w:cs="Times New Roman"/>
                <w:color w:val="auto"/>
                <w:u w:val="none"/>
              </w:rPr>
              <w:t>四</w:t>
            </w:r>
          </w:p>
        </w:tc>
        <w:tc>
          <w:tcPr>
            <w:tcW w:w="574" w:type="dxa"/>
            <w:tcBorders>
              <w:top w:val="single" w:color="auto" w:sz="12" w:space="0"/>
              <w:left w:val="single" w:color="auto" w:sz="4" w:space="0"/>
              <w:bottom w:val="single" w:color="auto" w:sz="4" w:space="0"/>
              <w:right w:val="single" w:color="auto" w:sz="4" w:space="0"/>
            </w:tcBorders>
            <w:vAlign w:val="center"/>
          </w:tcPr>
          <w:p w14:paraId="5B1C5DF2">
            <w:pPr>
              <w:pStyle w:val="41"/>
              <w:rPr>
                <w:rFonts w:hint="default" w:ascii="Times New Roman" w:hAnsi="Times New Roman" w:cs="Times New Roman"/>
                <w:color w:val="auto"/>
                <w:u w:val="none"/>
              </w:rPr>
            </w:pPr>
            <w:r>
              <w:rPr>
                <w:rFonts w:hint="default" w:ascii="Times New Roman" w:hAnsi="Times New Roman" w:cs="Times New Roman"/>
                <w:color w:val="auto"/>
                <w:u w:val="none"/>
              </w:rPr>
              <w:t>五</w:t>
            </w:r>
          </w:p>
        </w:tc>
        <w:tc>
          <w:tcPr>
            <w:tcW w:w="574" w:type="dxa"/>
            <w:tcBorders>
              <w:top w:val="single" w:color="auto" w:sz="12" w:space="0"/>
              <w:left w:val="single" w:color="auto" w:sz="4" w:space="0"/>
              <w:bottom w:val="single" w:color="auto" w:sz="4" w:space="0"/>
              <w:right w:val="single" w:color="auto" w:sz="4" w:space="0"/>
            </w:tcBorders>
            <w:vAlign w:val="center"/>
          </w:tcPr>
          <w:p w14:paraId="1CD81ECE">
            <w:pPr>
              <w:pStyle w:val="41"/>
              <w:rPr>
                <w:rFonts w:hint="default" w:ascii="Times New Roman" w:hAnsi="Times New Roman" w:cs="Times New Roman"/>
                <w:color w:val="auto"/>
                <w:u w:val="none"/>
              </w:rPr>
            </w:pPr>
            <w:r>
              <w:rPr>
                <w:rFonts w:hint="default" w:ascii="Times New Roman" w:hAnsi="Times New Roman" w:cs="Times New Roman"/>
                <w:color w:val="auto"/>
                <w:u w:val="none"/>
              </w:rPr>
              <w:t>六</w:t>
            </w:r>
          </w:p>
        </w:tc>
        <w:tc>
          <w:tcPr>
            <w:tcW w:w="574" w:type="dxa"/>
            <w:tcBorders>
              <w:top w:val="single" w:color="auto" w:sz="12" w:space="0"/>
              <w:left w:val="single" w:color="auto" w:sz="4" w:space="0"/>
              <w:bottom w:val="single" w:color="auto" w:sz="4" w:space="0"/>
              <w:right w:val="single" w:color="auto" w:sz="4" w:space="0"/>
            </w:tcBorders>
            <w:vAlign w:val="center"/>
          </w:tcPr>
          <w:p w14:paraId="697E1048">
            <w:pPr>
              <w:pStyle w:val="41"/>
              <w:rPr>
                <w:rFonts w:hint="default" w:ascii="Times New Roman" w:hAnsi="Times New Roman" w:cs="Times New Roman"/>
                <w:color w:val="auto"/>
                <w:u w:val="none"/>
              </w:rPr>
            </w:pPr>
            <w:r>
              <w:rPr>
                <w:rFonts w:hint="default" w:ascii="Times New Roman" w:hAnsi="Times New Roman" w:cs="Times New Roman"/>
                <w:color w:val="auto"/>
                <w:u w:val="none"/>
              </w:rPr>
              <w:t>七</w:t>
            </w:r>
          </w:p>
        </w:tc>
        <w:tc>
          <w:tcPr>
            <w:tcW w:w="574" w:type="dxa"/>
            <w:tcBorders>
              <w:top w:val="single" w:color="auto" w:sz="12" w:space="0"/>
              <w:left w:val="single" w:color="auto" w:sz="4" w:space="0"/>
              <w:bottom w:val="single" w:color="auto" w:sz="4" w:space="0"/>
              <w:right w:val="single" w:color="auto" w:sz="4" w:space="0"/>
            </w:tcBorders>
            <w:vAlign w:val="center"/>
          </w:tcPr>
          <w:p w14:paraId="5062D4A8">
            <w:pPr>
              <w:pStyle w:val="41"/>
              <w:rPr>
                <w:rFonts w:hint="default" w:ascii="Times New Roman" w:hAnsi="Times New Roman" w:cs="Times New Roman"/>
                <w:color w:val="auto"/>
                <w:u w:val="none"/>
              </w:rPr>
            </w:pPr>
            <w:r>
              <w:rPr>
                <w:rFonts w:hint="default" w:ascii="Times New Roman" w:hAnsi="Times New Roman" w:cs="Times New Roman"/>
                <w:color w:val="auto"/>
                <w:u w:val="none"/>
              </w:rPr>
              <w:t>八</w:t>
            </w:r>
          </w:p>
        </w:tc>
        <w:tc>
          <w:tcPr>
            <w:tcW w:w="574" w:type="dxa"/>
            <w:tcBorders>
              <w:top w:val="single" w:color="auto" w:sz="12" w:space="0"/>
              <w:left w:val="single" w:color="auto" w:sz="4" w:space="0"/>
              <w:bottom w:val="single" w:color="auto" w:sz="4" w:space="0"/>
              <w:right w:val="single" w:color="auto" w:sz="4" w:space="0"/>
            </w:tcBorders>
            <w:vAlign w:val="center"/>
          </w:tcPr>
          <w:p w14:paraId="2D315B30">
            <w:pPr>
              <w:pStyle w:val="41"/>
              <w:rPr>
                <w:rFonts w:hint="default" w:ascii="Times New Roman" w:hAnsi="Times New Roman" w:cs="Times New Roman"/>
                <w:color w:val="auto"/>
                <w:u w:val="none"/>
              </w:rPr>
            </w:pPr>
            <w:r>
              <w:rPr>
                <w:rFonts w:hint="default" w:ascii="Times New Roman" w:hAnsi="Times New Roman" w:cs="Times New Roman"/>
                <w:color w:val="auto"/>
                <w:u w:val="none"/>
              </w:rPr>
              <w:t>九</w:t>
            </w:r>
          </w:p>
        </w:tc>
        <w:tc>
          <w:tcPr>
            <w:tcW w:w="575" w:type="dxa"/>
            <w:tcBorders>
              <w:top w:val="single" w:color="auto" w:sz="12" w:space="0"/>
              <w:left w:val="single" w:color="auto" w:sz="4" w:space="0"/>
              <w:bottom w:val="single" w:color="auto" w:sz="4" w:space="0"/>
              <w:right w:val="single" w:color="auto" w:sz="4" w:space="0"/>
            </w:tcBorders>
            <w:vAlign w:val="center"/>
          </w:tcPr>
          <w:p w14:paraId="76613E3A">
            <w:pPr>
              <w:pStyle w:val="41"/>
              <w:rPr>
                <w:rFonts w:hint="default" w:ascii="Times New Roman" w:hAnsi="Times New Roman" w:cs="Times New Roman"/>
                <w:color w:val="auto"/>
                <w:u w:val="none"/>
              </w:rPr>
            </w:pPr>
            <w:r>
              <w:rPr>
                <w:rFonts w:hint="default" w:ascii="Times New Roman" w:hAnsi="Times New Roman" w:cs="Times New Roman"/>
                <w:color w:val="auto"/>
                <w:u w:val="none"/>
              </w:rPr>
              <w:t>十</w:t>
            </w:r>
          </w:p>
        </w:tc>
        <w:tc>
          <w:tcPr>
            <w:tcW w:w="764" w:type="dxa"/>
            <w:tcBorders>
              <w:top w:val="single" w:color="auto" w:sz="12" w:space="0"/>
              <w:left w:val="single" w:color="auto" w:sz="4" w:space="0"/>
              <w:bottom w:val="single" w:color="auto" w:sz="4" w:space="0"/>
              <w:right w:val="single" w:color="auto" w:sz="4" w:space="0"/>
            </w:tcBorders>
            <w:vAlign w:val="center"/>
          </w:tcPr>
          <w:p w14:paraId="52FFEEE1">
            <w:pPr>
              <w:pStyle w:val="41"/>
              <w:rPr>
                <w:rFonts w:hint="default" w:ascii="Times New Roman" w:hAnsi="Times New Roman" w:cs="Times New Roman"/>
                <w:color w:val="auto"/>
                <w:u w:val="none"/>
              </w:rPr>
            </w:pPr>
            <w:r>
              <w:rPr>
                <w:rFonts w:hint="default" w:ascii="Times New Roman" w:hAnsi="Times New Roman" w:cs="Times New Roman"/>
                <w:color w:val="auto"/>
                <w:u w:val="none"/>
              </w:rPr>
              <w:t>十一</w:t>
            </w:r>
          </w:p>
        </w:tc>
        <w:tc>
          <w:tcPr>
            <w:tcW w:w="764" w:type="dxa"/>
            <w:tcBorders>
              <w:top w:val="single" w:color="auto" w:sz="12" w:space="0"/>
              <w:left w:val="single" w:color="auto" w:sz="4" w:space="0"/>
              <w:bottom w:val="single" w:color="auto" w:sz="4" w:space="0"/>
              <w:right w:val="single" w:color="auto" w:sz="4" w:space="0"/>
            </w:tcBorders>
            <w:vAlign w:val="center"/>
          </w:tcPr>
          <w:p w14:paraId="2F72C18A">
            <w:pPr>
              <w:pStyle w:val="41"/>
              <w:rPr>
                <w:rFonts w:hint="default" w:ascii="Times New Roman" w:hAnsi="Times New Roman" w:cs="Times New Roman"/>
                <w:color w:val="auto"/>
                <w:u w:val="none"/>
              </w:rPr>
            </w:pPr>
            <w:r>
              <w:rPr>
                <w:rFonts w:hint="default" w:ascii="Times New Roman" w:hAnsi="Times New Roman" w:cs="Times New Roman"/>
                <w:color w:val="auto"/>
                <w:u w:val="none"/>
              </w:rPr>
              <w:t>十二</w:t>
            </w:r>
          </w:p>
        </w:tc>
        <w:tc>
          <w:tcPr>
            <w:tcW w:w="869" w:type="dxa"/>
            <w:tcBorders>
              <w:top w:val="single" w:color="auto" w:sz="12" w:space="0"/>
              <w:left w:val="single" w:color="auto" w:sz="4" w:space="0"/>
              <w:bottom w:val="single" w:color="auto" w:sz="4" w:space="0"/>
              <w:right w:val="single" w:color="auto" w:sz="12" w:space="0"/>
            </w:tcBorders>
            <w:vAlign w:val="center"/>
          </w:tcPr>
          <w:p w14:paraId="1B313B64">
            <w:pPr>
              <w:pStyle w:val="41"/>
              <w:rPr>
                <w:rFonts w:hint="default" w:ascii="Times New Roman" w:hAnsi="Times New Roman" w:cs="Times New Roman"/>
                <w:color w:val="auto"/>
                <w:u w:val="none"/>
              </w:rPr>
            </w:pPr>
            <w:r>
              <w:rPr>
                <w:rFonts w:hint="default" w:ascii="Times New Roman" w:hAnsi="Times New Roman" w:cs="Times New Roman"/>
                <w:color w:val="auto"/>
                <w:u w:val="none"/>
              </w:rPr>
              <w:t>全年</w:t>
            </w:r>
          </w:p>
        </w:tc>
      </w:tr>
      <w:tr w14:paraId="4C19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0" w:type="dxa"/>
            <w:tcBorders>
              <w:top w:val="single" w:color="auto" w:sz="4" w:space="0"/>
              <w:left w:val="single" w:color="auto" w:sz="12" w:space="0"/>
              <w:bottom w:val="single" w:color="auto" w:sz="12" w:space="0"/>
              <w:right w:val="single" w:color="auto" w:sz="4" w:space="0"/>
            </w:tcBorders>
          </w:tcPr>
          <w:p w14:paraId="12517206">
            <w:pPr>
              <w:pStyle w:val="41"/>
              <w:rPr>
                <w:rFonts w:hint="default" w:ascii="Times New Roman" w:hAnsi="Times New Roman" w:cs="Times New Roman"/>
                <w:color w:val="auto"/>
                <w:u w:val="none"/>
              </w:rPr>
            </w:pPr>
            <w:r>
              <w:rPr>
                <w:rFonts w:hint="default" w:ascii="Times New Roman" w:hAnsi="Times New Roman" w:cs="Times New Roman"/>
                <w:color w:val="auto"/>
                <w:u w:val="none"/>
              </w:rPr>
              <w:t>全年</w:t>
            </w:r>
          </w:p>
        </w:tc>
        <w:tc>
          <w:tcPr>
            <w:tcW w:w="575" w:type="dxa"/>
            <w:tcBorders>
              <w:top w:val="single" w:color="auto" w:sz="4" w:space="0"/>
              <w:left w:val="single" w:color="auto" w:sz="4" w:space="0"/>
              <w:bottom w:val="single" w:color="auto" w:sz="12" w:space="0"/>
              <w:right w:val="single" w:color="auto" w:sz="4" w:space="0"/>
            </w:tcBorders>
            <w:vAlign w:val="center"/>
          </w:tcPr>
          <w:p w14:paraId="183B548E">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575" w:type="dxa"/>
            <w:tcBorders>
              <w:top w:val="single" w:color="auto" w:sz="4" w:space="0"/>
              <w:left w:val="single" w:color="auto" w:sz="4" w:space="0"/>
              <w:bottom w:val="single" w:color="auto" w:sz="12" w:space="0"/>
              <w:right w:val="single" w:color="auto" w:sz="4" w:space="0"/>
            </w:tcBorders>
            <w:vAlign w:val="center"/>
          </w:tcPr>
          <w:p w14:paraId="4E4FFF4B">
            <w:pPr>
              <w:pStyle w:val="41"/>
              <w:rPr>
                <w:rFonts w:hint="default" w:ascii="Times New Roman" w:hAnsi="Times New Roman" w:cs="Times New Roman"/>
                <w:color w:val="auto"/>
                <w:u w:val="none"/>
              </w:rPr>
            </w:pPr>
            <w:r>
              <w:rPr>
                <w:rFonts w:hint="default" w:ascii="Times New Roman" w:hAnsi="Times New Roman" w:cs="Times New Roman"/>
                <w:color w:val="auto"/>
                <w:u w:val="none"/>
              </w:rPr>
              <w:t>2.9</w:t>
            </w:r>
          </w:p>
        </w:tc>
        <w:tc>
          <w:tcPr>
            <w:tcW w:w="575" w:type="dxa"/>
            <w:tcBorders>
              <w:top w:val="single" w:color="auto" w:sz="4" w:space="0"/>
              <w:left w:val="single" w:color="auto" w:sz="4" w:space="0"/>
              <w:bottom w:val="single" w:color="auto" w:sz="12" w:space="0"/>
              <w:right w:val="single" w:color="auto" w:sz="4" w:space="0"/>
            </w:tcBorders>
            <w:vAlign w:val="center"/>
          </w:tcPr>
          <w:p w14:paraId="68F93F1B">
            <w:pPr>
              <w:pStyle w:val="41"/>
              <w:rPr>
                <w:rFonts w:hint="default" w:ascii="Times New Roman" w:hAnsi="Times New Roman" w:cs="Times New Roman"/>
                <w:color w:val="auto"/>
                <w:u w:val="none"/>
              </w:rPr>
            </w:pPr>
            <w:r>
              <w:rPr>
                <w:rFonts w:hint="default" w:ascii="Times New Roman" w:hAnsi="Times New Roman" w:cs="Times New Roman"/>
                <w:color w:val="auto"/>
                <w:u w:val="none"/>
              </w:rPr>
              <w:t>3.1</w:t>
            </w:r>
          </w:p>
        </w:tc>
        <w:tc>
          <w:tcPr>
            <w:tcW w:w="574" w:type="dxa"/>
            <w:tcBorders>
              <w:top w:val="single" w:color="auto" w:sz="4" w:space="0"/>
              <w:left w:val="single" w:color="auto" w:sz="4" w:space="0"/>
              <w:bottom w:val="single" w:color="auto" w:sz="12" w:space="0"/>
              <w:right w:val="single" w:color="auto" w:sz="4" w:space="0"/>
            </w:tcBorders>
            <w:vAlign w:val="center"/>
          </w:tcPr>
          <w:p w14:paraId="62E7ABB5">
            <w:pPr>
              <w:pStyle w:val="41"/>
              <w:rPr>
                <w:rFonts w:hint="default" w:ascii="Times New Roman" w:hAnsi="Times New Roman" w:cs="Times New Roman"/>
                <w:color w:val="auto"/>
                <w:u w:val="none"/>
              </w:rPr>
            </w:pPr>
            <w:r>
              <w:rPr>
                <w:rFonts w:hint="default" w:ascii="Times New Roman" w:hAnsi="Times New Roman" w:cs="Times New Roman"/>
                <w:color w:val="auto"/>
                <w:u w:val="none"/>
              </w:rPr>
              <w:t>3.1</w:t>
            </w:r>
          </w:p>
        </w:tc>
        <w:tc>
          <w:tcPr>
            <w:tcW w:w="574" w:type="dxa"/>
            <w:tcBorders>
              <w:top w:val="single" w:color="auto" w:sz="4" w:space="0"/>
              <w:left w:val="single" w:color="auto" w:sz="4" w:space="0"/>
              <w:bottom w:val="single" w:color="auto" w:sz="12" w:space="0"/>
              <w:right w:val="single" w:color="auto" w:sz="4" w:space="0"/>
            </w:tcBorders>
            <w:vAlign w:val="center"/>
          </w:tcPr>
          <w:p w14:paraId="5611EFF4">
            <w:pPr>
              <w:pStyle w:val="41"/>
              <w:rPr>
                <w:rFonts w:hint="default" w:ascii="Times New Roman" w:hAnsi="Times New Roman" w:cs="Times New Roman"/>
                <w:color w:val="auto"/>
                <w:u w:val="none"/>
              </w:rPr>
            </w:pPr>
            <w:r>
              <w:rPr>
                <w:rFonts w:hint="default" w:ascii="Times New Roman" w:hAnsi="Times New Roman" w:cs="Times New Roman"/>
                <w:color w:val="auto"/>
                <w:u w:val="none"/>
              </w:rPr>
              <w:t>2.7</w:t>
            </w:r>
          </w:p>
        </w:tc>
        <w:tc>
          <w:tcPr>
            <w:tcW w:w="574" w:type="dxa"/>
            <w:tcBorders>
              <w:top w:val="single" w:color="auto" w:sz="4" w:space="0"/>
              <w:left w:val="single" w:color="auto" w:sz="4" w:space="0"/>
              <w:bottom w:val="single" w:color="auto" w:sz="12" w:space="0"/>
              <w:right w:val="single" w:color="auto" w:sz="4" w:space="0"/>
            </w:tcBorders>
            <w:vAlign w:val="center"/>
          </w:tcPr>
          <w:p w14:paraId="5DF8284C">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574" w:type="dxa"/>
            <w:tcBorders>
              <w:top w:val="single" w:color="auto" w:sz="4" w:space="0"/>
              <w:left w:val="single" w:color="auto" w:sz="4" w:space="0"/>
              <w:bottom w:val="single" w:color="auto" w:sz="12" w:space="0"/>
              <w:right w:val="single" w:color="auto" w:sz="4" w:space="0"/>
            </w:tcBorders>
            <w:vAlign w:val="center"/>
          </w:tcPr>
          <w:p w14:paraId="2DB4A09B">
            <w:pPr>
              <w:pStyle w:val="41"/>
              <w:rPr>
                <w:rFonts w:hint="default" w:ascii="Times New Roman" w:hAnsi="Times New Roman" w:cs="Times New Roman"/>
                <w:color w:val="auto"/>
                <w:u w:val="none"/>
              </w:rPr>
            </w:pPr>
            <w:r>
              <w:rPr>
                <w:rFonts w:hint="default" w:ascii="Times New Roman" w:hAnsi="Times New Roman" w:cs="Times New Roman"/>
                <w:color w:val="auto"/>
                <w:u w:val="none"/>
              </w:rPr>
              <w:t>3.5</w:t>
            </w:r>
          </w:p>
        </w:tc>
        <w:tc>
          <w:tcPr>
            <w:tcW w:w="574" w:type="dxa"/>
            <w:tcBorders>
              <w:top w:val="single" w:color="auto" w:sz="4" w:space="0"/>
              <w:left w:val="single" w:color="auto" w:sz="4" w:space="0"/>
              <w:bottom w:val="single" w:color="auto" w:sz="12" w:space="0"/>
              <w:right w:val="single" w:color="auto" w:sz="4" w:space="0"/>
            </w:tcBorders>
            <w:vAlign w:val="center"/>
          </w:tcPr>
          <w:p w14:paraId="3A23DFFA">
            <w:pPr>
              <w:pStyle w:val="41"/>
              <w:rPr>
                <w:rFonts w:hint="default" w:ascii="Times New Roman" w:hAnsi="Times New Roman" w:cs="Times New Roman"/>
                <w:color w:val="auto"/>
                <w:u w:val="none"/>
              </w:rPr>
            </w:pPr>
            <w:r>
              <w:rPr>
                <w:rFonts w:hint="default" w:ascii="Times New Roman" w:hAnsi="Times New Roman" w:cs="Times New Roman"/>
                <w:color w:val="auto"/>
                <w:u w:val="none"/>
              </w:rPr>
              <w:t>2.9</w:t>
            </w:r>
          </w:p>
        </w:tc>
        <w:tc>
          <w:tcPr>
            <w:tcW w:w="574" w:type="dxa"/>
            <w:tcBorders>
              <w:top w:val="single" w:color="auto" w:sz="4" w:space="0"/>
              <w:left w:val="single" w:color="auto" w:sz="4" w:space="0"/>
              <w:bottom w:val="single" w:color="auto" w:sz="12" w:space="0"/>
              <w:right w:val="single" w:color="auto" w:sz="4" w:space="0"/>
            </w:tcBorders>
            <w:vAlign w:val="center"/>
          </w:tcPr>
          <w:p w14:paraId="1DF1261F">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575" w:type="dxa"/>
            <w:tcBorders>
              <w:top w:val="single" w:color="auto" w:sz="4" w:space="0"/>
              <w:left w:val="single" w:color="auto" w:sz="4" w:space="0"/>
              <w:bottom w:val="single" w:color="auto" w:sz="12" w:space="0"/>
              <w:right w:val="single" w:color="auto" w:sz="4" w:space="0"/>
            </w:tcBorders>
            <w:vAlign w:val="center"/>
          </w:tcPr>
          <w:p w14:paraId="32E2E198">
            <w:pPr>
              <w:pStyle w:val="41"/>
              <w:rPr>
                <w:rFonts w:hint="default" w:ascii="Times New Roman" w:hAnsi="Times New Roman" w:cs="Times New Roman"/>
                <w:color w:val="auto"/>
                <w:u w:val="none"/>
              </w:rPr>
            </w:pPr>
            <w:r>
              <w:rPr>
                <w:rFonts w:hint="default" w:ascii="Times New Roman" w:hAnsi="Times New Roman" w:cs="Times New Roman"/>
                <w:color w:val="auto"/>
                <w:u w:val="none"/>
              </w:rPr>
              <w:t>2.6</w:t>
            </w:r>
          </w:p>
        </w:tc>
        <w:tc>
          <w:tcPr>
            <w:tcW w:w="764" w:type="dxa"/>
            <w:tcBorders>
              <w:top w:val="single" w:color="auto" w:sz="4" w:space="0"/>
              <w:left w:val="single" w:color="auto" w:sz="4" w:space="0"/>
              <w:bottom w:val="single" w:color="auto" w:sz="12" w:space="0"/>
              <w:right w:val="single" w:color="auto" w:sz="4" w:space="0"/>
            </w:tcBorders>
            <w:vAlign w:val="center"/>
          </w:tcPr>
          <w:p w14:paraId="72882942">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764" w:type="dxa"/>
            <w:tcBorders>
              <w:top w:val="single" w:color="auto" w:sz="4" w:space="0"/>
              <w:left w:val="single" w:color="auto" w:sz="4" w:space="0"/>
              <w:bottom w:val="single" w:color="auto" w:sz="12" w:space="0"/>
              <w:right w:val="single" w:color="auto" w:sz="4" w:space="0"/>
            </w:tcBorders>
            <w:vAlign w:val="center"/>
          </w:tcPr>
          <w:p w14:paraId="3B7E16FD">
            <w:pPr>
              <w:pStyle w:val="41"/>
              <w:rPr>
                <w:rFonts w:hint="default" w:ascii="Times New Roman" w:hAnsi="Times New Roman" w:cs="Times New Roman"/>
                <w:color w:val="auto"/>
                <w:u w:val="none"/>
              </w:rPr>
            </w:pPr>
            <w:r>
              <w:rPr>
                <w:rFonts w:hint="default" w:ascii="Times New Roman" w:hAnsi="Times New Roman" w:cs="Times New Roman"/>
                <w:color w:val="auto"/>
                <w:u w:val="none"/>
              </w:rPr>
              <w:t>2.8</w:t>
            </w:r>
          </w:p>
        </w:tc>
        <w:tc>
          <w:tcPr>
            <w:tcW w:w="869" w:type="dxa"/>
            <w:tcBorders>
              <w:top w:val="single" w:color="auto" w:sz="4" w:space="0"/>
              <w:left w:val="single" w:color="auto" w:sz="4" w:space="0"/>
              <w:bottom w:val="single" w:color="auto" w:sz="12" w:space="0"/>
              <w:right w:val="single" w:color="auto" w:sz="12" w:space="0"/>
            </w:tcBorders>
            <w:vAlign w:val="center"/>
          </w:tcPr>
          <w:p w14:paraId="40DFC98F">
            <w:pPr>
              <w:pStyle w:val="41"/>
              <w:rPr>
                <w:rFonts w:hint="default" w:ascii="Times New Roman" w:hAnsi="Times New Roman" w:cs="Times New Roman"/>
                <w:color w:val="auto"/>
                <w:u w:val="none"/>
              </w:rPr>
            </w:pPr>
            <w:r>
              <w:rPr>
                <w:rFonts w:hint="default" w:ascii="Times New Roman" w:hAnsi="Times New Roman" w:cs="Times New Roman"/>
                <w:color w:val="auto"/>
                <w:u w:val="none"/>
              </w:rPr>
              <w:t>2.9</w:t>
            </w:r>
          </w:p>
        </w:tc>
      </w:tr>
    </w:tbl>
    <w:p w14:paraId="261E470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从图表中可以看出：该区域常年主导风向为NNE，频率为18%，春季主导风向为NNE风，频率高达17%，夏季主导风向为SSE风，频率高达15%，秋季主导风向为NNE风，频率为20%，冬季主导风向为NNE，频率为22%，年平均风速为2.9m/s。</w:t>
      </w:r>
    </w:p>
    <w:p w14:paraId="2E1A11A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（5）地面大气稳定度频率分布</w:t>
      </w:r>
    </w:p>
    <w:p w14:paraId="3AD70F0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大气稳定度也是空气污染物扩散能力的一个判别因子。大气处于不稳定度状态时，有利于湍流发展加强，使污染物扩散加快；而大气处于稳定状态时，湍流运动较弱，空气污染物的扩散受到抑制。本评价利用岳阳市气象站20年每日定时地面风向、风速及总云量、低云量等观测资料进行大气稳定度和联合频率的统计。按照修正的帕斯奎尔（Pasquill）稳定度分级方法，统计各季及全年的大气稳定度分布频率，结果见表6.2-4。由表可知，该区大气稳定度以D类居多（年均频率为65.1%），F类出现频率最小，为零。各季各类大气稳定度分布频率虽有所变化，但均以中性的D类为主。不稳定类（A，B，C）频率以夏季最大，冬季最小；中性类（D）频率以春季最大，秋季最小；稳定类（E）频率以秋季最大，春季最小。</w:t>
      </w:r>
    </w:p>
    <w:p w14:paraId="1CCDED6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表6.2-4   岳阳市大气稳定度频率分布（%）</w:t>
      </w:r>
    </w:p>
    <w:tbl>
      <w:tblPr>
        <w:tblStyle w:val="3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1019"/>
        <w:gridCol w:w="1018"/>
        <w:gridCol w:w="1018"/>
        <w:gridCol w:w="1020"/>
        <w:gridCol w:w="1034"/>
        <w:gridCol w:w="1018"/>
        <w:gridCol w:w="716"/>
        <w:gridCol w:w="1054"/>
      </w:tblGrid>
      <w:tr w14:paraId="0A85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vMerge w:val="restart"/>
            <w:tcBorders>
              <w:top w:val="single" w:color="auto" w:sz="12" w:space="0"/>
              <w:left w:val="single" w:color="auto" w:sz="12" w:space="0"/>
              <w:bottom w:val="single" w:color="auto" w:sz="4" w:space="0"/>
              <w:right w:val="single" w:color="auto" w:sz="4" w:space="0"/>
              <w:tl2br w:val="single" w:color="auto" w:sz="4" w:space="0"/>
            </w:tcBorders>
            <w:vAlign w:val="center"/>
          </w:tcPr>
          <w:p w14:paraId="4B339652">
            <w:pPr>
              <w:pStyle w:val="41"/>
              <w:rPr>
                <w:rFonts w:hint="default" w:ascii="Times New Roman" w:hAnsi="Times New Roman" w:cs="Times New Roman"/>
                <w:color w:val="auto"/>
                <w:u w:val="none"/>
              </w:rPr>
            </w:pPr>
            <w:r>
              <w:rPr>
                <w:rFonts w:hint="default" w:ascii="Times New Roman" w:hAnsi="Times New Roman" w:cs="Times New Roman"/>
                <w:color w:val="auto"/>
                <w:u w:val="none"/>
              </w:rPr>
              <w:t xml:space="preserve">  稳定度季节</w:t>
            </w:r>
          </w:p>
        </w:tc>
        <w:tc>
          <w:tcPr>
            <w:tcW w:w="4075" w:type="dxa"/>
            <w:gridSpan w:val="4"/>
            <w:tcBorders>
              <w:top w:val="single" w:color="auto" w:sz="12" w:space="0"/>
              <w:left w:val="single" w:color="auto" w:sz="4" w:space="0"/>
              <w:bottom w:val="single" w:color="auto" w:sz="4" w:space="0"/>
              <w:right w:val="single" w:color="auto" w:sz="4" w:space="0"/>
            </w:tcBorders>
            <w:vAlign w:val="center"/>
          </w:tcPr>
          <w:p w14:paraId="301000F1">
            <w:pPr>
              <w:pStyle w:val="41"/>
              <w:rPr>
                <w:rFonts w:hint="default" w:ascii="Times New Roman" w:hAnsi="Times New Roman" w:cs="Times New Roman"/>
                <w:color w:val="auto"/>
                <w:u w:val="none"/>
              </w:rPr>
            </w:pPr>
            <w:r>
              <w:rPr>
                <w:rFonts w:hint="default" w:ascii="Times New Roman" w:hAnsi="Times New Roman" w:cs="Times New Roman"/>
                <w:color w:val="auto"/>
                <w:u w:val="none"/>
              </w:rPr>
              <w:t>不稳定类</w:t>
            </w:r>
          </w:p>
        </w:tc>
        <w:tc>
          <w:tcPr>
            <w:tcW w:w="1034" w:type="dxa"/>
            <w:tcBorders>
              <w:top w:val="single" w:color="auto" w:sz="12" w:space="0"/>
              <w:left w:val="single" w:color="auto" w:sz="4" w:space="0"/>
              <w:bottom w:val="single" w:color="auto" w:sz="4" w:space="0"/>
              <w:right w:val="single" w:color="auto" w:sz="4" w:space="0"/>
            </w:tcBorders>
            <w:vAlign w:val="center"/>
          </w:tcPr>
          <w:p w14:paraId="23171A1D">
            <w:pPr>
              <w:pStyle w:val="41"/>
              <w:rPr>
                <w:rFonts w:hint="default" w:ascii="Times New Roman" w:hAnsi="Times New Roman" w:cs="Times New Roman"/>
                <w:color w:val="auto"/>
                <w:u w:val="none"/>
              </w:rPr>
            </w:pPr>
            <w:r>
              <w:rPr>
                <w:rFonts w:hint="default" w:ascii="Times New Roman" w:hAnsi="Times New Roman" w:cs="Times New Roman"/>
                <w:color w:val="auto"/>
                <w:u w:val="none"/>
              </w:rPr>
              <w:t>中性类</w:t>
            </w:r>
          </w:p>
        </w:tc>
        <w:tc>
          <w:tcPr>
            <w:tcW w:w="2788" w:type="dxa"/>
            <w:gridSpan w:val="3"/>
            <w:tcBorders>
              <w:top w:val="single" w:color="auto" w:sz="12" w:space="0"/>
              <w:left w:val="single" w:color="auto" w:sz="4" w:space="0"/>
              <w:bottom w:val="single" w:color="auto" w:sz="4" w:space="0"/>
              <w:right w:val="single" w:color="auto" w:sz="12" w:space="0"/>
            </w:tcBorders>
            <w:vAlign w:val="center"/>
          </w:tcPr>
          <w:p w14:paraId="738B6FA0">
            <w:pPr>
              <w:pStyle w:val="41"/>
              <w:rPr>
                <w:rFonts w:hint="default" w:ascii="Times New Roman" w:hAnsi="Times New Roman" w:cs="Times New Roman"/>
                <w:color w:val="auto"/>
                <w:u w:val="none"/>
              </w:rPr>
            </w:pPr>
            <w:r>
              <w:rPr>
                <w:rFonts w:hint="default" w:ascii="Times New Roman" w:hAnsi="Times New Roman" w:cs="Times New Roman"/>
                <w:color w:val="auto"/>
                <w:u w:val="none"/>
              </w:rPr>
              <w:t>稳定类</w:t>
            </w:r>
          </w:p>
        </w:tc>
      </w:tr>
      <w:tr w14:paraId="5F11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vMerge w:val="continue"/>
            <w:tcBorders>
              <w:top w:val="single" w:color="auto" w:sz="12" w:space="0"/>
              <w:left w:val="single" w:color="auto" w:sz="12" w:space="0"/>
              <w:bottom w:val="single" w:color="auto" w:sz="4" w:space="0"/>
              <w:right w:val="single" w:color="auto" w:sz="4" w:space="0"/>
            </w:tcBorders>
            <w:vAlign w:val="center"/>
          </w:tcPr>
          <w:p w14:paraId="756C2E74">
            <w:pPr>
              <w:pStyle w:val="41"/>
              <w:rPr>
                <w:rFonts w:hint="default" w:ascii="Times New Roman" w:hAnsi="Times New Roman" w:cs="Times New Roman"/>
                <w:color w:val="auto"/>
                <w:u w:val="none"/>
              </w:rPr>
            </w:pPr>
          </w:p>
        </w:tc>
        <w:tc>
          <w:tcPr>
            <w:tcW w:w="1019" w:type="dxa"/>
            <w:tcBorders>
              <w:top w:val="single" w:color="auto" w:sz="4" w:space="0"/>
              <w:left w:val="single" w:color="auto" w:sz="4" w:space="0"/>
              <w:bottom w:val="single" w:color="auto" w:sz="4" w:space="0"/>
              <w:right w:val="single" w:color="auto" w:sz="4" w:space="0"/>
            </w:tcBorders>
            <w:vAlign w:val="center"/>
          </w:tcPr>
          <w:p w14:paraId="10D6480D">
            <w:pPr>
              <w:pStyle w:val="41"/>
              <w:rPr>
                <w:rFonts w:hint="default" w:ascii="Times New Roman" w:hAnsi="Times New Roman" w:cs="Times New Roman"/>
                <w:color w:val="auto"/>
                <w:u w:val="none"/>
              </w:rPr>
            </w:pPr>
            <w:r>
              <w:rPr>
                <w:rFonts w:hint="default" w:ascii="Times New Roman" w:hAnsi="Times New Roman" w:cs="Times New Roman"/>
                <w:color w:val="auto"/>
                <w:u w:val="none"/>
              </w:rPr>
              <w:t>A</w:t>
            </w:r>
          </w:p>
        </w:tc>
        <w:tc>
          <w:tcPr>
            <w:tcW w:w="1018" w:type="dxa"/>
            <w:tcBorders>
              <w:top w:val="single" w:color="auto" w:sz="4" w:space="0"/>
              <w:left w:val="single" w:color="auto" w:sz="4" w:space="0"/>
              <w:bottom w:val="single" w:color="auto" w:sz="4" w:space="0"/>
              <w:right w:val="single" w:color="auto" w:sz="4" w:space="0"/>
            </w:tcBorders>
            <w:vAlign w:val="center"/>
          </w:tcPr>
          <w:p w14:paraId="1B3DB2EC">
            <w:pPr>
              <w:pStyle w:val="41"/>
              <w:rPr>
                <w:rFonts w:hint="default" w:ascii="Times New Roman" w:hAnsi="Times New Roman" w:cs="Times New Roman"/>
                <w:color w:val="auto"/>
                <w:u w:val="none"/>
              </w:rPr>
            </w:pPr>
            <w:r>
              <w:rPr>
                <w:rFonts w:hint="default" w:ascii="Times New Roman" w:hAnsi="Times New Roman" w:cs="Times New Roman"/>
                <w:color w:val="auto"/>
                <w:u w:val="none"/>
              </w:rPr>
              <w:t>B</w:t>
            </w:r>
          </w:p>
        </w:tc>
        <w:tc>
          <w:tcPr>
            <w:tcW w:w="1018" w:type="dxa"/>
            <w:tcBorders>
              <w:top w:val="single" w:color="auto" w:sz="4" w:space="0"/>
              <w:left w:val="single" w:color="auto" w:sz="4" w:space="0"/>
              <w:bottom w:val="single" w:color="auto" w:sz="4" w:space="0"/>
              <w:right w:val="single" w:color="auto" w:sz="4" w:space="0"/>
            </w:tcBorders>
            <w:vAlign w:val="center"/>
          </w:tcPr>
          <w:p w14:paraId="70421AE9">
            <w:pPr>
              <w:pStyle w:val="41"/>
              <w:rPr>
                <w:rFonts w:hint="default" w:ascii="Times New Roman" w:hAnsi="Times New Roman" w:cs="Times New Roman"/>
                <w:color w:val="auto"/>
                <w:u w:val="none"/>
              </w:rPr>
            </w:pPr>
            <w:r>
              <w:rPr>
                <w:rFonts w:hint="default" w:ascii="Times New Roman" w:hAnsi="Times New Roman" w:cs="Times New Roman"/>
                <w:color w:val="auto"/>
                <w:u w:val="none"/>
              </w:rPr>
              <w:t>C</w:t>
            </w:r>
          </w:p>
        </w:tc>
        <w:tc>
          <w:tcPr>
            <w:tcW w:w="1020" w:type="dxa"/>
            <w:tcBorders>
              <w:top w:val="single" w:color="auto" w:sz="4" w:space="0"/>
              <w:left w:val="single" w:color="auto" w:sz="4" w:space="0"/>
              <w:bottom w:val="single" w:color="auto" w:sz="4" w:space="0"/>
              <w:right w:val="single" w:color="auto" w:sz="4" w:space="0"/>
            </w:tcBorders>
            <w:vAlign w:val="center"/>
          </w:tcPr>
          <w:p w14:paraId="11DCB725">
            <w:pPr>
              <w:pStyle w:val="41"/>
              <w:rPr>
                <w:rFonts w:hint="default" w:ascii="Times New Roman" w:hAnsi="Times New Roman" w:cs="Times New Roman"/>
                <w:color w:val="auto"/>
                <w:u w:val="none"/>
              </w:rPr>
            </w:pPr>
            <w:r>
              <w:rPr>
                <w:rFonts w:hint="default" w:ascii="Times New Roman" w:hAnsi="Times New Roman" w:cs="Times New Roman"/>
                <w:color w:val="auto"/>
                <w:u w:val="none"/>
              </w:rPr>
              <w:t>小计</w:t>
            </w:r>
          </w:p>
        </w:tc>
        <w:tc>
          <w:tcPr>
            <w:tcW w:w="1034" w:type="dxa"/>
            <w:tcBorders>
              <w:top w:val="single" w:color="auto" w:sz="4" w:space="0"/>
              <w:left w:val="single" w:color="auto" w:sz="4" w:space="0"/>
              <w:bottom w:val="single" w:color="auto" w:sz="4" w:space="0"/>
              <w:right w:val="single" w:color="auto" w:sz="4" w:space="0"/>
            </w:tcBorders>
            <w:vAlign w:val="center"/>
          </w:tcPr>
          <w:p w14:paraId="5800F0E4">
            <w:pPr>
              <w:pStyle w:val="41"/>
              <w:rPr>
                <w:rFonts w:hint="default" w:ascii="Times New Roman" w:hAnsi="Times New Roman" w:cs="Times New Roman"/>
                <w:color w:val="auto"/>
                <w:u w:val="none"/>
              </w:rPr>
            </w:pPr>
            <w:r>
              <w:rPr>
                <w:rFonts w:hint="default" w:ascii="Times New Roman" w:hAnsi="Times New Roman" w:cs="Times New Roman"/>
                <w:color w:val="auto"/>
                <w:u w:val="none"/>
              </w:rPr>
              <w:t>D</w:t>
            </w:r>
          </w:p>
        </w:tc>
        <w:tc>
          <w:tcPr>
            <w:tcW w:w="1018" w:type="dxa"/>
            <w:tcBorders>
              <w:top w:val="single" w:color="auto" w:sz="4" w:space="0"/>
              <w:left w:val="single" w:color="auto" w:sz="4" w:space="0"/>
              <w:bottom w:val="single" w:color="auto" w:sz="4" w:space="0"/>
              <w:right w:val="single" w:color="auto" w:sz="4" w:space="0"/>
            </w:tcBorders>
            <w:vAlign w:val="center"/>
          </w:tcPr>
          <w:p w14:paraId="193EB3F2">
            <w:pPr>
              <w:pStyle w:val="41"/>
              <w:rPr>
                <w:rFonts w:hint="default" w:ascii="Times New Roman" w:hAnsi="Times New Roman" w:cs="Times New Roman"/>
                <w:color w:val="auto"/>
                <w:u w:val="none"/>
              </w:rPr>
            </w:pPr>
            <w:r>
              <w:rPr>
                <w:rFonts w:hint="default" w:ascii="Times New Roman" w:hAnsi="Times New Roman" w:cs="Times New Roman"/>
                <w:color w:val="auto"/>
                <w:u w:val="none"/>
              </w:rPr>
              <w:t>E</w:t>
            </w:r>
          </w:p>
        </w:tc>
        <w:tc>
          <w:tcPr>
            <w:tcW w:w="716" w:type="dxa"/>
            <w:tcBorders>
              <w:top w:val="single" w:color="auto" w:sz="4" w:space="0"/>
              <w:left w:val="single" w:color="auto" w:sz="4" w:space="0"/>
              <w:bottom w:val="single" w:color="auto" w:sz="4" w:space="0"/>
              <w:right w:val="single" w:color="auto" w:sz="4" w:space="0"/>
            </w:tcBorders>
            <w:vAlign w:val="center"/>
          </w:tcPr>
          <w:p w14:paraId="3DDC3390">
            <w:pPr>
              <w:pStyle w:val="41"/>
              <w:rPr>
                <w:rFonts w:hint="default" w:ascii="Times New Roman" w:hAnsi="Times New Roman" w:cs="Times New Roman"/>
                <w:color w:val="auto"/>
                <w:u w:val="none"/>
              </w:rPr>
            </w:pPr>
            <w:r>
              <w:rPr>
                <w:rFonts w:hint="default" w:ascii="Times New Roman" w:hAnsi="Times New Roman" w:cs="Times New Roman"/>
                <w:color w:val="auto"/>
                <w:u w:val="none"/>
              </w:rPr>
              <w:t>F</w:t>
            </w:r>
          </w:p>
        </w:tc>
        <w:tc>
          <w:tcPr>
            <w:tcW w:w="1054" w:type="dxa"/>
            <w:tcBorders>
              <w:top w:val="single" w:color="auto" w:sz="4" w:space="0"/>
              <w:left w:val="single" w:color="auto" w:sz="4" w:space="0"/>
              <w:bottom w:val="single" w:color="auto" w:sz="4" w:space="0"/>
              <w:right w:val="single" w:color="auto" w:sz="12" w:space="0"/>
            </w:tcBorders>
            <w:vAlign w:val="center"/>
          </w:tcPr>
          <w:p w14:paraId="785ED2B3">
            <w:pPr>
              <w:pStyle w:val="41"/>
              <w:rPr>
                <w:rFonts w:hint="default" w:ascii="Times New Roman" w:hAnsi="Times New Roman" w:cs="Times New Roman"/>
                <w:color w:val="auto"/>
                <w:u w:val="none"/>
              </w:rPr>
            </w:pPr>
            <w:r>
              <w:rPr>
                <w:rFonts w:hint="default" w:ascii="Times New Roman" w:hAnsi="Times New Roman" w:cs="Times New Roman"/>
                <w:color w:val="auto"/>
                <w:u w:val="none"/>
              </w:rPr>
              <w:t>小计</w:t>
            </w:r>
          </w:p>
        </w:tc>
      </w:tr>
      <w:tr w14:paraId="499CC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14:paraId="39344B50">
            <w:pPr>
              <w:pStyle w:val="41"/>
              <w:rPr>
                <w:rFonts w:hint="default" w:ascii="Times New Roman" w:hAnsi="Times New Roman" w:cs="Times New Roman"/>
                <w:color w:val="auto"/>
                <w:u w:val="none"/>
              </w:rPr>
            </w:pPr>
            <w:r>
              <w:rPr>
                <w:rFonts w:hint="default" w:ascii="Times New Roman" w:hAnsi="Times New Roman" w:cs="Times New Roman"/>
                <w:color w:val="auto"/>
                <w:u w:val="none"/>
              </w:rPr>
              <w:t>春季</w:t>
            </w:r>
          </w:p>
        </w:tc>
        <w:tc>
          <w:tcPr>
            <w:tcW w:w="1019" w:type="dxa"/>
            <w:tcBorders>
              <w:top w:val="single" w:color="auto" w:sz="4" w:space="0"/>
              <w:left w:val="single" w:color="auto" w:sz="4" w:space="0"/>
              <w:bottom w:val="single" w:color="auto" w:sz="4" w:space="0"/>
              <w:right w:val="single" w:color="auto" w:sz="4" w:space="0"/>
            </w:tcBorders>
            <w:vAlign w:val="center"/>
          </w:tcPr>
          <w:p w14:paraId="0A590870">
            <w:pPr>
              <w:pStyle w:val="41"/>
              <w:rPr>
                <w:rFonts w:hint="default" w:ascii="Times New Roman" w:hAnsi="Times New Roman" w:cs="Times New Roman"/>
                <w:color w:val="auto"/>
                <w:u w:val="none"/>
              </w:rPr>
            </w:pPr>
            <w:r>
              <w:rPr>
                <w:rFonts w:hint="default" w:ascii="Times New Roman" w:hAnsi="Times New Roman" w:cs="Times New Roman"/>
                <w:color w:val="auto"/>
                <w:u w:val="none"/>
              </w:rPr>
              <w:t>5.1</w:t>
            </w:r>
          </w:p>
        </w:tc>
        <w:tc>
          <w:tcPr>
            <w:tcW w:w="1018" w:type="dxa"/>
            <w:tcBorders>
              <w:top w:val="single" w:color="auto" w:sz="4" w:space="0"/>
              <w:left w:val="single" w:color="auto" w:sz="4" w:space="0"/>
              <w:bottom w:val="single" w:color="auto" w:sz="4" w:space="0"/>
              <w:right w:val="single" w:color="auto" w:sz="4" w:space="0"/>
            </w:tcBorders>
            <w:vAlign w:val="center"/>
          </w:tcPr>
          <w:p w14:paraId="737954F2">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1018" w:type="dxa"/>
            <w:tcBorders>
              <w:top w:val="single" w:color="auto" w:sz="4" w:space="0"/>
              <w:left w:val="single" w:color="auto" w:sz="4" w:space="0"/>
              <w:bottom w:val="single" w:color="auto" w:sz="4" w:space="0"/>
              <w:right w:val="single" w:color="auto" w:sz="4" w:space="0"/>
            </w:tcBorders>
            <w:vAlign w:val="center"/>
          </w:tcPr>
          <w:p w14:paraId="1A4B6742">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c>
          <w:tcPr>
            <w:tcW w:w="1020" w:type="dxa"/>
            <w:tcBorders>
              <w:top w:val="single" w:color="auto" w:sz="4" w:space="0"/>
              <w:left w:val="single" w:color="auto" w:sz="4" w:space="0"/>
              <w:bottom w:val="single" w:color="auto" w:sz="4" w:space="0"/>
              <w:right w:val="single" w:color="auto" w:sz="4" w:space="0"/>
            </w:tcBorders>
            <w:vAlign w:val="center"/>
          </w:tcPr>
          <w:p w14:paraId="6DCC6F97">
            <w:pPr>
              <w:pStyle w:val="41"/>
              <w:rPr>
                <w:rFonts w:hint="default" w:ascii="Times New Roman" w:hAnsi="Times New Roman" w:cs="Times New Roman"/>
                <w:color w:val="auto"/>
                <w:u w:val="none"/>
              </w:rPr>
            </w:pPr>
            <w:r>
              <w:rPr>
                <w:rFonts w:hint="default" w:ascii="Times New Roman" w:hAnsi="Times New Roman" w:cs="Times New Roman"/>
                <w:color w:val="auto"/>
                <w:u w:val="none"/>
              </w:rPr>
              <w:t>17.0</w:t>
            </w:r>
          </w:p>
        </w:tc>
        <w:tc>
          <w:tcPr>
            <w:tcW w:w="1034" w:type="dxa"/>
            <w:tcBorders>
              <w:top w:val="single" w:color="auto" w:sz="4" w:space="0"/>
              <w:left w:val="single" w:color="auto" w:sz="4" w:space="0"/>
              <w:bottom w:val="single" w:color="auto" w:sz="4" w:space="0"/>
              <w:right w:val="single" w:color="auto" w:sz="4" w:space="0"/>
            </w:tcBorders>
            <w:vAlign w:val="center"/>
          </w:tcPr>
          <w:p w14:paraId="65C14529">
            <w:pPr>
              <w:pStyle w:val="41"/>
              <w:rPr>
                <w:rFonts w:hint="default" w:ascii="Times New Roman" w:hAnsi="Times New Roman" w:cs="Times New Roman"/>
                <w:color w:val="auto"/>
                <w:u w:val="none"/>
              </w:rPr>
            </w:pPr>
            <w:r>
              <w:rPr>
                <w:rFonts w:hint="default" w:ascii="Times New Roman" w:hAnsi="Times New Roman" w:cs="Times New Roman"/>
                <w:color w:val="auto"/>
                <w:u w:val="none"/>
              </w:rPr>
              <w:t>76.4</w:t>
            </w:r>
          </w:p>
        </w:tc>
        <w:tc>
          <w:tcPr>
            <w:tcW w:w="1018" w:type="dxa"/>
            <w:tcBorders>
              <w:top w:val="single" w:color="auto" w:sz="4" w:space="0"/>
              <w:left w:val="single" w:color="auto" w:sz="4" w:space="0"/>
              <w:bottom w:val="single" w:color="auto" w:sz="4" w:space="0"/>
              <w:right w:val="single" w:color="auto" w:sz="4" w:space="0"/>
            </w:tcBorders>
            <w:vAlign w:val="center"/>
          </w:tcPr>
          <w:p w14:paraId="52520D60">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c>
          <w:tcPr>
            <w:tcW w:w="716" w:type="dxa"/>
            <w:tcBorders>
              <w:top w:val="single" w:color="auto" w:sz="4" w:space="0"/>
              <w:left w:val="single" w:color="auto" w:sz="4" w:space="0"/>
              <w:bottom w:val="single" w:color="auto" w:sz="4" w:space="0"/>
              <w:right w:val="single" w:color="auto" w:sz="4" w:space="0"/>
            </w:tcBorders>
            <w:vAlign w:val="center"/>
          </w:tcPr>
          <w:p w14:paraId="7D4E5340">
            <w:pPr>
              <w:pStyle w:val="41"/>
              <w:rPr>
                <w:rFonts w:hint="default" w:ascii="Times New Roman" w:hAnsi="Times New Roman" w:cs="Times New Roman"/>
                <w:color w:val="auto"/>
                <w:u w:val="none"/>
              </w:rPr>
            </w:pPr>
            <w:r>
              <w:rPr>
                <w:rFonts w:hint="default" w:ascii="Times New Roman" w:hAnsi="Times New Roman" w:cs="Times New Roman"/>
                <w:color w:val="auto"/>
                <w:u w:val="none"/>
              </w:rPr>
              <w:t>0.0</w:t>
            </w:r>
          </w:p>
        </w:tc>
        <w:tc>
          <w:tcPr>
            <w:tcW w:w="1054" w:type="dxa"/>
            <w:tcBorders>
              <w:top w:val="single" w:color="auto" w:sz="4" w:space="0"/>
              <w:left w:val="single" w:color="auto" w:sz="4" w:space="0"/>
              <w:bottom w:val="single" w:color="auto" w:sz="4" w:space="0"/>
              <w:right w:val="single" w:color="auto" w:sz="12" w:space="0"/>
            </w:tcBorders>
            <w:vAlign w:val="center"/>
          </w:tcPr>
          <w:p w14:paraId="446C4FA2">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r>
      <w:tr w14:paraId="6772B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14:paraId="4C34788A">
            <w:pPr>
              <w:pStyle w:val="41"/>
              <w:rPr>
                <w:rFonts w:hint="default" w:ascii="Times New Roman" w:hAnsi="Times New Roman" w:cs="Times New Roman"/>
                <w:color w:val="auto"/>
                <w:u w:val="none"/>
              </w:rPr>
            </w:pPr>
            <w:r>
              <w:rPr>
                <w:rFonts w:hint="default" w:ascii="Times New Roman" w:hAnsi="Times New Roman" w:cs="Times New Roman"/>
                <w:color w:val="auto"/>
                <w:u w:val="none"/>
              </w:rPr>
              <w:t>夏季</w:t>
            </w:r>
          </w:p>
        </w:tc>
        <w:tc>
          <w:tcPr>
            <w:tcW w:w="1019" w:type="dxa"/>
            <w:tcBorders>
              <w:top w:val="single" w:color="auto" w:sz="4" w:space="0"/>
              <w:left w:val="single" w:color="auto" w:sz="4" w:space="0"/>
              <w:bottom w:val="single" w:color="auto" w:sz="4" w:space="0"/>
              <w:right w:val="single" w:color="auto" w:sz="4" w:space="0"/>
            </w:tcBorders>
            <w:vAlign w:val="center"/>
          </w:tcPr>
          <w:p w14:paraId="025B71DA">
            <w:pPr>
              <w:pStyle w:val="41"/>
              <w:rPr>
                <w:rFonts w:hint="default" w:ascii="Times New Roman" w:hAnsi="Times New Roman" w:cs="Times New Roman"/>
                <w:color w:val="auto"/>
                <w:u w:val="none"/>
              </w:rPr>
            </w:pPr>
            <w:r>
              <w:rPr>
                <w:rFonts w:hint="default" w:ascii="Times New Roman" w:hAnsi="Times New Roman" w:cs="Times New Roman"/>
                <w:color w:val="auto"/>
                <w:u w:val="none"/>
              </w:rPr>
              <w:t>1.1</w:t>
            </w:r>
          </w:p>
        </w:tc>
        <w:tc>
          <w:tcPr>
            <w:tcW w:w="1018" w:type="dxa"/>
            <w:tcBorders>
              <w:top w:val="single" w:color="auto" w:sz="4" w:space="0"/>
              <w:left w:val="single" w:color="auto" w:sz="4" w:space="0"/>
              <w:bottom w:val="single" w:color="auto" w:sz="4" w:space="0"/>
              <w:right w:val="single" w:color="auto" w:sz="4" w:space="0"/>
            </w:tcBorders>
            <w:vAlign w:val="center"/>
          </w:tcPr>
          <w:p w14:paraId="18CFEF49">
            <w:pPr>
              <w:pStyle w:val="41"/>
              <w:rPr>
                <w:rFonts w:hint="default" w:ascii="Times New Roman" w:hAnsi="Times New Roman" w:cs="Times New Roman"/>
                <w:color w:val="auto"/>
                <w:u w:val="none"/>
              </w:rPr>
            </w:pPr>
            <w:r>
              <w:rPr>
                <w:rFonts w:hint="default" w:ascii="Times New Roman" w:hAnsi="Times New Roman" w:cs="Times New Roman"/>
                <w:color w:val="auto"/>
                <w:u w:val="none"/>
              </w:rPr>
              <w:t>10.5</w:t>
            </w:r>
          </w:p>
        </w:tc>
        <w:tc>
          <w:tcPr>
            <w:tcW w:w="1018" w:type="dxa"/>
            <w:tcBorders>
              <w:top w:val="single" w:color="auto" w:sz="4" w:space="0"/>
              <w:left w:val="single" w:color="auto" w:sz="4" w:space="0"/>
              <w:bottom w:val="single" w:color="auto" w:sz="4" w:space="0"/>
              <w:right w:val="single" w:color="auto" w:sz="4" w:space="0"/>
            </w:tcBorders>
            <w:vAlign w:val="center"/>
          </w:tcPr>
          <w:p w14:paraId="3C26D7DB">
            <w:pPr>
              <w:pStyle w:val="41"/>
              <w:rPr>
                <w:rFonts w:hint="default" w:ascii="Times New Roman" w:hAnsi="Times New Roman" w:cs="Times New Roman"/>
                <w:color w:val="auto"/>
                <w:u w:val="none"/>
              </w:rPr>
            </w:pPr>
            <w:r>
              <w:rPr>
                <w:rFonts w:hint="default" w:ascii="Times New Roman" w:hAnsi="Times New Roman" w:cs="Times New Roman"/>
                <w:color w:val="auto"/>
                <w:u w:val="none"/>
              </w:rPr>
              <w:t>22.5</w:t>
            </w:r>
          </w:p>
        </w:tc>
        <w:tc>
          <w:tcPr>
            <w:tcW w:w="1020" w:type="dxa"/>
            <w:tcBorders>
              <w:top w:val="single" w:color="auto" w:sz="4" w:space="0"/>
              <w:left w:val="single" w:color="auto" w:sz="4" w:space="0"/>
              <w:bottom w:val="single" w:color="auto" w:sz="4" w:space="0"/>
              <w:right w:val="single" w:color="auto" w:sz="4" w:space="0"/>
            </w:tcBorders>
            <w:vAlign w:val="center"/>
          </w:tcPr>
          <w:p w14:paraId="07875935">
            <w:pPr>
              <w:pStyle w:val="41"/>
              <w:rPr>
                <w:rFonts w:hint="default" w:ascii="Times New Roman" w:hAnsi="Times New Roman" w:cs="Times New Roman"/>
                <w:color w:val="auto"/>
                <w:u w:val="none"/>
              </w:rPr>
            </w:pPr>
            <w:r>
              <w:rPr>
                <w:rFonts w:hint="default" w:ascii="Times New Roman" w:hAnsi="Times New Roman" w:cs="Times New Roman"/>
                <w:color w:val="auto"/>
                <w:u w:val="none"/>
              </w:rPr>
              <w:t>34.1</w:t>
            </w:r>
          </w:p>
        </w:tc>
        <w:tc>
          <w:tcPr>
            <w:tcW w:w="1034" w:type="dxa"/>
            <w:tcBorders>
              <w:top w:val="single" w:color="auto" w:sz="4" w:space="0"/>
              <w:left w:val="single" w:color="auto" w:sz="4" w:space="0"/>
              <w:bottom w:val="single" w:color="auto" w:sz="4" w:space="0"/>
              <w:right w:val="single" w:color="auto" w:sz="4" w:space="0"/>
            </w:tcBorders>
            <w:vAlign w:val="center"/>
          </w:tcPr>
          <w:p w14:paraId="2370BA3A">
            <w:pPr>
              <w:pStyle w:val="41"/>
              <w:rPr>
                <w:rFonts w:hint="default" w:ascii="Times New Roman" w:hAnsi="Times New Roman" w:cs="Times New Roman"/>
                <w:color w:val="auto"/>
                <w:u w:val="none"/>
              </w:rPr>
            </w:pPr>
            <w:r>
              <w:rPr>
                <w:rFonts w:hint="default" w:ascii="Times New Roman" w:hAnsi="Times New Roman" w:cs="Times New Roman"/>
                <w:color w:val="auto"/>
                <w:u w:val="none"/>
              </w:rPr>
              <w:t>56.2</w:t>
            </w:r>
          </w:p>
        </w:tc>
        <w:tc>
          <w:tcPr>
            <w:tcW w:w="1018" w:type="dxa"/>
            <w:tcBorders>
              <w:top w:val="single" w:color="auto" w:sz="4" w:space="0"/>
              <w:left w:val="single" w:color="auto" w:sz="4" w:space="0"/>
              <w:bottom w:val="single" w:color="auto" w:sz="4" w:space="0"/>
              <w:right w:val="single" w:color="auto" w:sz="4" w:space="0"/>
            </w:tcBorders>
            <w:vAlign w:val="center"/>
          </w:tcPr>
          <w:p w14:paraId="408A335A">
            <w:pPr>
              <w:pStyle w:val="41"/>
              <w:rPr>
                <w:rFonts w:hint="default" w:ascii="Times New Roman" w:hAnsi="Times New Roman" w:cs="Times New Roman"/>
                <w:color w:val="auto"/>
                <w:u w:val="none"/>
              </w:rPr>
            </w:pPr>
            <w:r>
              <w:rPr>
                <w:rFonts w:hint="default" w:ascii="Times New Roman" w:hAnsi="Times New Roman" w:cs="Times New Roman"/>
                <w:color w:val="auto"/>
                <w:u w:val="none"/>
              </w:rPr>
              <w:t>9.1</w:t>
            </w:r>
          </w:p>
        </w:tc>
        <w:tc>
          <w:tcPr>
            <w:tcW w:w="716" w:type="dxa"/>
            <w:tcBorders>
              <w:top w:val="single" w:color="auto" w:sz="4" w:space="0"/>
              <w:left w:val="single" w:color="auto" w:sz="4" w:space="0"/>
              <w:bottom w:val="single" w:color="auto" w:sz="4" w:space="0"/>
              <w:right w:val="single" w:color="auto" w:sz="4" w:space="0"/>
            </w:tcBorders>
            <w:vAlign w:val="center"/>
          </w:tcPr>
          <w:p w14:paraId="0E4F0301">
            <w:pPr>
              <w:pStyle w:val="41"/>
              <w:rPr>
                <w:rFonts w:hint="default" w:ascii="Times New Roman" w:hAnsi="Times New Roman" w:cs="Times New Roman"/>
                <w:color w:val="auto"/>
                <w:u w:val="none"/>
              </w:rPr>
            </w:pPr>
            <w:r>
              <w:rPr>
                <w:rFonts w:hint="default" w:ascii="Times New Roman" w:hAnsi="Times New Roman" w:cs="Times New Roman"/>
                <w:color w:val="auto"/>
                <w:u w:val="none"/>
              </w:rPr>
              <w:t>0.0</w:t>
            </w:r>
          </w:p>
        </w:tc>
        <w:tc>
          <w:tcPr>
            <w:tcW w:w="1054" w:type="dxa"/>
            <w:tcBorders>
              <w:top w:val="single" w:color="auto" w:sz="4" w:space="0"/>
              <w:left w:val="single" w:color="auto" w:sz="4" w:space="0"/>
              <w:bottom w:val="single" w:color="auto" w:sz="4" w:space="0"/>
              <w:right w:val="single" w:color="auto" w:sz="12" w:space="0"/>
            </w:tcBorders>
            <w:vAlign w:val="center"/>
          </w:tcPr>
          <w:p w14:paraId="3C096E03">
            <w:pPr>
              <w:pStyle w:val="41"/>
              <w:rPr>
                <w:rFonts w:hint="default" w:ascii="Times New Roman" w:hAnsi="Times New Roman" w:cs="Times New Roman"/>
                <w:color w:val="auto"/>
                <w:u w:val="none"/>
              </w:rPr>
            </w:pPr>
            <w:r>
              <w:rPr>
                <w:rFonts w:hint="default" w:ascii="Times New Roman" w:hAnsi="Times New Roman" w:cs="Times New Roman"/>
                <w:color w:val="auto"/>
                <w:u w:val="none"/>
              </w:rPr>
              <w:t>9.1</w:t>
            </w:r>
          </w:p>
        </w:tc>
      </w:tr>
      <w:tr w14:paraId="5309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14:paraId="5BF62863">
            <w:pPr>
              <w:pStyle w:val="41"/>
              <w:rPr>
                <w:rFonts w:hint="default" w:ascii="Times New Roman" w:hAnsi="Times New Roman" w:cs="Times New Roman"/>
                <w:color w:val="auto"/>
                <w:u w:val="none"/>
              </w:rPr>
            </w:pPr>
            <w:r>
              <w:rPr>
                <w:rFonts w:hint="default" w:ascii="Times New Roman" w:hAnsi="Times New Roman" w:cs="Times New Roman"/>
                <w:color w:val="auto"/>
                <w:u w:val="none"/>
              </w:rPr>
              <w:t>秋季</w:t>
            </w:r>
          </w:p>
        </w:tc>
        <w:tc>
          <w:tcPr>
            <w:tcW w:w="1019" w:type="dxa"/>
            <w:tcBorders>
              <w:top w:val="single" w:color="auto" w:sz="4" w:space="0"/>
              <w:left w:val="single" w:color="auto" w:sz="4" w:space="0"/>
              <w:bottom w:val="single" w:color="auto" w:sz="4" w:space="0"/>
              <w:right w:val="single" w:color="auto" w:sz="4" w:space="0"/>
            </w:tcBorders>
            <w:vAlign w:val="center"/>
          </w:tcPr>
          <w:p w14:paraId="50E18FF7">
            <w:pPr>
              <w:pStyle w:val="41"/>
              <w:rPr>
                <w:rFonts w:hint="default" w:ascii="Times New Roman" w:hAnsi="Times New Roman" w:cs="Times New Roman"/>
                <w:color w:val="auto"/>
                <w:u w:val="none"/>
              </w:rPr>
            </w:pPr>
            <w:r>
              <w:rPr>
                <w:rFonts w:hint="default" w:ascii="Times New Roman" w:hAnsi="Times New Roman" w:cs="Times New Roman"/>
                <w:color w:val="auto"/>
                <w:u w:val="none"/>
              </w:rPr>
              <w:t>6.3</w:t>
            </w:r>
          </w:p>
        </w:tc>
        <w:tc>
          <w:tcPr>
            <w:tcW w:w="1018" w:type="dxa"/>
            <w:tcBorders>
              <w:top w:val="single" w:color="auto" w:sz="4" w:space="0"/>
              <w:left w:val="single" w:color="auto" w:sz="4" w:space="0"/>
              <w:bottom w:val="single" w:color="auto" w:sz="4" w:space="0"/>
              <w:right w:val="single" w:color="auto" w:sz="4" w:space="0"/>
            </w:tcBorders>
            <w:vAlign w:val="center"/>
          </w:tcPr>
          <w:p w14:paraId="560AA91F">
            <w:pPr>
              <w:pStyle w:val="41"/>
              <w:rPr>
                <w:rFonts w:hint="default" w:ascii="Times New Roman" w:hAnsi="Times New Roman" w:cs="Times New Roman"/>
                <w:color w:val="auto"/>
                <w:u w:val="none"/>
              </w:rPr>
            </w:pPr>
            <w:r>
              <w:rPr>
                <w:rFonts w:hint="default" w:ascii="Times New Roman" w:hAnsi="Times New Roman" w:cs="Times New Roman"/>
                <w:color w:val="auto"/>
                <w:u w:val="none"/>
              </w:rPr>
              <w:t>13.5</w:t>
            </w:r>
          </w:p>
        </w:tc>
        <w:tc>
          <w:tcPr>
            <w:tcW w:w="1018" w:type="dxa"/>
            <w:tcBorders>
              <w:top w:val="single" w:color="auto" w:sz="4" w:space="0"/>
              <w:left w:val="single" w:color="auto" w:sz="4" w:space="0"/>
              <w:bottom w:val="single" w:color="auto" w:sz="4" w:space="0"/>
              <w:right w:val="single" w:color="auto" w:sz="4" w:space="0"/>
            </w:tcBorders>
            <w:vAlign w:val="center"/>
          </w:tcPr>
          <w:p w14:paraId="00A17F5D">
            <w:pPr>
              <w:pStyle w:val="41"/>
              <w:rPr>
                <w:rFonts w:hint="default" w:ascii="Times New Roman" w:hAnsi="Times New Roman" w:cs="Times New Roman"/>
                <w:color w:val="auto"/>
                <w:u w:val="none"/>
              </w:rPr>
            </w:pPr>
            <w:r>
              <w:rPr>
                <w:rFonts w:hint="default" w:ascii="Times New Roman" w:hAnsi="Times New Roman" w:cs="Times New Roman"/>
                <w:color w:val="auto"/>
                <w:u w:val="none"/>
              </w:rPr>
              <w:t>1.2</w:t>
            </w:r>
          </w:p>
        </w:tc>
        <w:tc>
          <w:tcPr>
            <w:tcW w:w="1020" w:type="dxa"/>
            <w:tcBorders>
              <w:top w:val="single" w:color="auto" w:sz="4" w:space="0"/>
              <w:left w:val="single" w:color="auto" w:sz="4" w:space="0"/>
              <w:bottom w:val="single" w:color="auto" w:sz="4" w:space="0"/>
              <w:right w:val="single" w:color="auto" w:sz="4" w:space="0"/>
            </w:tcBorders>
            <w:vAlign w:val="center"/>
          </w:tcPr>
          <w:p w14:paraId="3E5871FE">
            <w:pPr>
              <w:pStyle w:val="41"/>
              <w:rPr>
                <w:rFonts w:hint="default" w:ascii="Times New Roman" w:hAnsi="Times New Roman" w:cs="Times New Roman"/>
                <w:color w:val="auto"/>
                <w:u w:val="none"/>
              </w:rPr>
            </w:pPr>
            <w:r>
              <w:rPr>
                <w:rFonts w:hint="default" w:ascii="Times New Roman" w:hAnsi="Times New Roman" w:cs="Times New Roman"/>
                <w:color w:val="auto"/>
                <w:u w:val="none"/>
              </w:rPr>
              <w:t>21.1</w:t>
            </w:r>
          </w:p>
        </w:tc>
        <w:tc>
          <w:tcPr>
            <w:tcW w:w="1034" w:type="dxa"/>
            <w:tcBorders>
              <w:top w:val="single" w:color="auto" w:sz="4" w:space="0"/>
              <w:left w:val="single" w:color="auto" w:sz="4" w:space="0"/>
              <w:bottom w:val="single" w:color="auto" w:sz="4" w:space="0"/>
              <w:right w:val="single" w:color="auto" w:sz="4" w:space="0"/>
            </w:tcBorders>
            <w:vAlign w:val="center"/>
          </w:tcPr>
          <w:p w14:paraId="5E406125">
            <w:pPr>
              <w:pStyle w:val="41"/>
              <w:rPr>
                <w:rFonts w:hint="default" w:ascii="Times New Roman" w:hAnsi="Times New Roman" w:cs="Times New Roman"/>
                <w:color w:val="auto"/>
                <w:u w:val="none"/>
              </w:rPr>
            </w:pPr>
            <w:r>
              <w:rPr>
                <w:rFonts w:hint="default" w:ascii="Times New Roman" w:hAnsi="Times New Roman" w:cs="Times New Roman"/>
                <w:color w:val="auto"/>
                <w:u w:val="none"/>
              </w:rPr>
              <w:t>55.1</w:t>
            </w:r>
          </w:p>
        </w:tc>
        <w:tc>
          <w:tcPr>
            <w:tcW w:w="1018" w:type="dxa"/>
            <w:tcBorders>
              <w:top w:val="single" w:color="auto" w:sz="4" w:space="0"/>
              <w:left w:val="single" w:color="auto" w:sz="4" w:space="0"/>
              <w:bottom w:val="single" w:color="auto" w:sz="4" w:space="0"/>
              <w:right w:val="single" w:color="auto" w:sz="4" w:space="0"/>
            </w:tcBorders>
            <w:vAlign w:val="center"/>
          </w:tcPr>
          <w:p w14:paraId="5B0A34A1">
            <w:pPr>
              <w:pStyle w:val="41"/>
              <w:rPr>
                <w:rFonts w:hint="default" w:ascii="Times New Roman" w:hAnsi="Times New Roman" w:cs="Times New Roman"/>
                <w:color w:val="auto"/>
                <w:u w:val="none"/>
              </w:rPr>
            </w:pPr>
            <w:r>
              <w:rPr>
                <w:rFonts w:hint="default" w:ascii="Times New Roman" w:hAnsi="Times New Roman" w:cs="Times New Roman"/>
                <w:color w:val="auto"/>
                <w:u w:val="none"/>
              </w:rPr>
              <w:t>23.8</w:t>
            </w:r>
          </w:p>
        </w:tc>
        <w:tc>
          <w:tcPr>
            <w:tcW w:w="716" w:type="dxa"/>
            <w:tcBorders>
              <w:top w:val="single" w:color="auto" w:sz="4" w:space="0"/>
              <w:left w:val="single" w:color="auto" w:sz="4" w:space="0"/>
              <w:bottom w:val="single" w:color="auto" w:sz="4" w:space="0"/>
              <w:right w:val="single" w:color="auto" w:sz="4" w:space="0"/>
            </w:tcBorders>
            <w:vAlign w:val="center"/>
          </w:tcPr>
          <w:p w14:paraId="19DAA558">
            <w:pPr>
              <w:pStyle w:val="41"/>
              <w:rPr>
                <w:rFonts w:hint="default" w:ascii="Times New Roman" w:hAnsi="Times New Roman" w:cs="Times New Roman"/>
                <w:color w:val="auto"/>
                <w:u w:val="none"/>
              </w:rPr>
            </w:pPr>
            <w:r>
              <w:rPr>
                <w:rFonts w:hint="default" w:ascii="Times New Roman" w:hAnsi="Times New Roman" w:cs="Times New Roman"/>
                <w:color w:val="auto"/>
                <w:u w:val="none"/>
              </w:rPr>
              <w:t>0.0</w:t>
            </w:r>
          </w:p>
        </w:tc>
        <w:tc>
          <w:tcPr>
            <w:tcW w:w="1054" w:type="dxa"/>
            <w:tcBorders>
              <w:top w:val="single" w:color="auto" w:sz="4" w:space="0"/>
              <w:left w:val="single" w:color="auto" w:sz="4" w:space="0"/>
              <w:bottom w:val="single" w:color="auto" w:sz="4" w:space="0"/>
              <w:right w:val="single" w:color="auto" w:sz="12" w:space="0"/>
            </w:tcBorders>
            <w:vAlign w:val="center"/>
          </w:tcPr>
          <w:p w14:paraId="51F2237B">
            <w:pPr>
              <w:pStyle w:val="41"/>
              <w:rPr>
                <w:rFonts w:hint="default" w:ascii="Times New Roman" w:hAnsi="Times New Roman" w:cs="Times New Roman"/>
                <w:color w:val="auto"/>
                <w:u w:val="none"/>
              </w:rPr>
            </w:pPr>
            <w:r>
              <w:rPr>
                <w:rFonts w:hint="default" w:ascii="Times New Roman" w:hAnsi="Times New Roman" w:cs="Times New Roman"/>
                <w:color w:val="auto"/>
                <w:u w:val="none"/>
              </w:rPr>
              <w:t>23.8</w:t>
            </w:r>
          </w:p>
        </w:tc>
      </w:tr>
      <w:tr w14:paraId="7CDB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4" w:space="0"/>
              <w:right w:val="single" w:color="auto" w:sz="4" w:space="0"/>
            </w:tcBorders>
            <w:vAlign w:val="center"/>
          </w:tcPr>
          <w:p w14:paraId="1BDE6CC5">
            <w:pPr>
              <w:pStyle w:val="41"/>
              <w:rPr>
                <w:rFonts w:hint="default" w:ascii="Times New Roman" w:hAnsi="Times New Roman" w:cs="Times New Roman"/>
                <w:color w:val="auto"/>
                <w:u w:val="none"/>
              </w:rPr>
            </w:pPr>
            <w:r>
              <w:rPr>
                <w:rFonts w:hint="default" w:ascii="Times New Roman" w:hAnsi="Times New Roman" w:cs="Times New Roman"/>
                <w:color w:val="auto"/>
                <w:u w:val="none"/>
              </w:rPr>
              <w:t>冬季</w:t>
            </w:r>
          </w:p>
        </w:tc>
        <w:tc>
          <w:tcPr>
            <w:tcW w:w="1019" w:type="dxa"/>
            <w:tcBorders>
              <w:top w:val="single" w:color="auto" w:sz="4" w:space="0"/>
              <w:left w:val="single" w:color="auto" w:sz="4" w:space="0"/>
              <w:bottom w:val="single" w:color="auto" w:sz="4" w:space="0"/>
              <w:right w:val="single" w:color="auto" w:sz="4" w:space="0"/>
            </w:tcBorders>
            <w:vAlign w:val="center"/>
          </w:tcPr>
          <w:p w14:paraId="1F6A287A">
            <w:pPr>
              <w:pStyle w:val="41"/>
              <w:rPr>
                <w:rFonts w:hint="default" w:ascii="Times New Roman" w:hAnsi="Times New Roman" w:cs="Times New Roman"/>
                <w:color w:val="auto"/>
                <w:u w:val="none"/>
              </w:rPr>
            </w:pPr>
            <w:r>
              <w:rPr>
                <w:rFonts w:hint="default" w:ascii="Times New Roman" w:hAnsi="Times New Roman" w:cs="Times New Roman"/>
                <w:color w:val="auto"/>
                <w:u w:val="none"/>
              </w:rPr>
              <w:t>3.7</w:t>
            </w:r>
          </w:p>
        </w:tc>
        <w:tc>
          <w:tcPr>
            <w:tcW w:w="1018" w:type="dxa"/>
            <w:tcBorders>
              <w:top w:val="single" w:color="auto" w:sz="4" w:space="0"/>
              <w:left w:val="single" w:color="auto" w:sz="4" w:space="0"/>
              <w:bottom w:val="single" w:color="auto" w:sz="4" w:space="0"/>
              <w:right w:val="single" w:color="auto" w:sz="4" w:space="0"/>
            </w:tcBorders>
            <w:vAlign w:val="center"/>
          </w:tcPr>
          <w:p w14:paraId="174615D2">
            <w:pPr>
              <w:pStyle w:val="41"/>
              <w:rPr>
                <w:rFonts w:hint="default" w:ascii="Times New Roman" w:hAnsi="Times New Roman" w:cs="Times New Roman"/>
                <w:color w:val="auto"/>
                <w:u w:val="none"/>
              </w:rPr>
            </w:pPr>
            <w:r>
              <w:rPr>
                <w:rFonts w:hint="default" w:ascii="Times New Roman" w:hAnsi="Times New Roman" w:cs="Times New Roman"/>
                <w:color w:val="auto"/>
                <w:u w:val="none"/>
              </w:rPr>
              <w:t>6.1</w:t>
            </w:r>
          </w:p>
        </w:tc>
        <w:tc>
          <w:tcPr>
            <w:tcW w:w="1018" w:type="dxa"/>
            <w:tcBorders>
              <w:top w:val="single" w:color="auto" w:sz="4" w:space="0"/>
              <w:left w:val="single" w:color="auto" w:sz="4" w:space="0"/>
              <w:bottom w:val="single" w:color="auto" w:sz="4" w:space="0"/>
              <w:right w:val="single" w:color="auto" w:sz="4" w:space="0"/>
            </w:tcBorders>
            <w:vAlign w:val="center"/>
          </w:tcPr>
          <w:p w14:paraId="0ECCA12A">
            <w:pPr>
              <w:pStyle w:val="41"/>
              <w:rPr>
                <w:rFonts w:hint="default" w:ascii="Times New Roman" w:hAnsi="Times New Roman" w:cs="Times New Roman"/>
                <w:color w:val="auto"/>
                <w:u w:val="none"/>
              </w:rPr>
            </w:pPr>
            <w:r>
              <w:rPr>
                <w:rFonts w:hint="default" w:ascii="Times New Roman" w:hAnsi="Times New Roman" w:cs="Times New Roman"/>
                <w:color w:val="auto"/>
                <w:u w:val="none"/>
              </w:rPr>
              <w:t>2.1</w:t>
            </w:r>
          </w:p>
        </w:tc>
        <w:tc>
          <w:tcPr>
            <w:tcW w:w="1020" w:type="dxa"/>
            <w:tcBorders>
              <w:top w:val="single" w:color="auto" w:sz="4" w:space="0"/>
              <w:left w:val="single" w:color="auto" w:sz="4" w:space="0"/>
              <w:bottom w:val="single" w:color="auto" w:sz="4" w:space="0"/>
              <w:right w:val="single" w:color="auto" w:sz="4" w:space="0"/>
            </w:tcBorders>
            <w:vAlign w:val="center"/>
          </w:tcPr>
          <w:p w14:paraId="3BB75F46">
            <w:pPr>
              <w:pStyle w:val="41"/>
              <w:rPr>
                <w:rFonts w:hint="default" w:ascii="Times New Roman" w:hAnsi="Times New Roman" w:cs="Times New Roman"/>
                <w:color w:val="auto"/>
                <w:u w:val="none"/>
              </w:rPr>
            </w:pPr>
            <w:r>
              <w:rPr>
                <w:rFonts w:hint="default" w:ascii="Times New Roman" w:hAnsi="Times New Roman" w:cs="Times New Roman"/>
                <w:color w:val="auto"/>
                <w:u w:val="none"/>
              </w:rPr>
              <w:t>11.9</w:t>
            </w:r>
          </w:p>
        </w:tc>
        <w:tc>
          <w:tcPr>
            <w:tcW w:w="1034" w:type="dxa"/>
            <w:tcBorders>
              <w:top w:val="single" w:color="auto" w:sz="4" w:space="0"/>
              <w:left w:val="single" w:color="auto" w:sz="4" w:space="0"/>
              <w:bottom w:val="single" w:color="auto" w:sz="4" w:space="0"/>
              <w:right w:val="single" w:color="auto" w:sz="4" w:space="0"/>
            </w:tcBorders>
            <w:vAlign w:val="center"/>
          </w:tcPr>
          <w:p w14:paraId="60BC3FF0">
            <w:pPr>
              <w:pStyle w:val="41"/>
              <w:rPr>
                <w:rFonts w:hint="default" w:ascii="Times New Roman" w:hAnsi="Times New Roman" w:cs="Times New Roman"/>
                <w:color w:val="auto"/>
                <w:u w:val="none"/>
              </w:rPr>
            </w:pPr>
            <w:r>
              <w:rPr>
                <w:rFonts w:hint="default" w:ascii="Times New Roman" w:hAnsi="Times New Roman" w:cs="Times New Roman"/>
                <w:color w:val="auto"/>
                <w:u w:val="none"/>
              </w:rPr>
              <w:t>73.1</w:t>
            </w:r>
          </w:p>
        </w:tc>
        <w:tc>
          <w:tcPr>
            <w:tcW w:w="1018" w:type="dxa"/>
            <w:tcBorders>
              <w:top w:val="single" w:color="auto" w:sz="4" w:space="0"/>
              <w:left w:val="single" w:color="auto" w:sz="4" w:space="0"/>
              <w:bottom w:val="single" w:color="auto" w:sz="4" w:space="0"/>
              <w:right w:val="single" w:color="auto" w:sz="4" w:space="0"/>
            </w:tcBorders>
            <w:vAlign w:val="center"/>
          </w:tcPr>
          <w:p w14:paraId="27B6539D">
            <w:pPr>
              <w:pStyle w:val="41"/>
              <w:rPr>
                <w:rFonts w:hint="default" w:ascii="Times New Roman" w:hAnsi="Times New Roman" w:cs="Times New Roman"/>
                <w:color w:val="auto"/>
                <w:u w:val="none"/>
              </w:rPr>
            </w:pPr>
            <w:r>
              <w:rPr>
                <w:rFonts w:hint="default" w:ascii="Times New Roman" w:hAnsi="Times New Roman" w:cs="Times New Roman"/>
                <w:color w:val="auto"/>
                <w:u w:val="none"/>
              </w:rPr>
              <w:t>15.1</w:t>
            </w:r>
          </w:p>
        </w:tc>
        <w:tc>
          <w:tcPr>
            <w:tcW w:w="716" w:type="dxa"/>
            <w:tcBorders>
              <w:top w:val="single" w:color="auto" w:sz="4" w:space="0"/>
              <w:left w:val="single" w:color="auto" w:sz="4" w:space="0"/>
              <w:bottom w:val="single" w:color="auto" w:sz="4" w:space="0"/>
              <w:right w:val="single" w:color="auto" w:sz="4" w:space="0"/>
            </w:tcBorders>
            <w:vAlign w:val="center"/>
          </w:tcPr>
          <w:p w14:paraId="1DF8473C">
            <w:pPr>
              <w:pStyle w:val="41"/>
              <w:rPr>
                <w:rFonts w:hint="default" w:ascii="Times New Roman" w:hAnsi="Times New Roman" w:cs="Times New Roman"/>
                <w:color w:val="auto"/>
                <w:u w:val="none"/>
              </w:rPr>
            </w:pPr>
            <w:r>
              <w:rPr>
                <w:rFonts w:hint="default" w:ascii="Times New Roman" w:hAnsi="Times New Roman" w:cs="Times New Roman"/>
                <w:color w:val="auto"/>
                <w:u w:val="none"/>
              </w:rPr>
              <w:t>0.0</w:t>
            </w:r>
          </w:p>
        </w:tc>
        <w:tc>
          <w:tcPr>
            <w:tcW w:w="1054" w:type="dxa"/>
            <w:tcBorders>
              <w:top w:val="single" w:color="auto" w:sz="4" w:space="0"/>
              <w:left w:val="single" w:color="auto" w:sz="4" w:space="0"/>
              <w:bottom w:val="single" w:color="auto" w:sz="4" w:space="0"/>
              <w:right w:val="single" w:color="auto" w:sz="12" w:space="0"/>
            </w:tcBorders>
            <w:vAlign w:val="center"/>
          </w:tcPr>
          <w:p w14:paraId="0182A56D">
            <w:pPr>
              <w:pStyle w:val="41"/>
              <w:rPr>
                <w:rFonts w:hint="default" w:ascii="Times New Roman" w:hAnsi="Times New Roman" w:cs="Times New Roman"/>
                <w:color w:val="auto"/>
                <w:u w:val="none"/>
              </w:rPr>
            </w:pPr>
            <w:r>
              <w:rPr>
                <w:rFonts w:hint="default" w:ascii="Times New Roman" w:hAnsi="Times New Roman" w:cs="Times New Roman"/>
                <w:color w:val="auto"/>
                <w:u w:val="none"/>
              </w:rPr>
              <w:t>15.1</w:t>
            </w:r>
          </w:p>
        </w:tc>
      </w:tr>
      <w:tr w14:paraId="7F4B9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4" w:type="dxa"/>
            <w:tcBorders>
              <w:top w:val="single" w:color="auto" w:sz="4" w:space="0"/>
              <w:left w:val="single" w:color="auto" w:sz="12" w:space="0"/>
              <w:bottom w:val="single" w:color="auto" w:sz="12" w:space="0"/>
              <w:right w:val="single" w:color="auto" w:sz="4" w:space="0"/>
            </w:tcBorders>
            <w:vAlign w:val="center"/>
          </w:tcPr>
          <w:p w14:paraId="5DB3DA4E">
            <w:pPr>
              <w:pStyle w:val="41"/>
              <w:rPr>
                <w:rFonts w:hint="default" w:ascii="Times New Roman" w:hAnsi="Times New Roman" w:cs="Times New Roman"/>
                <w:color w:val="auto"/>
                <w:u w:val="none"/>
              </w:rPr>
            </w:pPr>
            <w:r>
              <w:rPr>
                <w:rFonts w:hint="default" w:ascii="Times New Roman" w:hAnsi="Times New Roman" w:cs="Times New Roman"/>
                <w:color w:val="auto"/>
                <w:u w:val="none"/>
              </w:rPr>
              <w:t>年均</w:t>
            </w:r>
          </w:p>
        </w:tc>
        <w:tc>
          <w:tcPr>
            <w:tcW w:w="1019" w:type="dxa"/>
            <w:tcBorders>
              <w:top w:val="single" w:color="auto" w:sz="4" w:space="0"/>
              <w:left w:val="single" w:color="auto" w:sz="4" w:space="0"/>
              <w:bottom w:val="single" w:color="auto" w:sz="12" w:space="0"/>
              <w:right w:val="single" w:color="auto" w:sz="4" w:space="0"/>
            </w:tcBorders>
            <w:vAlign w:val="center"/>
          </w:tcPr>
          <w:p w14:paraId="56FFA2E6">
            <w:pPr>
              <w:pStyle w:val="41"/>
              <w:rPr>
                <w:rFonts w:hint="default" w:ascii="Times New Roman" w:hAnsi="Times New Roman" w:cs="Times New Roman"/>
                <w:color w:val="auto"/>
                <w:u w:val="none"/>
              </w:rPr>
            </w:pPr>
            <w:r>
              <w:rPr>
                <w:rFonts w:hint="default" w:ascii="Times New Roman" w:hAnsi="Times New Roman" w:cs="Times New Roman"/>
                <w:color w:val="auto"/>
                <w:u w:val="none"/>
              </w:rPr>
              <w:t>4.0</w:t>
            </w:r>
          </w:p>
        </w:tc>
        <w:tc>
          <w:tcPr>
            <w:tcW w:w="1018" w:type="dxa"/>
            <w:tcBorders>
              <w:top w:val="single" w:color="auto" w:sz="4" w:space="0"/>
              <w:left w:val="single" w:color="auto" w:sz="4" w:space="0"/>
              <w:bottom w:val="single" w:color="auto" w:sz="12" w:space="0"/>
              <w:right w:val="single" w:color="auto" w:sz="4" w:space="0"/>
            </w:tcBorders>
            <w:vAlign w:val="center"/>
          </w:tcPr>
          <w:p w14:paraId="60922A31">
            <w:pPr>
              <w:pStyle w:val="41"/>
              <w:rPr>
                <w:rFonts w:hint="default" w:ascii="Times New Roman" w:hAnsi="Times New Roman" w:cs="Times New Roman"/>
                <w:color w:val="auto"/>
                <w:u w:val="none"/>
              </w:rPr>
            </w:pPr>
            <w:r>
              <w:rPr>
                <w:rFonts w:hint="default" w:ascii="Times New Roman" w:hAnsi="Times New Roman" w:cs="Times New Roman"/>
                <w:color w:val="auto"/>
                <w:u w:val="none"/>
              </w:rPr>
              <w:t>9.2</w:t>
            </w:r>
          </w:p>
        </w:tc>
        <w:tc>
          <w:tcPr>
            <w:tcW w:w="1018" w:type="dxa"/>
            <w:tcBorders>
              <w:top w:val="single" w:color="auto" w:sz="4" w:space="0"/>
              <w:left w:val="single" w:color="auto" w:sz="4" w:space="0"/>
              <w:bottom w:val="single" w:color="auto" w:sz="12" w:space="0"/>
              <w:right w:val="single" w:color="auto" w:sz="4" w:space="0"/>
            </w:tcBorders>
            <w:vAlign w:val="center"/>
          </w:tcPr>
          <w:p w14:paraId="5376E78D">
            <w:pPr>
              <w:pStyle w:val="41"/>
              <w:rPr>
                <w:rFonts w:hint="default" w:ascii="Times New Roman" w:hAnsi="Times New Roman" w:cs="Times New Roman"/>
                <w:color w:val="auto"/>
                <w:u w:val="none"/>
              </w:rPr>
            </w:pPr>
            <w:r>
              <w:rPr>
                <w:rFonts w:hint="default" w:ascii="Times New Roman" w:hAnsi="Times New Roman" w:cs="Times New Roman"/>
                <w:color w:val="auto"/>
                <w:u w:val="none"/>
              </w:rPr>
              <w:t>8.0</w:t>
            </w:r>
          </w:p>
        </w:tc>
        <w:tc>
          <w:tcPr>
            <w:tcW w:w="1020" w:type="dxa"/>
            <w:tcBorders>
              <w:top w:val="single" w:color="auto" w:sz="4" w:space="0"/>
              <w:left w:val="single" w:color="auto" w:sz="4" w:space="0"/>
              <w:bottom w:val="single" w:color="auto" w:sz="12" w:space="0"/>
              <w:right w:val="single" w:color="auto" w:sz="4" w:space="0"/>
            </w:tcBorders>
            <w:vAlign w:val="center"/>
          </w:tcPr>
          <w:p w14:paraId="17F4FC8B">
            <w:pPr>
              <w:pStyle w:val="41"/>
              <w:rPr>
                <w:rFonts w:hint="default" w:ascii="Times New Roman" w:hAnsi="Times New Roman" w:cs="Times New Roman"/>
                <w:color w:val="auto"/>
                <w:u w:val="none"/>
              </w:rPr>
            </w:pPr>
            <w:r>
              <w:rPr>
                <w:rFonts w:hint="default" w:ascii="Times New Roman" w:hAnsi="Times New Roman" w:cs="Times New Roman"/>
                <w:color w:val="auto"/>
                <w:u w:val="none"/>
              </w:rPr>
              <w:t>21.2</w:t>
            </w:r>
          </w:p>
        </w:tc>
        <w:tc>
          <w:tcPr>
            <w:tcW w:w="1034" w:type="dxa"/>
            <w:tcBorders>
              <w:top w:val="single" w:color="auto" w:sz="4" w:space="0"/>
              <w:left w:val="single" w:color="auto" w:sz="4" w:space="0"/>
              <w:bottom w:val="single" w:color="auto" w:sz="12" w:space="0"/>
              <w:right w:val="single" w:color="auto" w:sz="4" w:space="0"/>
            </w:tcBorders>
            <w:vAlign w:val="center"/>
          </w:tcPr>
          <w:p w14:paraId="0EAF466B">
            <w:pPr>
              <w:pStyle w:val="41"/>
              <w:rPr>
                <w:rFonts w:hint="default" w:ascii="Times New Roman" w:hAnsi="Times New Roman" w:cs="Times New Roman"/>
                <w:color w:val="auto"/>
                <w:u w:val="none"/>
              </w:rPr>
            </w:pPr>
            <w:r>
              <w:rPr>
                <w:rFonts w:hint="default" w:ascii="Times New Roman" w:hAnsi="Times New Roman" w:cs="Times New Roman"/>
                <w:color w:val="auto"/>
                <w:u w:val="none"/>
              </w:rPr>
              <w:t>65.1</w:t>
            </w:r>
          </w:p>
        </w:tc>
        <w:tc>
          <w:tcPr>
            <w:tcW w:w="1018" w:type="dxa"/>
            <w:tcBorders>
              <w:top w:val="single" w:color="auto" w:sz="4" w:space="0"/>
              <w:left w:val="single" w:color="auto" w:sz="4" w:space="0"/>
              <w:bottom w:val="single" w:color="auto" w:sz="12" w:space="0"/>
              <w:right w:val="single" w:color="auto" w:sz="4" w:space="0"/>
            </w:tcBorders>
            <w:vAlign w:val="center"/>
          </w:tcPr>
          <w:p w14:paraId="38836436">
            <w:pPr>
              <w:pStyle w:val="41"/>
              <w:rPr>
                <w:rFonts w:hint="default" w:ascii="Times New Roman" w:hAnsi="Times New Roman" w:cs="Times New Roman"/>
                <w:color w:val="auto"/>
                <w:u w:val="none"/>
              </w:rPr>
            </w:pPr>
            <w:r>
              <w:rPr>
                <w:rFonts w:hint="default" w:ascii="Times New Roman" w:hAnsi="Times New Roman" w:cs="Times New Roman"/>
                <w:color w:val="auto"/>
                <w:u w:val="none"/>
              </w:rPr>
              <w:t>13.5</w:t>
            </w:r>
          </w:p>
        </w:tc>
        <w:tc>
          <w:tcPr>
            <w:tcW w:w="716" w:type="dxa"/>
            <w:tcBorders>
              <w:top w:val="single" w:color="auto" w:sz="4" w:space="0"/>
              <w:left w:val="single" w:color="auto" w:sz="4" w:space="0"/>
              <w:bottom w:val="single" w:color="auto" w:sz="12" w:space="0"/>
              <w:right w:val="single" w:color="auto" w:sz="4" w:space="0"/>
            </w:tcBorders>
            <w:vAlign w:val="center"/>
          </w:tcPr>
          <w:p w14:paraId="1EC5D623">
            <w:pPr>
              <w:pStyle w:val="41"/>
              <w:rPr>
                <w:rFonts w:hint="default" w:ascii="Times New Roman" w:hAnsi="Times New Roman" w:cs="Times New Roman"/>
                <w:color w:val="auto"/>
                <w:u w:val="none"/>
              </w:rPr>
            </w:pPr>
            <w:r>
              <w:rPr>
                <w:rFonts w:hint="default" w:ascii="Times New Roman" w:hAnsi="Times New Roman" w:cs="Times New Roman"/>
                <w:color w:val="auto"/>
                <w:u w:val="none"/>
              </w:rPr>
              <w:t>0.0</w:t>
            </w:r>
          </w:p>
        </w:tc>
        <w:tc>
          <w:tcPr>
            <w:tcW w:w="1054" w:type="dxa"/>
            <w:tcBorders>
              <w:top w:val="single" w:color="auto" w:sz="4" w:space="0"/>
              <w:left w:val="single" w:color="auto" w:sz="4" w:space="0"/>
              <w:bottom w:val="single" w:color="auto" w:sz="12" w:space="0"/>
              <w:right w:val="single" w:color="auto" w:sz="12" w:space="0"/>
            </w:tcBorders>
            <w:vAlign w:val="center"/>
          </w:tcPr>
          <w:p w14:paraId="3F2D2287">
            <w:pPr>
              <w:pStyle w:val="41"/>
              <w:rPr>
                <w:rFonts w:hint="default" w:ascii="Times New Roman" w:hAnsi="Times New Roman" w:cs="Times New Roman"/>
                <w:color w:val="auto"/>
                <w:u w:val="none"/>
              </w:rPr>
            </w:pPr>
            <w:r>
              <w:rPr>
                <w:rFonts w:hint="default" w:ascii="Times New Roman" w:hAnsi="Times New Roman" w:cs="Times New Roman"/>
                <w:color w:val="auto"/>
                <w:u w:val="none"/>
              </w:rPr>
              <w:t>13.5</w:t>
            </w:r>
          </w:p>
        </w:tc>
      </w:tr>
    </w:tbl>
    <w:p w14:paraId="21EA44A8">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正常工况下废气环境影响预测与评价</w:t>
      </w:r>
    </w:p>
    <w:p w14:paraId="51D0FAF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根据工程分析，本工程运营期废气中主要污染物为硫酸雾，环评选取硫酸雾作为预测因子。</w:t>
      </w:r>
    </w:p>
    <w:p w14:paraId="7C96E211">
      <w:pPr>
        <w:ind w:firstLine="468"/>
        <w:rPr>
          <w:rFonts w:hint="default" w:ascii="Times New Roman" w:hAnsi="Times New Roman" w:cs="Times New Roman"/>
          <w:color w:val="auto"/>
          <w:u w:val="none"/>
        </w:rPr>
      </w:pPr>
      <w:r>
        <w:rPr>
          <w:rFonts w:hint="default" w:ascii="Times New Roman" w:hAnsi="Times New Roman" w:cs="Times New Roman"/>
          <w:color w:val="auto"/>
          <w:spacing w:val="-3"/>
          <w:u w:val="none"/>
        </w:rPr>
        <w:t>（</w:t>
      </w:r>
      <w:r>
        <w:rPr>
          <w:rFonts w:hint="default" w:ascii="Times New Roman" w:hAnsi="Times New Roman" w:eastAsia="Times New Roman" w:cs="Times New Roman"/>
          <w:color w:val="auto"/>
          <w:spacing w:val="-3"/>
          <w:u w:val="none"/>
        </w:rPr>
        <w:t>1</w:t>
      </w:r>
      <w:r>
        <w:rPr>
          <w:rFonts w:hint="default" w:ascii="Times New Roman" w:hAnsi="Times New Roman" w:cs="Times New Roman"/>
          <w:color w:val="auto"/>
          <w:spacing w:val="-3"/>
          <w:u w:val="none"/>
        </w:rPr>
        <w:t>）估算</w:t>
      </w:r>
      <w:r>
        <w:rPr>
          <w:rFonts w:hint="default" w:ascii="Times New Roman" w:hAnsi="Times New Roman" w:cs="Times New Roman"/>
          <w:color w:val="auto"/>
          <w:u w:val="none"/>
        </w:rPr>
        <w:t>模型</w:t>
      </w:r>
    </w:p>
    <w:p w14:paraId="5EE2FC5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42751EA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①Pmax及D10%的确定</w:t>
      </w:r>
    </w:p>
    <w:p w14:paraId="5602F1F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依据《环境影响评价技术导则 大气环境》（HJ2.2-2018）中最大地面浓度占标率Pi定义如下：</w:t>
      </w:r>
    </w:p>
    <w:p w14:paraId="7BAE7870">
      <w:pPr>
        <w:spacing w:line="276" w:lineRule="auto"/>
        <w:ind w:firstLine="422" w:firstLineChars="176"/>
        <w:jc w:val="center"/>
        <w:rPr>
          <w:rFonts w:hint="default" w:ascii="Times New Roman" w:hAnsi="Times New Roman" w:cs="Times New Roman"/>
          <w:color w:val="auto"/>
          <w:u w:val="none"/>
        </w:rPr>
      </w:pPr>
      <m:oMathPara>
        <m:oMath>
          <m:sSub>
            <m:sSubPr>
              <m:ctrlPr>
                <w:rPr>
                  <w:rFonts w:hint="default" w:ascii="Cambria Math" w:hAnsi="Cambria Math" w:cs="Times New Roman"/>
                  <w:color w:val="auto"/>
                  <w:u w:val="none"/>
                </w:rPr>
              </m:ctrlPr>
            </m:sSubPr>
            <m:e>
              <m:r>
                <m:rPr/>
                <w:rPr>
                  <w:rFonts w:hint="default" w:ascii="Cambria Math" w:hAnsi="Cambria Math" w:cs="Times New Roman"/>
                  <w:color w:val="auto"/>
                  <w:u w:val="none"/>
                </w:rPr>
                <m:t>P</m:t>
              </m:r>
              <m:ctrlPr>
                <w:rPr>
                  <w:rFonts w:hint="default" w:ascii="Cambria Math" w:hAnsi="Cambria Math" w:cs="Times New Roman"/>
                  <w:color w:val="auto"/>
                  <w:u w:val="none"/>
                </w:rPr>
              </m:ctrlPr>
            </m:e>
            <m:sub>
              <m:r>
                <m:rPr/>
                <w:rPr>
                  <w:rFonts w:hint="default" w:ascii="Cambria Math" w:hAnsi="Cambria Math" w:cs="Times New Roman"/>
                  <w:color w:val="auto"/>
                  <w:u w:val="none"/>
                </w:rPr>
                <m:t>i</m:t>
              </m:r>
              <m:ctrlPr>
                <w:rPr>
                  <w:rFonts w:hint="default" w:ascii="Cambria Math" w:hAnsi="Cambria Math" w:cs="Times New Roman"/>
                  <w:color w:val="auto"/>
                  <w:u w:val="none"/>
                </w:rPr>
              </m:ctrlPr>
            </m:sub>
          </m:sSub>
          <m:r>
            <m:rPr>
              <m:sty m:val="p"/>
            </m:rPr>
            <w:rPr>
              <w:rFonts w:hint="default" w:ascii="Cambria Math" w:hAnsi="Cambria Math" w:cs="Times New Roman"/>
              <w:color w:val="auto"/>
              <w:u w:val="none"/>
            </w:rPr>
            <m:t>=</m:t>
          </m:r>
          <m:f>
            <m:fPr>
              <m:ctrlPr>
                <w:rPr>
                  <w:rFonts w:hint="default" w:ascii="Cambria Math" w:hAnsi="Cambria Math" w:cs="Times New Roman"/>
                  <w:color w:val="auto"/>
                  <w:u w:val="none"/>
                </w:rPr>
              </m:ctrlPr>
            </m:fPr>
            <m:num>
              <m:sSub>
                <m:sSubPr>
                  <m:ctrlPr>
                    <w:rPr>
                      <w:rFonts w:hint="default" w:ascii="Cambria Math" w:hAnsi="Cambria Math" w:cs="Times New Roman"/>
                      <w:i/>
                      <w:color w:val="auto"/>
                      <w:u w:val="none"/>
                    </w:rPr>
                  </m:ctrlPr>
                </m:sSubPr>
                <m:e>
                  <m:r>
                    <m:rPr/>
                    <w:rPr>
                      <w:rFonts w:hint="default" w:ascii="Cambria Math" w:hAnsi="Cambria Math" w:cs="Times New Roman"/>
                      <w:color w:val="auto"/>
                      <w:u w:val="none"/>
                    </w:rPr>
                    <m:t>C</m:t>
                  </m:r>
                  <m:ctrlPr>
                    <w:rPr>
                      <w:rFonts w:hint="default" w:ascii="Cambria Math" w:hAnsi="Cambria Math" w:cs="Times New Roman"/>
                      <w:i/>
                      <w:color w:val="auto"/>
                      <w:u w:val="none"/>
                    </w:rPr>
                  </m:ctrlPr>
                </m:e>
                <m:sub>
                  <m:r>
                    <m:rPr/>
                    <w:rPr>
                      <w:rFonts w:hint="default" w:ascii="Cambria Math" w:hAnsi="Cambria Math" w:cs="Times New Roman"/>
                      <w:color w:val="auto"/>
                      <w:u w:val="none"/>
                    </w:rPr>
                    <m:t>i</m:t>
                  </m:r>
                  <m:ctrlPr>
                    <w:rPr>
                      <w:rFonts w:hint="default" w:ascii="Cambria Math" w:hAnsi="Cambria Math" w:cs="Times New Roman"/>
                      <w:i/>
                      <w:color w:val="auto"/>
                      <w:u w:val="none"/>
                    </w:rPr>
                  </m:ctrlPr>
                </m:sub>
              </m:sSub>
              <m:ctrlPr>
                <w:rPr>
                  <w:rFonts w:hint="default" w:ascii="Cambria Math" w:hAnsi="Cambria Math" w:cs="Times New Roman"/>
                  <w:color w:val="auto"/>
                  <w:u w:val="none"/>
                </w:rPr>
              </m:ctrlPr>
            </m:num>
            <m:den>
              <m:sSub>
                <m:sSubPr>
                  <m:ctrlPr>
                    <w:rPr>
                      <w:rFonts w:hint="default" w:ascii="Cambria Math" w:hAnsi="Cambria Math" w:cs="Times New Roman"/>
                      <w:i/>
                      <w:color w:val="auto"/>
                      <w:u w:val="none"/>
                    </w:rPr>
                  </m:ctrlPr>
                </m:sSubPr>
                <m:e>
                  <m:r>
                    <m:rPr/>
                    <w:rPr>
                      <w:rFonts w:hint="default" w:ascii="Cambria Math" w:hAnsi="Cambria Math" w:cs="Times New Roman"/>
                      <w:color w:val="auto"/>
                      <w:u w:val="none"/>
                    </w:rPr>
                    <m:t>C</m:t>
                  </m:r>
                  <m:ctrlPr>
                    <w:rPr>
                      <w:rFonts w:hint="default" w:ascii="Cambria Math" w:hAnsi="Cambria Math" w:cs="Times New Roman"/>
                      <w:i/>
                      <w:color w:val="auto"/>
                      <w:u w:val="none"/>
                    </w:rPr>
                  </m:ctrlPr>
                </m:e>
                <m:sub>
                  <m:r>
                    <m:rPr/>
                    <w:rPr>
                      <w:rFonts w:hint="default" w:ascii="Cambria Math" w:hAnsi="Cambria Math" w:cs="Times New Roman"/>
                      <w:color w:val="auto"/>
                      <w:u w:val="none"/>
                    </w:rPr>
                    <m:t>0i</m:t>
                  </m:r>
                  <m:ctrlPr>
                    <w:rPr>
                      <w:rFonts w:hint="default" w:ascii="Cambria Math" w:hAnsi="Cambria Math" w:cs="Times New Roman"/>
                      <w:i/>
                      <w:color w:val="auto"/>
                      <w:u w:val="none"/>
                    </w:rPr>
                  </m:ctrlPr>
                </m:sub>
              </m:sSub>
              <m:ctrlPr>
                <w:rPr>
                  <w:rFonts w:hint="default" w:ascii="Cambria Math" w:hAnsi="Cambria Math" w:cs="Times New Roman"/>
                  <w:color w:val="auto"/>
                  <w:u w:val="none"/>
                </w:rPr>
              </m:ctrlPr>
            </m:den>
          </m:f>
          <m:r>
            <m:rPr/>
            <w:rPr>
              <w:rFonts w:hint="default" w:ascii="Cambria Math" w:hAnsi="Cambria Math" w:cs="Times New Roman"/>
              <w:color w:val="auto"/>
              <w:u w:val="none"/>
            </w:rPr>
            <m:t>×100%</m:t>
          </m:r>
        </m:oMath>
      </m:oMathPara>
    </w:p>
    <w:p w14:paraId="0BC15197">
      <w:pPr>
        <w:spacing w:line="480" w:lineRule="exact"/>
        <w:ind w:firstLine="422" w:firstLineChars="176"/>
        <w:jc w:val="left"/>
        <w:rPr>
          <w:rFonts w:hint="default" w:ascii="Times New Roman" w:hAnsi="Times New Roman" w:cs="Times New Roman"/>
          <w:color w:val="auto"/>
          <w:u w:val="none"/>
        </w:rPr>
      </w:pPr>
      <m:oMath>
        <m:sSub>
          <m:sSubPr>
            <m:ctrlPr>
              <w:rPr>
                <w:rFonts w:hint="default" w:ascii="Cambria Math" w:hAnsi="Cambria Math" w:cs="Times New Roman"/>
                <w:color w:val="auto"/>
                <w:u w:val="none"/>
              </w:rPr>
            </m:ctrlPr>
          </m:sSubPr>
          <m:e>
            <m:r>
              <m:rPr/>
              <w:rPr>
                <w:rFonts w:hint="default" w:ascii="Cambria Math" w:hAnsi="Cambria Math" w:cs="Times New Roman"/>
                <w:color w:val="auto"/>
                <w:u w:val="none"/>
              </w:rPr>
              <m:t>P</m:t>
            </m:r>
            <m:ctrlPr>
              <w:rPr>
                <w:rFonts w:hint="default" w:ascii="Cambria Math" w:hAnsi="Cambria Math" w:cs="Times New Roman"/>
                <w:color w:val="auto"/>
                <w:u w:val="none"/>
              </w:rPr>
            </m:ctrlPr>
          </m:e>
          <m:sub>
            <m:r>
              <m:rPr/>
              <w:rPr>
                <w:rFonts w:hint="default" w:ascii="Cambria Math" w:hAnsi="Cambria Math" w:cs="Times New Roman"/>
                <w:color w:val="auto"/>
                <w:u w:val="none"/>
              </w:rPr>
              <m:t>i</m:t>
            </m:r>
            <m:ctrlPr>
              <w:rPr>
                <w:rFonts w:hint="default" w:ascii="Cambria Math" w:hAnsi="Cambria Math" w:cs="Times New Roman"/>
                <w:color w:val="auto"/>
                <w:u w:val="none"/>
              </w:rPr>
            </m:ctrlPr>
          </m:sub>
        </m:sSub>
      </m:oMath>
      <w:r>
        <w:rPr>
          <w:rFonts w:hint="default" w:ascii="Times New Roman" w:hAnsi="Times New Roman" w:cs="Times New Roman"/>
          <w:color w:val="auto"/>
          <w:u w:val="none"/>
        </w:rPr>
        <w:t xml:space="preserve"> ——第i个污染物的最大地面空气质量浓度 占标率，%；</w:t>
      </w:r>
    </w:p>
    <w:p w14:paraId="5A489C8F">
      <w:pPr>
        <w:spacing w:line="480" w:lineRule="exact"/>
        <w:ind w:firstLine="422" w:firstLineChars="176"/>
        <w:jc w:val="left"/>
        <w:rPr>
          <w:rFonts w:hint="default" w:ascii="Times New Roman" w:hAnsi="Times New Roman" w:cs="Times New Roman"/>
          <w:color w:val="auto"/>
          <w:u w:val="none"/>
        </w:rPr>
      </w:pPr>
      <m:oMath>
        <m:sSub>
          <m:sSubPr>
            <m:ctrlPr>
              <w:rPr>
                <w:rFonts w:hint="default" w:ascii="Cambria Math" w:hAnsi="Cambria Math" w:cs="Times New Roman"/>
                <w:i/>
                <w:color w:val="auto"/>
                <w:u w:val="none"/>
              </w:rPr>
            </m:ctrlPr>
          </m:sSubPr>
          <m:e>
            <m:r>
              <m:rPr/>
              <w:rPr>
                <w:rFonts w:hint="default" w:ascii="Cambria Math" w:hAnsi="Cambria Math" w:cs="Times New Roman"/>
                <w:color w:val="auto"/>
                <w:u w:val="none"/>
              </w:rPr>
              <m:t>C</m:t>
            </m:r>
            <m:ctrlPr>
              <w:rPr>
                <w:rFonts w:hint="default" w:ascii="Cambria Math" w:hAnsi="Cambria Math" w:cs="Times New Roman"/>
                <w:i/>
                <w:color w:val="auto"/>
                <w:u w:val="none"/>
              </w:rPr>
            </m:ctrlPr>
          </m:e>
          <m:sub>
            <m:r>
              <m:rPr/>
              <w:rPr>
                <w:rFonts w:hint="default" w:ascii="Cambria Math" w:hAnsi="Cambria Math" w:cs="Times New Roman"/>
                <w:color w:val="auto"/>
                <w:u w:val="none"/>
              </w:rPr>
              <m:t>i</m:t>
            </m:r>
            <m:ctrlPr>
              <w:rPr>
                <w:rFonts w:hint="default" w:ascii="Cambria Math" w:hAnsi="Cambria Math" w:cs="Times New Roman"/>
                <w:i/>
                <w:color w:val="auto"/>
                <w:u w:val="none"/>
              </w:rPr>
            </m:ctrlPr>
          </m:sub>
        </m:sSub>
      </m:oMath>
      <w:r>
        <w:rPr>
          <w:rFonts w:hint="default" w:ascii="Times New Roman" w:hAnsi="Times New Roman" w:cs="Times New Roman"/>
          <w:color w:val="auto"/>
          <w:u w:val="none"/>
        </w:rPr>
        <w:t>——采用估算模型计算出的第i个污染物的最大1h地面空气质量浓度，μg/m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p w14:paraId="2E9A8FD7">
      <w:pPr>
        <w:spacing w:line="480" w:lineRule="exact"/>
        <w:ind w:firstLine="422" w:firstLineChars="176"/>
        <w:jc w:val="left"/>
        <w:rPr>
          <w:rFonts w:hint="default" w:ascii="Times New Roman" w:hAnsi="Times New Roman" w:cs="Times New Roman"/>
          <w:color w:val="auto"/>
          <w:u w:val="none"/>
        </w:rPr>
      </w:pPr>
      <m:oMath>
        <m:sSub>
          <m:sSubPr>
            <m:ctrlPr>
              <w:rPr>
                <w:rFonts w:hint="default" w:ascii="Cambria Math" w:hAnsi="Cambria Math" w:cs="Times New Roman"/>
                <w:i/>
                <w:color w:val="auto"/>
                <w:u w:val="none"/>
              </w:rPr>
            </m:ctrlPr>
          </m:sSubPr>
          <m:e>
            <m:r>
              <m:rPr/>
              <w:rPr>
                <w:rFonts w:hint="default" w:ascii="Cambria Math" w:hAnsi="Cambria Math" w:cs="Times New Roman"/>
                <w:color w:val="auto"/>
                <w:u w:val="none"/>
              </w:rPr>
              <m:t>C</m:t>
            </m:r>
            <m:ctrlPr>
              <w:rPr>
                <w:rFonts w:hint="default" w:ascii="Cambria Math" w:hAnsi="Cambria Math" w:cs="Times New Roman"/>
                <w:i/>
                <w:color w:val="auto"/>
                <w:u w:val="none"/>
              </w:rPr>
            </m:ctrlPr>
          </m:e>
          <m:sub>
            <m:r>
              <m:rPr/>
              <w:rPr>
                <w:rFonts w:hint="default" w:ascii="Cambria Math" w:hAnsi="Cambria Math" w:cs="Times New Roman"/>
                <w:color w:val="auto"/>
                <w:u w:val="none"/>
              </w:rPr>
              <m:t>0i</m:t>
            </m:r>
            <m:ctrlPr>
              <w:rPr>
                <w:rFonts w:hint="default" w:ascii="Cambria Math" w:hAnsi="Cambria Math" w:cs="Times New Roman"/>
                <w:i/>
                <w:color w:val="auto"/>
                <w:u w:val="none"/>
              </w:rPr>
            </m:ctrlPr>
          </m:sub>
        </m:sSub>
      </m:oMath>
      <w:r>
        <w:rPr>
          <w:rFonts w:hint="default" w:ascii="Times New Roman" w:hAnsi="Times New Roman" w:cs="Times New Roman"/>
          <w:color w:val="auto"/>
          <w:u w:val="none"/>
        </w:rPr>
        <w:t>——第i个污染物的环境空气质量浓度标准，μg/m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p w14:paraId="74EFAC77">
      <w:pPr>
        <w:spacing w:line="480" w:lineRule="exact"/>
        <w:ind w:firstLine="422" w:firstLineChars="176"/>
        <w:jc w:val="left"/>
        <w:rPr>
          <w:rFonts w:hint="default" w:ascii="Times New Roman" w:hAnsi="Times New Roman" w:cs="Times New Roman"/>
          <w:color w:val="auto"/>
          <w:u w:val="none"/>
        </w:rPr>
      </w:pPr>
      <w:r>
        <w:rPr>
          <w:rFonts w:hint="default" w:ascii="Times New Roman" w:hAnsi="Times New Roman" w:cs="Times New Roman"/>
          <w:color w:val="auto"/>
          <w:u w:val="none"/>
        </w:rPr>
        <w:t>②评价等级判别表</w:t>
      </w:r>
    </w:p>
    <w:p w14:paraId="2B650F80">
      <w:pPr>
        <w:spacing w:line="480" w:lineRule="exact"/>
        <w:ind w:firstLine="422" w:firstLineChars="176"/>
        <w:jc w:val="left"/>
        <w:rPr>
          <w:rFonts w:hint="default" w:ascii="Times New Roman" w:hAnsi="Times New Roman" w:cs="Times New Roman"/>
          <w:color w:val="auto"/>
          <w:u w:val="none"/>
        </w:rPr>
      </w:pPr>
      <w:r>
        <w:rPr>
          <w:rFonts w:hint="default" w:ascii="Times New Roman" w:hAnsi="Times New Roman" w:cs="Times New Roman"/>
          <w:color w:val="auto"/>
          <w:u w:val="none"/>
        </w:rPr>
        <w:t>评价等级按下表的分级判据进行划分</w:t>
      </w:r>
    </w:p>
    <w:p w14:paraId="7A8560E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u w:val="none"/>
          <w:lang w:val="zh-CN"/>
        </w:rPr>
      </w:pPr>
      <w:r>
        <w:rPr>
          <w:rFonts w:hint="default" w:ascii="Times New Roman" w:hAnsi="Times New Roman" w:cs="Times New Roman"/>
          <w:b/>
          <w:bCs/>
          <w:color w:val="auto"/>
          <w:u w:val="none"/>
          <w:lang w:val="zh-CN"/>
        </w:rPr>
        <w:t>表</w:t>
      </w:r>
      <w:r>
        <w:rPr>
          <w:rFonts w:hint="default" w:ascii="Times New Roman" w:hAnsi="Times New Roman" w:cs="Times New Roman"/>
          <w:b/>
          <w:bCs/>
          <w:color w:val="auto"/>
          <w:u w:val="none"/>
        </w:rPr>
        <w:t>6.2-5</w:t>
      </w:r>
      <w:r>
        <w:rPr>
          <w:rFonts w:hint="default" w:ascii="Times New Roman" w:hAnsi="Times New Roman" w:cs="Times New Roman"/>
          <w:b/>
          <w:bCs/>
          <w:color w:val="auto"/>
          <w:u w:val="none"/>
          <w:lang w:val="zh-CN"/>
        </w:rPr>
        <w:t xml:space="preserve"> 评价等级判别表</w:t>
      </w:r>
    </w:p>
    <w:tbl>
      <w:tblPr>
        <w:tblStyle w:val="30"/>
        <w:tblW w:w="894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12"/>
        <w:gridCol w:w="4535"/>
      </w:tblGrid>
      <w:tr w14:paraId="0D7A0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2" w:type="dxa"/>
            <w:vAlign w:val="center"/>
          </w:tcPr>
          <w:p w14:paraId="204D551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评价工作等级</w:t>
            </w:r>
          </w:p>
        </w:tc>
        <w:tc>
          <w:tcPr>
            <w:tcW w:w="4535" w:type="dxa"/>
            <w:vAlign w:val="center"/>
          </w:tcPr>
          <w:p w14:paraId="57F20C9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评价工作分级判据</w:t>
            </w:r>
          </w:p>
        </w:tc>
      </w:tr>
      <w:tr w14:paraId="015AE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2" w:type="dxa"/>
            <w:vAlign w:val="center"/>
          </w:tcPr>
          <w:p w14:paraId="04C97731">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一级评价</w:t>
            </w:r>
          </w:p>
        </w:tc>
        <w:tc>
          <w:tcPr>
            <w:tcW w:w="4535" w:type="dxa"/>
            <w:vAlign w:val="center"/>
          </w:tcPr>
          <w:p w14:paraId="0316916F">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P</w:t>
            </w:r>
            <w:r>
              <w:rPr>
                <w:rFonts w:hint="default" w:ascii="Times New Roman" w:hAnsi="Times New Roman" w:cs="Times New Roman"/>
                <w:color w:val="auto"/>
                <w:kern w:val="2"/>
                <w:szCs w:val="24"/>
                <w:u w:val="none"/>
                <w:vertAlign w:val="subscript"/>
              </w:rPr>
              <w:t>max</w:t>
            </w:r>
            <w:r>
              <w:rPr>
                <w:rFonts w:hint="default" w:ascii="Times New Roman" w:hAnsi="Times New Roman" w:cs="Times New Roman"/>
                <w:color w:val="auto"/>
                <w:kern w:val="2"/>
                <w:szCs w:val="24"/>
                <w:u w:val="none"/>
              </w:rPr>
              <w:t>≧10%</w:t>
            </w:r>
          </w:p>
        </w:tc>
      </w:tr>
      <w:tr w14:paraId="49D5C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2" w:type="dxa"/>
            <w:vAlign w:val="center"/>
          </w:tcPr>
          <w:p w14:paraId="7C931805">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二级评价</w:t>
            </w:r>
          </w:p>
        </w:tc>
        <w:tc>
          <w:tcPr>
            <w:tcW w:w="4535" w:type="dxa"/>
            <w:vAlign w:val="center"/>
          </w:tcPr>
          <w:p w14:paraId="60D7488B">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1%≦P</w:t>
            </w:r>
            <w:r>
              <w:rPr>
                <w:rFonts w:hint="default" w:ascii="Times New Roman" w:hAnsi="Times New Roman" w:cs="Times New Roman"/>
                <w:color w:val="auto"/>
                <w:kern w:val="2"/>
                <w:szCs w:val="24"/>
                <w:u w:val="none"/>
                <w:vertAlign w:val="subscript"/>
              </w:rPr>
              <w:t>max</w:t>
            </w:r>
            <w:r>
              <w:rPr>
                <w:rFonts w:hint="default" w:ascii="Times New Roman" w:hAnsi="Times New Roman" w:cs="Times New Roman"/>
                <w:color w:val="auto"/>
                <w:kern w:val="2"/>
                <w:szCs w:val="24"/>
                <w:u w:val="none"/>
              </w:rPr>
              <w:t>&lt;10%</w:t>
            </w:r>
          </w:p>
        </w:tc>
      </w:tr>
      <w:tr w14:paraId="5F9E4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2" w:type="dxa"/>
            <w:vAlign w:val="center"/>
          </w:tcPr>
          <w:p w14:paraId="4797EE6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三级评价</w:t>
            </w:r>
          </w:p>
        </w:tc>
        <w:tc>
          <w:tcPr>
            <w:tcW w:w="4535" w:type="dxa"/>
            <w:vAlign w:val="center"/>
          </w:tcPr>
          <w:p w14:paraId="1D6D9E23">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P</w:t>
            </w:r>
            <w:r>
              <w:rPr>
                <w:rFonts w:hint="default" w:ascii="Times New Roman" w:hAnsi="Times New Roman" w:cs="Times New Roman"/>
                <w:color w:val="auto"/>
                <w:kern w:val="2"/>
                <w:szCs w:val="24"/>
                <w:u w:val="none"/>
                <w:vertAlign w:val="subscript"/>
              </w:rPr>
              <w:t>max</w:t>
            </w:r>
            <w:r>
              <w:rPr>
                <w:rFonts w:hint="default" w:ascii="Times New Roman" w:hAnsi="Times New Roman" w:cs="Times New Roman"/>
                <w:color w:val="auto"/>
                <w:kern w:val="2"/>
                <w:szCs w:val="24"/>
                <w:u w:val="none"/>
              </w:rPr>
              <w:t>&lt;1%</w:t>
            </w:r>
          </w:p>
        </w:tc>
      </w:tr>
    </w:tbl>
    <w:p w14:paraId="33900300">
      <w:pPr>
        <w:spacing w:line="480" w:lineRule="exact"/>
        <w:ind w:firstLine="422" w:firstLineChars="176"/>
        <w:jc w:val="left"/>
        <w:rPr>
          <w:rFonts w:hint="default" w:ascii="Times New Roman" w:hAnsi="Times New Roman" w:cs="Times New Roman"/>
          <w:color w:val="auto"/>
          <w:u w:val="none"/>
        </w:rPr>
      </w:pPr>
      <w:r>
        <w:rPr>
          <w:rFonts w:hint="default" w:ascii="Times New Roman" w:hAnsi="Times New Roman" w:cs="Times New Roman"/>
          <w:color w:val="auto"/>
          <w:u w:val="none"/>
        </w:rPr>
        <w:t>③污染物评价标准</w:t>
      </w:r>
    </w:p>
    <w:p w14:paraId="22B77155">
      <w:pPr>
        <w:spacing w:line="480" w:lineRule="exact"/>
        <w:ind w:firstLine="422" w:firstLineChars="176"/>
        <w:jc w:val="left"/>
        <w:rPr>
          <w:rFonts w:hint="default" w:ascii="Times New Roman" w:hAnsi="Times New Roman" w:cs="Times New Roman"/>
          <w:color w:val="auto"/>
          <w:u w:val="none"/>
        </w:rPr>
      </w:pPr>
      <w:r>
        <w:rPr>
          <w:rFonts w:hint="default" w:ascii="Times New Roman" w:hAnsi="Times New Roman" w:cs="Times New Roman"/>
          <w:color w:val="auto"/>
          <w:u w:val="none"/>
        </w:rPr>
        <w:t>污染物评价标准和来源见下表。</w:t>
      </w:r>
    </w:p>
    <w:p w14:paraId="4A08033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表6.2-6  污染物评价标准</w:t>
      </w:r>
    </w:p>
    <w:tbl>
      <w:tblPr>
        <w:tblStyle w:val="30"/>
        <w:tblW w:w="491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1047"/>
        <w:gridCol w:w="1605"/>
        <w:gridCol w:w="1726"/>
        <w:gridCol w:w="2991"/>
      </w:tblGrid>
      <w:tr w14:paraId="5E4DF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61" w:type="pct"/>
            <w:vAlign w:val="center"/>
          </w:tcPr>
          <w:p w14:paraId="7E93FC2C">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污染物名称</w:t>
            </w:r>
          </w:p>
        </w:tc>
        <w:tc>
          <w:tcPr>
            <w:tcW w:w="588" w:type="pct"/>
            <w:vAlign w:val="center"/>
          </w:tcPr>
          <w:p w14:paraId="6323B8AB">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功能区</w:t>
            </w:r>
          </w:p>
        </w:tc>
        <w:tc>
          <w:tcPr>
            <w:tcW w:w="901" w:type="pct"/>
            <w:vAlign w:val="center"/>
          </w:tcPr>
          <w:p w14:paraId="07653A5C">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取值时间</w:t>
            </w:r>
          </w:p>
        </w:tc>
        <w:tc>
          <w:tcPr>
            <w:tcW w:w="969" w:type="pct"/>
            <w:vAlign w:val="center"/>
          </w:tcPr>
          <w:p w14:paraId="31831EE9">
            <w:pPr>
              <w:pStyle w:val="41"/>
              <w:rPr>
                <w:rFonts w:hint="default" w:ascii="Times New Roman" w:hAnsi="Times New Roman" w:cs="Times New Roman"/>
                <w:b/>
                <w:bCs/>
                <w:color w:val="auto"/>
                <w:kern w:val="2"/>
                <w:szCs w:val="24"/>
                <w:u w:val="none"/>
              </w:rPr>
            </w:pPr>
            <w:bookmarkStart w:id="129" w:name="OLE_LINK4"/>
            <w:bookmarkStart w:id="130" w:name="OLE_LINK5"/>
            <w:r>
              <w:rPr>
                <w:rFonts w:hint="default" w:ascii="Times New Roman" w:hAnsi="Times New Roman" w:cs="Times New Roman"/>
                <w:b/>
                <w:bCs/>
                <w:color w:val="auto"/>
                <w:kern w:val="2"/>
                <w:szCs w:val="24"/>
                <w:u w:val="none"/>
              </w:rPr>
              <w:t>标准值</w:t>
            </w:r>
            <w:bookmarkEnd w:id="129"/>
            <w:bookmarkEnd w:id="130"/>
            <w:bookmarkStart w:id="131" w:name="OLE_LINK15"/>
            <w:r>
              <w:rPr>
                <w:rFonts w:hint="default" w:ascii="Times New Roman" w:hAnsi="Times New Roman" w:cs="Times New Roman"/>
                <w:b/>
                <w:bCs/>
                <w:color w:val="auto"/>
                <w:kern w:val="2"/>
                <w:szCs w:val="24"/>
                <w:u w:val="none"/>
              </w:rPr>
              <w:t>（μg/</w:t>
            </w:r>
            <w:bookmarkEnd w:id="131"/>
            <w:r>
              <w:rPr>
                <w:rFonts w:hint="default" w:ascii="Times New Roman" w:hAnsi="Times New Roman" w:cs="Times New Roman"/>
                <w:b/>
                <w:bCs/>
                <w:color w:val="auto"/>
                <w:kern w:val="2"/>
                <w:szCs w:val="24"/>
                <w:u w:val="none"/>
              </w:rPr>
              <w:t>m</w:t>
            </w:r>
            <w:r>
              <w:rPr>
                <w:rFonts w:hint="default" w:ascii="Times New Roman" w:hAnsi="Times New Roman" w:cs="Times New Roman"/>
                <w:b/>
                <w:bCs/>
                <w:color w:val="auto"/>
                <w:kern w:val="2"/>
                <w:szCs w:val="24"/>
                <w:u w:val="none"/>
                <w:vertAlign w:val="superscript"/>
              </w:rPr>
              <w:t>3</w:t>
            </w:r>
            <w:r>
              <w:rPr>
                <w:rFonts w:hint="default" w:ascii="Times New Roman" w:hAnsi="Times New Roman" w:cs="Times New Roman"/>
                <w:b/>
                <w:bCs/>
                <w:color w:val="auto"/>
                <w:kern w:val="2"/>
                <w:szCs w:val="24"/>
                <w:u w:val="none"/>
              </w:rPr>
              <w:t>）</w:t>
            </w:r>
          </w:p>
        </w:tc>
        <w:tc>
          <w:tcPr>
            <w:tcW w:w="1679" w:type="pct"/>
            <w:vAlign w:val="center"/>
          </w:tcPr>
          <w:p w14:paraId="67CBEBC7">
            <w:pPr>
              <w:pStyle w:val="41"/>
              <w:rPr>
                <w:rFonts w:hint="default" w:ascii="Times New Roman" w:hAnsi="Times New Roman" w:cs="Times New Roman"/>
                <w:b/>
                <w:bCs/>
                <w:color w:val="auto"/>
                <w:kern w:val="2"/>
                <w:szCs w:val="24"/>
                <w:u w:val="none"/>
              </w:rPr>
            </w:pPr>
            <w:r>
              <w:rPr>
                <w:rFonts w:hint="default" w:ascii="Times New Roman" w:hAnsi="Times New Roman" w:cs="Times New Roman"/>
                <w:b/>
                <w:bCs/>
                <w:color w:val="auto"/>
                <w:kern w:val="2"/>
                <w:szCs w:val="24"/>
                <w:u w:val="none"/>
              </w:rPr>
              <w:t>标准来源</w:t>
            </w:r>
          </w:p>
        </w:tc>
      </w:tr>
      <w:tr w14:paraId="626E7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61" w:type="pct"/>
            <w:vAlign w:val="center"/>
          </w:tcPr>
          <w:p w14:paraId="0F18A678">
            <w:pPr>
              <w:pStyle w:val="41"/>
              <w:rPr>
                <w:rFonts w:hint="default" w:ascii="Times New Roman" w:hAnsi="Times New Roman" w:cs="Times New Roman"/>
                <w:color w:val="auto"/>
                <w:kern w:val="2"/>
                <w:szCs w:val="24"/>
                <w:u w:val="none"/>
              </w:rPr>
            </w:pPr>
            <w:r>
              <w:rPr>
                <w:kern w:val="2"/>
                <w:szCs w:val="24"/>
              </w:rPr>
              <w:t>硫酸雾</w:t>
            </w:r>
          </w:p>
        </w:tc>
        <w:tc>
          <w:tcPr>
            <w:tcW w:w="588" w:type="pct"/>
            <w:vAlign w:val="center"/>
          </w:tcPr>
          <w:p w14:paraId="14045012">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二类限区</w:t>
            </w:r>
          </w:p>
        </w:tc>
        <w:tc>
          <w:tcPr>
            <w:tcW w:w="901" w:type="pct"/>
            <w:vAlign w:val="center"/>
          </w:tcPr>
          <w:p w14:paraId="14A9BACD">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1h平均</w:t>
            </w:r>
          </w:p>
        </w:tc>
        <w:tc>
          <w:tcPr>
            <w:tcW w:w="969" w:type="pct"/>
            <w:vAlign w:val="center"/>
          </w:tcPr>
          <w:p w14:paraId="7273221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300</w:t>
            </w:r>
          </w:p>
        </w:tc>
        <w:tc>
          <w:tcPr>
            <w:tcW w:w="1679" w:type="pct"/>
            <w:vAlign w:val="center"/>
          </w:tcPr>
          <w:p w14:paraId="37453A7C">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《环境影响评价技术导则-大气环境》 HJ 2.2-2018 附录D</w:t>
            </w:r>
          </w:p>
        </w:tc>
      </w:tr>
      <w:tr w14:paraId="6277F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61" w:type="pct"/>
            <w:vAlign w:val="center"/>
          </w:tcPr>
          <w:p w14:paraId="0A14A220">
            <w:pPr>
              <w:pStyle w:val="41"/>
              <w:rPr>
                <w:rFonts w:hint="default" w:ascii="Times New Roman" w:hAnsi="Times New Roman" w:cs="Times New Roman"/>
                <w:color w:val="auto"/>
                <w:kern w:val="2"/>
                <w:szCs w:val="24"/>
                <w:u w:val="none"/>
              </w:rPr>
            </w:pPr>
            <w:r>
              <w:rPr>
                <w:kern w:val="2"/>
                <w:szCs w:val="24"/>
              </w:rPr>
              <w:t>NO</w:t>
            </w:r>
            <w:r>
              <w:rPr>
                <w:kern w:val="2"/>
                <w:szCs w:val="24"/>
                <w:vertAlign w:val="subscript"/>
              </w:rPr>
              <w:t>2</w:t>
            </w:r>
          </w:p>
        </w:tc>
        <w:tc>
          <w:tcPr>
            <w:tcW w:w="588" w:type="pct"/>
            <w:vAlign w:val="center"/>
          </w:tcPr>
          <w:p w14:paraId="44C382DA">
            <w:pPr>
              <w:pStyle w:val="41"/>
              <w:rPr>
                <w:rFonts w:hint="default" w:ascii="Times New Roman" w:hAnsi="Times New Roman" w:cs="Times New Roman"/>
                <w:color w:val="auto"/>
                <w:kern w:val="2"/>
                <w:szCs w:val="24"/>
                <w:u w:val="none"/>
              </w:rPr>
            </w:pPr>
            <w:r>
              <w:rPr>
                <w:kern w:val="2"/>
                <w:szCs w:val="24"/>
              </w:rPr>
              <w:t>二类限区</w:t>
            </w:r>
          </w:p>
        </w:tc>
        <w:tc>
          <w:tcPr>
            <w:tcW w:w="901" w:type="pct"/>
            <w:vAlign w:val="center"/>
          </w:tcPr>
          <w:p w14:paraId="240AF544">
            <w:pPr>
              <w:pStyle w:val="41"/>
              <w:rPr>
                <w:rFonts w:hint="default" w:ascii="Times New Roman" w:hAnsi="Times New Roman" w:cs="Times New Roman"/>
                <w:color w:val="auto"/>
                <w:kern w:val="2"/>
                <w:szCs w:val="24"/>
                <w:u w:val="none"/>
              </w:rPr>
            </w:pPr>
            <w:r>
              <w:rPr>
                <w:kern w:val="2"/>
                <w:szCs w:val="24"/>
              </w:rPr>
              <w:t>1h平均</w:t>
            </w:r>
          </w:p>
        </w:tc>
        <w:tc>
          <w:tcPr>
            <w:tcW w:w="969" w:type="pct"/>
            <w:vAlign w:val="center"/>
          </w:tcPr>
          <w:p w14:paraId="313CE167">
            <w:pPr>
              <w:pStyle w:val="41"/>
              <w:rPr>
                <w:rFonts w:hint="default" w:ascii="Times New Roman" w:hAnsi="Times New Roman" w:eastAsia="宋体" w:cs="Times New Roman"/>
                <w:color w:val="auto"/>
                <w:kern w:val="2"/>
                <w:szCs w:val="24"/>
                <w:u w:val="none"/>
                <w:lang w:val="en-US" w:eastAsia="zh-CN"/>
              </w:rPr>
            </w:pPr>
            <w:r>
              <w:rPr>
                <w:rFonts w:hint="eastAsia"/>
                <w:kern w:val="2"/>
                <w:szCs w:val="24"/>
                <w:lang w:val="en-US" w:eastAsia="zh-CN"/>
              </w:rPr>
              <w:t>250</w:t>
            </w:r>
          </w:p>
        </w:tc>
        <w:tc>
          <w:tcPr>
            <w:tcW w:w="1679" w:type="pct"/>
            <w:vAlign w:val="center"/>
          </w:tcPr>
          <w:p w14:paraId="2F76D0D6">
            <w:pPr>
              <w:pStyle w:val="41"/>
              <w:rPr>
                <w:rFonts w:hint="default" w:ascii="Times New Roman" w:hAnsi="Times New Roman" w:cs="Times New Roman"/>
                <w:color w:val="auto"/>
                <w:kern w:val="2"/>
                <w:szCs w:val="24"/>
                <w:u w:val="none"/>
              </w:rPr>
            </w:pPr>
            <w:r>
              <w:rPr>
                <w:rFonts w:hint="default" w:ascii="Times New Roman" w:hAnsi="Times New Roman" w:cs="Times New Roman"/>
                <w:color w:val="auto"/>
                <w:kern w:val="2"/>
                <w:szCs w:val="24"/>
                <w:u w:val="none"/>
              </w:rPr>
              <w:t>环境空气质量标准(GB 3095-2012)</w:t>
            </w:r>
          </w:p>
        </w:tc>
      </w:tr>
      <w:tr w14:paraId="35D2E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61" w:type="pct"/>
            <w:vAlign w:val="center"/>
          </w:tcPr>
          <w:p w14:paraId="4525DD44">
            <w:pPr>
              <w:pStyle w:val="41"/>
              <w:rPr>
                <w:rFonts w:hint="eastAsia" w:eastAsia="宋体"/>
                <w:kern w:val="2"/>
                <w:szCs w:val="24"/>
                <w:lang w:val="en-US" w:eastAsia="zh-CN"/>
              </w:rPr>
            </w:pPr>
            <w:r>
              <w:rPr>
                <w:rFonts w:hint="eastAsia"/>
                <w:kern w:val="2"/>
                <w:szCs w:val="24"/>
                <w:lang w:val="en-US" w:eastAsia="zh-CN"/>
              </w:rPr>
              <w:t>铬酸雾</w:t>
            </w:r>
          </w:p>
        </w:tc>
        <w:tc>
          <w:tcPr>
            <w:tcW w:w="588" w:type="pct"/>
            <w:vAlign w:val="center"/>
          </w:tcPr>
          <w:p w14:paraId="5B691D9C">
            <w:pPr>
              <w:pStyle w:val="41"/>
              <w:rPr>
                <w:kern w:val="2"/>
                <w:szCs w:val="24"/>
              </w:rPr>
            </w:pPr>
            <w:r>
              <w:rPr>
                <w:kern w:val="2"/>
                <w:szCs w:val="24"/>
              </w:rPr>
              <w:t>二类限区</w:t>
            </w:r>
          </w:p>
        </w:tc>
        <w:tc>
          <w:tcPr>
            <w:tcW w:w="901" w:type="pct"/>
            <w:vAlign w:val="center"/>
          </w:tcPr>
          <w:p w14:paraId="29E8D672">
            <w:pPr>
              <w:pStyle w:val="41"/>
              <w:rPr>
                <w:kern w:val="2"/>
                <w:szCs w:val="24"/>
              </w:rPr>
            </w:pPr>
            <w:r>
              <w:rPr>
                <w:kern w:val="2"/>
                <w:szCs w:val="24"/>
              </w:rPr>
              <w:t>1h平均</w:t>
            </w:r>
          </w:p>
        </w:tc>
        <w:tc>
          <w:tcPr>
            <w:tcW w:w="969" w:type="pct"/>
            <w:vAlign w:val="center"/>
          </w:tcPr>
          <w:p w14:paraId="50FD987C">
            <w:pPr>
              <w:pStyle w:val="41"/>
              <w:rPr>
                <w:rFonts w:hint="eastAsia"/>
                <w:kern w:val="2"/>
                <w:szCs w:val="24"/>
                <w:lang w:val="en-US" w:eastAsia="zh-CN"/>
              </w:rPr>
            </w:pPr>
            <w:r>
              <w:rPr>
                <w:rFonts w:hint="eastAsia"/>
                <w:kern w:val="2"/>
                <w:szCs w:val="24"/>
                <w:lang w:val="en-US" w:eastAsia="zh-CN"/>
              </w:rPr>
              <w:t>1.5</w:t>
            </w:r>
          </w:p>
        </w:tc>
        <w:tc>
          <w:tcPr>
            <w:tcW w:w="1679" w:type="pct"/>
            <w:vAlign w:val="center"/>
          </w:tcPr>
          <w:p w14:paraId="259C9CCE">
            <w:pPr>
              <w:pStyle w:val="41"/>
              <w:rPr>
                <w:rFonts w:hint="eastAsia"/>
                <w:kern w:val="2"/>
                <w:szCs w:val="24"/>
                <w:lang w:val="en-US" w:eastAsia="zh-CN"/>
              </w:rPr>
            </w:pPr>
            <w:r>
              <w:rPr>
                <w:rFonts w:hint="eastAsia"/>
                <w:kern w:val="2"/>
                <w:szCs w:val="24"/>
                <w:lang w:val="en-US" w:eastAsia="zh-CN"/>
              </w:rPr>
              <w:t>《工业企业设计卫生标准》（TJ36-79）表1“居住区大气中有害物质的最高容许浓度”</w:t>
            </w:r>
          </w:p>
        </w:tc>
      </w:tr>
    </w:tbl>
    <w:p w14:paraId="10F8511C">
      <w:pPr>
        <w:spacing w:line="480" w:lineRule="exact"/>
        <w:ind w:firstLine="422" w:firstLineChars="176"/>
        <w:jc w:val="left"/>
        <w:rPr>
          <w:rFonts w:hint="default" w:ascii="Times New Roman" w:hAnsi="Times New Roman" w:cs="Times New Roman"/>
          <w:color w:val="auto"/>
          <w:u w:val="none"/>
        </w:rPr>
      </w:pPr>
      <w:r>
        <w:rPr>
          <w:rFonts w:hint="default" w:ascii="Times New Roman" w:hAnsi="Times New Roman" w:cs="Times New Roman"/>
          <w:color w:val="auto"/>
          <w:u w:val="none"/>
        </w:rPr>
        <w:t>④污染源参数</w:t>
      </w:r>
    </w:p>
    <w:p w14:paraId="1EEA9D9D">
      <w:pPr>
        <w:ind w:firstLine="480"/>
        <w:jc w:val="left"/>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大气污染源点源参数调查清单见表6.2-</w:t>
      </w:r>
      <w:r>
        <w:rPr>
          <w:rFonts w:hint="eastAsia" w:ascii="Times New Roman" w:hAnsi="Times New Roman" w:cs="Times New Roman"/>
          <w:color w:val="auto"/>
          <w:u w:val="none"/>
          <w:lang w:val="en-US" w:eastAsia="zh-CN"/>
        </w:rPr>
        <w:t>7</w:t>
      </w:r>
      <w:r>
        <w:rPr>
          <w:rFonts w:hint="default" w:ascii="Times New Roman" w:hAnsi="Times New Roman" w:cs="Times New Roman"/>
          <w:color w:val="auto"/>
          <w:u w:val="none"/>
        </w:rPr>
        <w:t>-表6.2-</w:t>
      </w:r>
      <w:r>
        <w:rPr>
          <w:rFonts w:hint="eastAsia" w:ascii="Times New Roman" w:hAnsi="Times New Roman" w:cs="Times New Roman"/>
          <w:color w:val="auto"/>
          <w:u w:val="none"/>
          <w:lang w:val="en-US" w:eastAsia="zh-CN"/>
        </w:rPr>
        <w:t>9</w:t>
      </w:r>
      <w:r>
        <w:rPr>
          <w:rFonts w:hint="default" w:ascii="Times New Roman" w:hAnsi="Times New Roman" w:cs="Times New Roman"/>
          <w:color w:val="auto"/>
          <w:u w:val="none"/>
        </w:rPr>
        <w:t>，面源参数调查清单见表6.2-</w:t>
      </w:r>
      <w:r>
        <w:rPr>
          <w:rFonts w:hint="eastAsia" w:ascii="Times New Roman" w:hAnsi="Times New Roman" w:cs="Times New Roman"/>
          <w:color w:val="auto"/>
          <w:u w:val="none"/>
          <w:lang w:val="en-US" w:eastAsia="zh-CN"/>
        </w:rPr>
        <w:t>8</w:t>
      </w:r>
      <w:r>
        <w:rPr>
          <w:rFonts w:hint="default" w:ascii="Times New Roman" w:hAnsi="Times New Roman" w:cs="Times New Roman"/>
          <w:color w:val="auto"/>
          <w:u w:val="none"/>
        </w:rPr>
        <w:t>。（本项目废污染物排放速率气以最大小时排放速率计）</w:t>
      </w:r>
      <w:r>
        <w:rPr>
          <w:rFonts w:hint="eastAsia" w:ascii="Times New Roman" w:hAnsi="Times New Roman" w:cs="Times New Roman"/>
          <w:color w:val="auto"/>
          <w:u w:val="none"/>
          <w:lang w:val="en-US" w:eastAsia="zh-CN"/>
        </w:rPr>
        <w:t>.</w:t>
      </w:r>
    </w:p>
    <w:p w14:paraId="7D2DC69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表6.2-7  大气点源（排气筒）参数调查清单</w:t>
      </w:r>
    </w:p>
    <w:tbl>
      <w:tblPr>
        <w:tblStyle w:val="30"/>
        <w:tblW w:w="50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72"/>
        <w:gridCol w:w="675"/>
        <w:gridCol w:w="1237"/>
        <w:gridCol w:w="1154"/>
        <w:gridCol w:w="486"/>
        <w:gridCol w:w="424"/>
        <w:gridCol w:w="319"/>
        <w:gridCol w:w="529"/>
        <w:gridCol w:w="482"/>
        <w:gridCol w:w="266"/>
        <w:gridCol w:w="740"/>
        <w:gridCol w:w="1320"/>
        <w:gridCol w:w="954"/>
      </w:tblGrid>
      <w:tr w14:paraId="5FFE58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61" w:type="pct"/>
            <w:vMerge w:val="restart"/>
            <w:vAlign w:val="center"/>
          </w:tcPr>
          <w:p w14:paraId="29A2CDE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点源编号</w:t>
            </w:r>
          </w:p>
        </w:tc>
        <w:tc>
          <w:tcPr>
            <w:tcW w:w="372" w:type="pct"/>
            <w:vMerge w:val="restart"/>
            <w:vAlign w:val="center"/>
          </w:tcPr>
          <w:p w14:paraId="38FF5BA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名称</w:t>
            </w:r>
          </w:p>
        </w:tc>
        <w:tc>
          <w:tcPr>
            <w:tcW w:w="1320" w:type="pct"/>
            <w:gridSpan w:val="2"/>
            <w:vAlign w:val="center"/>
          </w:tcPr>
          <w:p w14:paraId="0B0F791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排气筒底部中心坐标/m</w:t>
            </w:r>
          </w:p>
        </w:tc>
        <w:tc>
          <w:tcPr>
            <w:tcW w:w="268" w:type="pct"/>
            <w:vMerge w:val="restart"/>
            <w:vAlign w:val="center"/>
          </w:tcPr>
          <w:p w14:paraId="240ABBB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排气筒底部海拔高度/m</w:t>
            </w:r>
          </w:p>
        </w:tc>
        <w:tc>
          <w:tcPr>
            <w:tcW w:w="234" w:type="pct"/>
            <w:vMerge w:val="restart"/>
            <w:vAlign w:val="center"/>
          </w:tcPr>
          <w:p w14:paraId="1304564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排气筒高度/m</w:t>
            </w:r>
          </w:p>
        </w:tc>
        <w:tc>
          <w:tcPr>
            <w:tcW w:w="176" w:type="pct"/>
            <w:vMerge w:val="restart"/>
            <w:vAlign w:val="center"/>
          </w:tcPr>
          <w:p w14:paraId="0887FA8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排气筒内径/m</w:t>
            </w:r>
          </w:p>
        </w:tc>
        <w:tc>
          <w:tcPr>
            <w:tcW w:w="291" w:type="pct"/>
            <w:vMerge w:val="restart"/>
            <w:vAlign w:val="center"/>
          </w:tcPr>
          <w:p w14:paraId="7EA098A4">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烟气流速</w:t>
            </w:r>
            <w:r>
              <w:rPr>
                <w:rFonts w:hint="default" w:ascii="Times New Roman" w:hAnsi="Times New Roman" w:cs="Times New Roman"/>
                <w:color w:val="auto"/>
                <w:kern w:val="2"/>
                <w:u w:val="none"/>
              </w:rPr>
              <w:t>/m/s</w:t>
            </w:r>
          </w:p>
        </w:tc>
        <w:tc>
          <w:tcPr>
            <w:tcW w:w="266" w:type="pct"/>
            <w:vMerge w:val="restart"/>
            <w:vAlign w:val="center"/>
          </w:tcPr>
          <w:p w14:paraId="683FEC9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烟气温度/℃</w:t>
            </w:r>
          </w:p>
        </w:tc>
        <w:tc>
          <w:tcPr>
            <w:tcW w:w="146" w:type="pct"/>
            <w:vMerge w:val="restart"/>
            <w:vAlign w:val="center"/>
          </w:tcPr>
          <w:p w14:paraId="25757AF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排放工况</w:t>
            </w:r>
          </w:p>
        </w:tc>
        <w:tc>
          <w:tcPr>
            <w:tcW w:w="1662" w:type="pct"/>
            <w:gridSpan w:val="3"/>
            <w:vAlign w:val="center"/>
          </w:tcPr>
          <w:p w14:paraId="392C919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污染物排放速率/（kg/h）</w:t>
            </w:r>
          </w:p>
        </w:tc>
      </w:tr>
      <w:tr w14:paraId="31A47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261" w:type="pct"/>
            <w:vMerge w:val="continue"/>
            <w:vAlign w:val="center"/>
          </w:tcPr>
          <w:p w14:paraId="3777E05A">
            <w:pPr>
              <w:pStyle w:val="41"/>
              <w:rPr>
                <w:rFonts w:hint="default" w:ascii="Times New Roman" w:hAnsi="Times New Roman" w:cs="Times New Roman"/>
                <w:color w:val="auto"/>
                <w:kern w:val="2"/>
                <w:u w:val="none"/>
              </w:rPr>
            </w:pPr>
          </w:p>
        </w:tc>
        <w:tc>
          <w:tcPr>
            <w:tcW w:w="372" w:type="pct"/>
            <w:vMerge w:val="continue"/>
            <w:vAlign w:val="center"/>
          </w:tcPr>
          <w:p w14:paraId="2EC3F84C">
            <w:pPr>
              <w:pStyle w:val="41"/>
              <w:rPr>
                <w:rFonts w:hint="default" w:ascii="Times New Roman" w:hAnsi="Times New Roman" w:cs="Times New Roman"/>
                <w:color w:val="auto"/>
                <w:kern w:val="2"/>
                <w:u w:val="none"/>
              </w:rPr>
            </w:pPr>
          </w:p>
        </w:tc>
        <w:tc>
          <w:tcPr>
            <w:tcW w:w="683" w:type="pct"/>
            <w:vAlign w:val="center"/>
          </w:tcPr>
          <w:p w14:paraId="10A7731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X</w:t>
            </w:r>
          </w:p>
        </w:tc>
        <w:tc>
          <w:tcPr>
            <w:tcW w:w="637" w:type="pct"/>
            <w:vAlign w:val="center"/>
          </w:tcPr>
          <w:p w14:paraId="0588C29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Y</w:t>
            </w:r>
          </w:p>
        </w:tc>
        <w:tc>
          <w:tcPr>
            <w:tcW w:w="268" w:type="pct"/>
            <w:vMerge w:val="continue"/>
            <w:vAlign w:val="center"/>
          </w:tcPr>
          <w:p w14:paraId="539C2658">
            <w:pPr>
              <w:pStyle w:val="41"/>
              <w:rPr>
                <w:rFonts w:hint="default" w:ascii="Times New Roman" w:hAnsi="Times New Roman" w:cs="Times New Roman"/>
                <w:color w:val="auto"/>
                <w:kern w:val="2"/>
                <w:u w:val="none"/>
              </w:rPr>
            </w:pPr>
          </w:p>
        </w:tc>
        <w:tc>
          <w:tcPr>
            <w:tcW w:w="234" w:type="pct"/>
            <w:vMerge w:val="continue"/>
            <w:vAlign w:val="center"/>
          </w:tcPr>
          <w:p w14:paraId="07DC96A4">
            <w:pPr>
              <w:pStyle w:val="41"/>
              <w:rPr>
                <w:rFonts w:hint="default" w:ascii="Times New Roman" w:hAnsi="Times New Roman" w:cs="Times New Roman"/>
                <w:color w:val="auto"/>
                <w:kern w:val="2"/>
                <w:u w:val="none"/>
              </w:rPr>
            </w:pPr>
          </w:p>
        </w:tc>
        <w:tc>
          <w:tcPr>
            <w:tcW w:w="176" w:type="pct"/>
            <w:vMerge w:val="continue"/>
            <w:vAlign w:val="center"/>
          </w:tcPr>
          <w:p w14:paraId="09B400E3">
            <w:pPr>
              <w:pStyle w:val="41"/>
              <w:rPr>
                <w:rFonts w:hint="default" w:ascii="Times New Roman" w:hAnsi="Times New Roman" w:cs="Times New Roman"/>
                <w:color w:val="auto"/>
                <w:kern w:val="2"/>
                <w:u w:val="none"/>
              </w:rPr>
            </w:pPr>
          </w:p>
        </w:tc>
        <w:tc>
          <w:tcPr>
            <w:tcW w:w="291" w:type="pct"/>
            <w:vMerge w:val="continue"/>
            <w:vAlign w:val="center"/>
          </w:tcPr>
          <w:p w14:paraId="6260D5E7">
            <w:pPr>
              <w:pStyle w:val="41"/>
              <w:rPr>
                <w:rFonts w:hint="default" w:ascii="Times New Roman" w:hAnsi="Times New Roman" w:cs="Times New Roman"/>
                <w:color w:val="auto"/>
                <w:kern w:val="2"/>
                <w:u w:val="none"/>
              </w:rPr>
            </w:pPr>
          </w:p>
        </w:tc>
        <w:tc>
          <w:tcPr>
            <w:tcW w:w="266" w:type="pct"/>
            <w:vMerge w:val="continue"/>
            <w:vAlign w:val="center"/>
          </w:tcPr>
          <w:p w14:paraId="2664FF2D">
            <w:pPr>
              <w:pStyle w:val="41"/>
              <w:rPr>
                <w:rFonts w:hint="default" w:ascii="Times New Roman" w:hAnsi="Times New Roman" w:cs="Times New Roman"/>
                <w:color w:val="auto"/>
                <w:kern w:val="2"/>
                <w:u w:val="none"/>
              </w:rPr>
            </w:pPr>
          </w:p>
        </w:tc>
        <w:tc>
          <w:tcPr>
            <w:tcW w:w="146" w:type="pct"/>
            <w:vMerge w:val="continue"/>
            <w:vAlign w:val="center"/>
          </w:tcPr>
          <w:p w14:paraId="47CCE0FE">
            <w:pPr>
              <w:pStyle w:val="41"/>
              <w:rPr>
                <w:rFonts w:hint="default" w:ascii="Times New Roman" w:hAnsi="Times New Roman" w:cs="Times New Roman"/>
                <w:color w:val="auto"/>
                <w:kern w:val="2"/>
                <w:u w:val="none"/>
              </w:rPr>
            </w:pPr>
          </w:p>
        </w:tc>
        <w:tc>
          <w:tcPr>
            <w:tcW w:w="408" w:type="pct"/>
            <w:vAlign w:val="center"/>
          </w:tcPr>
          <w:p w14:paraId="28792062">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硫酸雾</w:t>
            </w:r>
          </w:p>
        </w:tc>
        <w:tc>
          <w:tcPr>
            <w:tcW w:w="728" w:type="pct"/>
            <w:vAlign w:val="center"/>
          </w:tcPr>
          <w:p w14:paraId="06713934">
            <w:pPr>
              <w:pStyle w:val="41"/>
              <w:rPr>
                <w:rFonts w:hint="default" w:cs="Times New Roman"/>
                <w:color w:val="auto"/>
                <w:kern w:val="2"/>
                <w:u w:val="none"/>
                <w:lang w:val="en-US" w:eastAsia="zh-CN"/>
              </w:rPr>
            </w:pPr>
            <w:r>
              <w:rPr>
                <w:rFonts w:hint="eastAsia" w:cs="Times New Roman"/>
                <w:color w:val="auto"/>
                <w:kern w:val="2"/>
                <w:u w:val="none"/>
                <w:lang w:val="en-US" w:eastAsia="zh-CN"/>
              </w:rPr>
              <w:t>氮氧化物</w:t>
            </w:r>
          </w:p>
        </w:tc>
        <w:tc>
          <w:tcPr>
            <w:tcW w:w="525" w:type="pct"/>
            <w:vAlign w:val="center"/>
          </w:tcPr>
          <w:p w14:paraId="16C67802">
            <w:pPr>
              <w:pStyle w:val="41"/>
              <w:rPr>
                <w:rFonts w:hint="default" w:cs="Times New Roman"/>
                <w:color w:val="auto"/>
                <w:kern w:val="2"/>
                <w:u w:val="none"/>
                <w:lang w:val="en-US" w:eastAsia="zh-CN"/>
              </w:rPr>
            </w:pPr>
            <w:r>
              <w:rPr>
                <w:rFonts w:hint="eastAsia" w:cs="Times New Roman"/>
                <w:color w:val="auto"/>
                <w:kern w:val="2"/>
                <w:u w:val="none"/>
                <w:lang w:val="en-US" w:eastAsia="zh-CN"/>
              </w:rPr>
              <w:t>铬酸雾</w:t>
            </w:r>
          </w:p>
        </w:tc>
      </w:tr>
      <w:tr w14:paraId="1F089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 w:type="pct"/>
            <w:vAlign w:val="center"/>
          </w:tcPr>
          <w:p w14:paraId="70623738">
            <w:pPr>
              <w:pStyle w:val="41"/>
              <w:rPr>
                <w:rFonts w:hint="eastAsia" w:ascii="Times New Roman" w:hAnsi="Times New Roman" w:eastAsia="宋体" w:cs="Times New Roman"/>
                <w:color w:val="auto"/>
                <w:kern w:val="2"/>
                <w:u w:val="none"/>
                <w:lang w:eastAsia="zh-CN"/>
              </w:rPr>
            </w:pPr>
            <w:r>
              <w:rPr>
                <w:rFonts w:hint="eastAsia" w:cs="Times New Roman"/>
                <w:color w:val="auto"/>
                <w:kern w:val="2"/>
                <w:u w:val="none"/>
                <w:lang w:val="en-US" w:eastAsia="zh-CN"/>
              </w:rPr>
              <w:t>1</w:t>
            </w:r>
          </w:p>
        </w:tc>
        <w:tc>
          <w:tcPr>
            <w:tcW w:w="372" w:type="pct"/>
            <w:vAlign w:val="center"/>
          </w:tcPr>
          <w:p w14:paraId="6A7C8D5B">
            <w:pPr>
              <w:pStyle w:val="41"/>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DA0</w:t>
            </w:r>
            <w:r>
              <w:rPr>
                <w:rFonts w:hint="eastAsia" w:cs="Times New Roman"/>
                <w:color w:val="auto"/>
                <w:kern w:val="2"/>
                <w:u w:val="none"/>
                <w:lang w:val="en-US" w:eastAsia="zh-CN"/>
              </w:rPr>
              <w:t>01</w:t>
            </w:r>
          </w:p>
        </w:tc>
        <w:tc>
          <w:tcPr>
            <w:tcW w:w="683" w:type="pct"/>
            <w:vAlign w:val="center"/>
          </w:tcPr>
          <w:p w14:paraId="41DB3FB2">
            <w:pPr>
              <w:pStyle w:val="41"/>
              <w:rPr>
                <w:rFonts w:hint="default" w:cs="Times New Roman"/>
                <w:color w:val="auto"/>
                <w:kern w:val="2"/>
                <w:u w:val="none"/>
                <w:lang w:val="en-US" w:eastAsia="zh-CN"/>
              </w:rPr>
            </w:pPr>
            <w:r>
              <w:rPr>
                <w:rFonts w:hint="eastAsia" w:cs="Times New Roman"/>
                <w:color w:val="auto"/>
                <w:kern w:val="2"/>
                <w:u w:val="none"/>
                <w:lang w:val="en-US" w:eastAsia="zh-CN"/>
              </w:rPr>
              <w:t>113.185609</w:t>
            </w:r>
          </w:p>
        </w:tc>
        <w:tc>
          <w:tcPr>
            <w:tcW w:w="637" w:type="pct"/>
            <w:vAlign w:val="center"/>
          </w:tcPr>
          <w:p w14:paraId="2B3B72B1">
            <w:pPr>
              <w:pStyle w:val="41"/>
              <w:rPr>
                <w:rFonts w:hint="default" w:cs="Times New Roman"/>
                <w:color w:val="auto"/>
                <w:kern w:val="2"/>
                <w:u w:val="none"/>
                <w:lang w:val="en-US" w:eastAsia="zh-CN"/>
              </w:rPr>
            </w:pPr>
            <w:r>
              <w:rPr>
                <w:rFonts w:hint="eastAsia" w:cs="Times New Roman"/>
                <w:color w:val="auto"/>
                <w:kern w:val="2"/>
                <w:u w:val="none"/>
                <w:lang w:val="en-US" w:eastAsia="zh-CN"/>
              </w:rPr>
              <w:t>29.461581</w:t>
            </w:r>
          </w:p>
        </w:tc>
        <w:tc>
          <w:tcPr>
            <w:tcW w:w="268" w:type="pct"/>
            <w:vAlign w:val="center"/>
          </w:tcPr>
          <w:p w14:paraId="17403D4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26.7</w:t>
            </w:r>
          </w:p>
        </w:tc>
        <w:tc>
          <w:tcPr>
            <w:tcW w:w="234" w:type="pct"/>
            <w:vAlign w:val="center"/>
          </w:tcPr>
          <w:p w14:paraId="22DAF8E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25.5</w:t>
            </w:r>
          </w:p>
        </w:tc>
        <w:tc>
          <w:tcPr>
            <w:tcW w:w="176" w:type="pct"/>
            <w:vAlign w:val="center"/>
          </w:tcPr>
          <w:p w14:paraId="6E6705AF">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0.8</w:t>
            </w:r>
          </w:p>
        </w:tc>
        <w:tc>
          <w:tcPr>
            <w:tcW w:w="291" w:type="pct"/>
            <w:vAlign w:val="center"/>
          </w:tcPr>
          <w:p w14:paraId="004CFDC2">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11.05</w:t>
            </w:r>
          </w:p>
        </w:tc>
        <w:tc>
          <w:tcPr>
            <w:tcW w:w="266" w:type="pct"/>
            <w:vAlign w:val="center"/>
          </w:tcPr>
          <w:p w14:paraId="173D60D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20℃</w:t>
            </w:r>
          </w:p>
        </w:tc>
        <w:tc>
          <w:tcPr>
            <w:tcW w:w="146" w:type="pct"/>
            <w:vMerge w:val="restart"/>
            <w:vAlign w:val="center"/>
          </w:tcPr>
          <w:p w14:paraId="06572C26">
            <w:pPr>
              <w:pStyle w:val="41"/>
              <w:rPr>
                <w:rFonts w:hint="default" w:ascii="Times New Roman" w:hAnsi="Times New Roman" w:cs="Times New Roman"/>
                <w:color w:val="auto"/>
                <w:kern w:val="2"/>
                <w:u w:val="none"/>
              </w:rPr>
            </w:pPr>
            <w:r>
              <w:rPr>
                <w:rFonts w:hint="eastAsia"/>
                <w:kern w:val="2"/>
              </w:rPr>
              <w:t>连续</w:t>
            </w:r>
          </w:p>
        </w:tc>
        <w:tc>
          <w:tcPr>
            <w:tcW w:w="408" w:type="pct"/>
            <w:vAlign w:val="center"/>
          </w:tcPr>
          <w:p w14:paraId="3E6D94B9">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0.04634</w:t>
            </w:r>
          </w:p>
        </w:tc>
        <w:tc>
          <w:tcPr>
            <w:tcW w:w="728" w:type="pct"/>
            <w:vAlign w:val="center"/>
          </w:tcPr>
          <w:p w14:paraId="74901A5A">
            <w:pPr>
              <w:pStyle w:val="41"/>
              <w:rPr>
                <w:rFonts w:hint="default" w:cs="Times New Roman"/>
                <w:color w:val="auto"/>
                <w:kern w:val="2"/>
                <w:u w:val="none"/>
                <w:lang w:val="en-US" w:eastAsia="zh-CN"/>
              </w:rPr>
            </w:pPr>
            <w:r>
              <w:rPr>
                <w:rFonts w:hint="eastAsia" w:cs="Times New Roman"/>
                <w:color w:val="auto"/>
                <w:kern w:val="2"/>
                <w:u w:val="none"/>
                <w:lang w:val="en-US" w:eastAsia="zh-CN"/>
              </w:rPr>
              <w:t>0.02979</w:t>
            </w:r>
          </w:p>
        </w:tc>
        <w:tc>
          <w:tcPr>
            <w:tcW w:w="525" w:type="pct"/>
            <w:vAlign w:val="center"/>
          </w:tcPr>
          <w:p w14:paraId="2F823BAC">
            <w:pPr>
              <w:pStyle w:val="41"/>
              <w:rPr>
                <w:rFonts w:hint="default" w:cs="Times New Roman"/>
                <w:color w:val="auto"/>
                <w:kern w:val="2"/>
                <w:u w:val="none"/>
                <w:lang w:val="en-US" w:eastAsia="zh-CN"/>
              </w:rPr>
            </w:pPr>
            <w:r>
              <w:rPr>
                <w:rFonts w:hint="eastAsia" w:cs="Times New Roman"/>
                <w:color w:val="auto"/>
                <w:kern w:val="2"/>
                <w:u w:val="none"/>
                <w:lang w:val="en-US" w:eastAsia="zh-CN"/>
              </w:rPr>
              <w:t>/</w:t>
            </w:r>
          </w:p>
        </w:tc>
      </w:tr>
      <w:tr w14:paraId="123FF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61" w:type="pct"/>
            <w:vAlign w:val="center"/>
          </w:tcPr>
          <w:p w14:paraId="624B6AB6">
            <w:pPr>
              <w:pStyle w:val="41"/>
              <w:rPr>
                <w:rFonts w:hint="default" w:cs="Times New Roman"/>
                <w:color w:val="auto"/>
                <w:kern w:val="2"/>
                <w:u w:val="none"/>
                <w:lang w:val="en-US" w:eastAsia="zh-CN"/>
              </w:rPr>
            </w:pPr>
            <w:r>
              <w:rPr>
                <w:rFonts w:hint="eastAsia" w:cs="Times New Roman"/>
                <w:color w:val="auto"/>
                <w:kern w:val="2"/>
                <w:u w:val="none"/>
                <w:lang w:val="en-US" w:eastAsia="zh-CN"/>
              </w:rPr>
              <w:t>2</w:t>
            </w:r>
          </w:p>
        </w:tc>
        <w:tc>
          <w:tcPr>
            <w:tcW w:w="372" w:type="pct"/>
            <w:vAlign w:val="center"/>
          </w:tcPr>
          <w:p w14:paraId="3B6E97B7">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DA002</w:t>
            </w:r>
          </w:p>
        </w:tc>
        <w:tc>
          <w:tcPr>
            <w:tcW w:w="683" w:type="pct"/>
            <w:vAlign w:val="center"/>
          </w:tcPr>
          <w:p w14:paraId="7ABE2A79">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113.185608</w:t>
            </w:r>
          </w:p>
        </w:tc>
        <w:tc>
          <w:tcPr>
            <w:tcW w:w="637" w:type="pct"/>
            <w:vAlign w:val="center"/>
          </w:tcPr>
          <w:p w14:paraId="292F6250">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29.461578</w:t>
            </w:r>
          </w:p>
        </w:tc>
        <w:tc>
          <w:tcPr>
            <w:tcW w:w="268" w:type="pct"/>
            <w:vAlign w:val="center"/>
          </w:tcPr>
          <w:p w14:paraId="764694A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26.7</w:t>
            </w:r>
          </w:p>
        </w:tc>
        <w:tc>
          <w:tcPr>
            <w:tcW w:w="234" w:type="pct"/>
            <w:vAlign w:val="center"/>
          </w:tcPr>
          <w:p w14:paraId="77C1D1D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25.5</w:t>
            </w:r>
          </w:p>
        </w:tc>
        <w:tc>
          <w:tcPr>
            <w:tcW w:w="176" w:type="pct"/>
            <w:vAlign w:val="center"/>
          </w:tcPr>
          <w:p w14:paraId="19DA78AF">
            <w:pPr>
              <w:pStyle w:val="41"/>
              <w:rPr>
                <w:rFonts w:hint="eastAsia" w:cs="Times New Roman"/>
                <w:color w:val="auto"/>
                <w:kern w:val="2"/>
                <w:u w:val="none"/>
                <w:lang w:val="en-US" w:eastAsia="zh-CN"/>
              </w:rPr>
            </w:pPr>
            <w:r>
              <w:rPr>
                <w:rFonts w:hint="eastAsia" w:cs="Times New Roman"/>
                <w:color w:val="auto"/>
                <w:kern w:val="2"/>
                <w:u w:val="none"/>
                <w:lang w:val="en-US" w:eastAsia="zh-CN"/>
              </w:rPr>
              <w:t>0.8</w:t>
            </w:r>
          </w:p>
        </w:tc>
        <w:tc>
          <w:tcPr>
            <w:tcW w:w="291" w:type="pct"/>
            <w:vAlign w:val="center"/>
          </w:tcPr>
          <w:p w14:paraId="22408EEA">
            <w:pPr>
              <w:pStyle w:val="41"/>
              <w:rPr>
                <w:rFonts w:hint="default" w:cs="Times New Roman"/>
                <w:color w:val="auto"/>
                <w:kern w:val="2"/>
                <w:u w:val="none"/>
                <w:lang w:val="en-US" w:eastAsia="zh-CN"/>
              </w:rPr>
            </w:pPr>
            <w:r>
              <w:rPr>
                <w:rFonts w:hint="eastAsia" w:cs="Times New Roman"/>
                <w:color w:val="auto"/>
                <w:kern w:val="2"/>
                <w:u w:val="none"/>
                <w:lang w:val="en-US" w:eastAsia="zh-CN"/>
              </w:rPr>
              <w:t>16.58</w:t>
            </w:r>
          </w:p>
        </w:tc>
        <w:tc>
          <w:tcPr>
            <w:tcW w:w="266" w:type="pct"/>
            <w:vAlign w:val="center"/>
          </w:tcPr>
          <w:p w14:paraId="73CCD4CB">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40</w:t>
            </w:r>
            <w:r>
              <w:rPr>
                <w:rFonts w:hint="default" w:ascii="Times New Roman" w:hAnsi="Times New Roman" w:cs="Times New Roman"/>
                <w:color w:val="auto"/>
                <w:kern w:val="2"/>
                <w:u w:val="none"/>
              </w:rPr>
              <w:t>℃</w:t>
            </w:r>
          </w:p>
        </w:tc>
        <w:tc>
          <w:tcPr>
            <w:tcW w:w="146" w:type="pct"/>
            <w:vMerge w:val="continue"/>
            <w:vAlign w:val="center"/>
          </w:tcPr>
          <w:p w14:paraId="476714B3">
            <w:pPr>
              <w:pStyle w:val="41"/>
              <w:rPr>
                <w:rFonts w:hint="default" w:ascii="Times New Roman" w:hAnsi="Times New Roman" w:cs="Times New Roman"/>
                <w:color w:val="auto"/>
                <w:kern w:val="2"/>
                <w:u w:val="none"/>
              </w:rPr>
            </w:pPr>
          </w:p>
        </w:tc>
        <w:tc>
          <w:tcPr>
            <w:tcW w:w="408" w:type="pct"/>
            <w:vAlign w:val="center"/>
          </w:tcPr>
          <w:p w14:paraId="68778091">
            <w:pPr>
              <w:pStyle w:val="41"/>
              <w:rPr>
                <w:rFonts w:hint="default" w:cs="Times New Roman"/>
                <w:color w:val="auto"/>
                <w:kern w:val="2"/>
                <w:u w:val="none"/>
                <w:lang w:val="en-US" w:eastAsia="zh-CN"/>
              </w:rPr>
            </w:pPr>
            <w:r>
              <w:rPr>
                <w:rFonts w:hint="eastAsia" w:cs="Times New Roman"/>
                <w:color w:val="auto"/>
                <w:kern w:val="2"/>
                <w:u w:val="none"/>
                <w:lang w:val="en-US" w:eastAsia="zh-CN"/>
              </w:rPr>
              <w:t>/</w:t>
            </w:r>
          </w:p>
        </w:tc>
        <w:tc>
          <w:tcPr>
            <w:tcW w:w="728" w:type="pct"/>
            <w:vAlign w:val="center"/>
          </w:tcPr>
          <w:p w14:paraId="578D0166">
            <w:pPr>
              <w:pStyle w:val="41"/>
              <w:rPr>
                <w:rFonts w:hint="default" w:cs="Times New Roman"/>
                <w:color w:val="auto"/>
                <w:kern w:val="2"/>
                <w:u w:val="none"/>
                <w:lang w:val="en-US" w:eastAsia="zh-CN"/>
              </w:rPr>
            </w:pPr>
            <w:r>
              <w:rPr>
                <w:rFonts w:hint="eastAsia" w:cs="Times New Roman"/>
                <w:color w:val="auto"/>
                <w:kern w:val="2"/>
                <w:u w:val="none"/>
                <w:lang w:val="en-US" w:eastAsia="zh-CN"/>
              </w:rPr>
              <w:t>/</w:t>
            </w:r>
          </w:p>
        </w:tc>
        <w:tc>
          <w:tcPr>
            <w:tcW w:w="525" w:type="pct"/>
            <w:vAlign w:val="center"/>
          </w:tcPr>
          <w:p w14:paraId="2D343972">
            <w:pPr>
              <w:pStyle w:val="41"/>
              <w:rPr>
                <w:rFonts w:hint="eastAsia" w:cs="Times New Roman"/>
                <w:color w:val="auto"/>
                <w:kern w:val="2"/>
                <w:u w:val="none"/>
                <w:lang w:val="en-US" w:eastAsia="zh-CN"/>
              </w:rPr>
            </w:pPr>
            <w:r>
              <w:rPr>
                <w:rFonts w:hint="eastAsia" w:cs="Times New Roman"/>
                <w:color w:val="auto"/>
                <w:kern w:val="2"/>
                <w:u w:val="none"/>
                <w:lang w:val="en-US" w:eastAsia="zh-CN"/>
              </w:rPr>
              <w:t>0.0053786</w:t>
            </w:r>
          </w:p>
        </w:tc>
      </w:tr>
    </w:tbl>
    <w:p w14:paraId="2D0557E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表6.2-8  大气面源参数调查清单</w:t>
      </w:r>
    </w:p>
    <w:tbl>
      <w:tblPr>
        <w:tblStyle w:val="30"/>
        <w:tblW w:w="50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44"/>
        <w:gridCol w:w="325"/>
        <w:gridCol w:w="1049"/>
        <w:gridCol w:w="810"/>
        <w:gridCol w:w="544"/>
        <w:gridCol w:w="351"/>
        <w:gridCol w:w="319"/>
        <w:gridCol w:w="458"/>
        <w:gridCol w:w="699"/>
        <w:gridCol w:w="913"/>
        <w:gridCol w:w="842"/>
        <w:gridCol w:w="929"/>
        <w:gridCol w:w="836"/>
        <w:gridCol w:w="718"/>
      </w:tblGrid>
      <w:tr w14:paraId="7B4B94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tblHeader/>
          <w:jc w:val="center"/>
        </w:trPr>
        <w:tc>
          <w:tcPr>
            <w:tcW w:w="134" w:type="pct"/>
            <w:vMerge w:val="restart"/>
            <w:vAlign w:val="center"/>
          </w:tcPr>
          <w:p w14:paraId="6F70231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编号</w:t>
            </w:r>
          </w:p>
        </w:tc>
        <w:tc>
          <w:tcPr>
            <w:tcW w:w="179" w:type="pct"/>
            <w:vMerge w:val="restart"/>
            <w:vAlign w:val="center"/>
          </w:tcPr>
          <w:p w14:paraId="38AD913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名称</w:t>
            </w:r>
          </w:p>
        </w:tc>
        <w:tc>
          <w:tcPr>
            <w:tcW w:w="1028" w:type="pct"/>
            <w:gridSpan w:val="2"/>
            <w:vAlign w:val="center"/>
          </w:tcPr>
          <w:p w14:paraId="01881BB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面源起点坐标</w:t>
            </w:r>
          </w:p>
        </w:tc>
        <w:tc>
          <w:tcPr>
            <w:tcW w:w="300" w:type="pct"/>
            <w:vMerge w:val="restart"/>
            <w:vAlign w:val="center"/>
          </w:tcPr>
          <w:p w14:paraId="7582F39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面源海拔高度/m</w:t>
            </w:r>
          </w:p>
        </w:tc>
        <w:tc>
          <w:tcPr>
            <w:tcW w:w="194" w:type="pct"/>
            <w:vMerge w:val="restart"/>
            <w:vAlign w:val="center"/>
          </w:tcPr>
          <w:p w14:paraId="0C0D1EE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面源长度/m</w:t>
            </w:r>
          </w:p>
        </w:tc>
        <w:tc>
          <w:tcPr>
            <w:tcW w:w="176" w:type="pct"/>
            <w:vMerge w:val="restart"/>
            <w:vAlign w:val="center"/>
          </w:tcPr>
          <w:p w14:paraId="6714FEC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面源宽度/m</w:t>
            </w:r>
          </w:p>
        </w:tc>
        <w:tc>
          <w:tcPr>
            <w:tcW w:w="253" w:type="pct"/>
            <w:vMerge w:val="restart"/>
            <w:vAlign w:val="center"/>
          </w:tcPr>
          <w:p w14:paraId="0E3786A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与正北夹角/o</w:t>
            </w:r>
          </w:p>
        </w:tc>
        <w:tc>
          <w:tcPr>
            <w:tcW w:w="386" w:type="pct"/>
            <w:vMerge w:val="restart"/>
            <w:vAlign w:val="center"/>
          </w:tcPr>
          <w:p w14:paraId="3231B14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面源有效排放高度/m</w:t>
            </w:r>
          </w:p>
        </w:tc>
        <w:tc>
          <w:tcPr>
            <w:tcW w:w="505" w:type="pct"/>
            <w:vMerge w:val="restart"/>
            <w:vAlign w:val="center"/>
          </w:tcPr>
          <w:p w14:paraId="36357E7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年排放小时数/h</w:t>
            </w:r>
          </w:p>
        </w:tc>
        <w:tc>
          <w:tcPr>
            <w:tcW w:w="465" w:type="pct"/>
            <w:vMerge w:val="restart"/>
            <w:vAlign w:val="center"/>
          </w:tcPr>
          <w:p w14:paraId="7BFAEA4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排放工况</w:t>
            </w:r>
          </w:p>
        </w:tc>
        <w:tc>
          <w:tcPr>
            <w:tcW w:w="1373" w:type="pct"/>
            <w:gridSpan w:val="3"/>
            <w:vAlign w:val="center"/>
          </w:tcPr>
          <w:p w14:paraId="77E0B3C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污染物最大排放速率（kg/h）</w:t>
            </w:r>
          </w:p>
        </w:tc>
      </w:tr>
      <w:tr w14:paraId="27967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53" w:hRule="atLeast"/>
          <w:tblHeader/>
          <w:jc w:val="center"/>
        </w:trPr>
        <w:tc>
          <w:tcPr>
            <w:tcW w:w="134" w:type="pct"/>
            <w:vMerge w:val="continue"/>
            <w:vAlign w:val="center"/>
          </w:tcPr>
          <w:p w14:paraId="6D5DB028">
            <w:pPr>
              <w:pStyle w:val="41"/>
              <w:rPr>
                <w:rFonts w:hint="default" w:ascii="Times New Roman" w:hAnsi="Times New Roman" w:cs="Times New Roman"/>
                <w:color w:val="auto"/>
                <w:kern w:val="2"/>
                <w:u w:val="none"/>
              </w:rPr>
            </w:pPr>
          </w:p>
        </w:tc>
        <w:tc>
          <w:tcPr>
            <w:tcW w:w="179" w:type="pct"/>
            <w:vMerge w:val="continue"/>
            <w:vAlign w:val="center"/>
          </w:tcPr>
          <w:p w14:paraId="7A7BFF93">
            <w:pPr>
              <w:pStyle w:val="41"/>
              <w:rPr>
                <w:rFonts w:hint="default" w:ascii="Times New Roman" w:hAnsi="Times New Roman" w:cs="Times New Roman"/>
                <w:color w:val="auto"/>
                <w:kern w:val="2"/>
                <w:u w:val="none"/>
              </w:rPr>
            </w:pPr>
          </w:p>
        </w:tc>
        <w:tc>
          <w:tcPr>
            <w:tcW w:w="580" w:type="pct"/>
            <w:vAlign w:val="center"/>
          </w:tcPr>
          <w:p w14:paraId="6A87439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X</w:t>
            </w:r>
          </w:p>
        </w:tc>
        <w:tc>
          <w:tcPr>
            <w:tcW w:w="447" w:type="pct"/>
            <w:vAlign w:val="center"/>
          </w:tcPr>
          <w:p w14:paraId="3E3FDE8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Y</w:t>
            </w:r>
          </w:p>
        </w:tc>
        <w:tc>
          <w:tcPr>
            <w:tcW w:w="300" w:type="pct"/>
            <w:vMerge w:val="continue"/>
            <w:vAlign w:val="center"/>
          </w:tcPr>
          <w:p w14:paraId="721F987B">
            <w:pPr>
              <w:pStyle w:val="41"/>
              <w:rPr>
                <w:rFonts w:hint="default" w:ascii="Times New Roman" w:hAnsi="Times New Roman" w:cs="Times New Roman"/>
                <w:color w:val="auto"/>
                <w:kern w:val="2"/>
                <w:u w:val="none"/>
              </w:rPr>
            </w:pPr>
          </w:p>
        </w:tc>
        <w:tc>
          <w:tcPr>
            <w:tcW w:w="194" w:type="pct"/>
            <w:vMerge w:val="continue"/>
            <w:vAlign w:val="center"/>
          </w:tcPr>
          <w:p w14:paraId="6C73CC24">
            <w:pPr>
              <w:pStyle w:val="41"/>
              <w:rPr>
                <w:rFonts w:hint="default" w:ascii="Times New Roman" w:hAnsi="Times New Roman" w:cs="Times New Roman"/>
                <w:color w:val="auto"/>
                <w:kern w:val="2"/>
                <w:u w:val="none"/>
              </w:rPr>
            </w:pPr>
          </w:p>
        </w:tc>
        <w:tc>
          <w:tcPr>
            <w:tcW w:w="176" w:type="pct"/>
            <w:vMerge w:val="continue"/>
            <w:vAlign w:val="center"/>
          </w:tcPr>
          <w:p w14:paraId="5A0131AF">
            <w:pPr>
              <w:pStyle w:val="41"/>
              <w:rPr>
                <w:rFonts w:hint="default" w:ascii="Times New Roman" w:hAnsi="Times New Roman" w:cs="Times New Roman"/>
                <w:color w:val="auto"/>
                <w:kern w:val="2"/>
                <w:u w:val="none"/>
              </w:rPr>
            </w:pPr>
          </w:p>
        </w:tc>
        <w:tc>
          <w:tcPr>
            <w:tcW w:w="253" w:type="pct"/>
            <w:vMerge w:val="continue"/>
            <w:vAlign w:val="center"/>
          </w:tcPr>
          <w:p w14:paraId="0F98BF2F">
            <w:pPr>
              <w:pStyle w:val="41"/>
              <w:rPr>
                <w:rFonts w:hint="default" w:ascii="Times New Roman" w:hAnsi="Times New Roman" w:cs="Times New Roman"/>
                <w:color w:val="auto"/>
                <w:kern w:val="2"/>
                <w:u w:val="none"/>
              </w:rPr>
            </w:pPr>
          </w:p>
        </w:tc>
        <w:tc>
          <w:tcPr>
            <w:tcW w:w="386" w:type="pct"/>
            <w:vMerge w:val="continue"/>
            <w:vAlign w:val="center"/>
          </w:tcPr>
          <w:p w14:paraId="556DF680">
            <w:pPr>
              <w:pStyle w:val="41"/>
              <w:rPr>
                <w:rFonts w:hint="default" w:ascii="Times New Roman" w:hAnsi="Times New Roman" w:cs="Times New Roman"/>
                <w:color w:val="auto"/>
                <w:kern w:val="2"/>
                <w:u w:val="none"/>
              </w:rPr>
            </w:pPr>
          </w:p>
        </w:tc>
        <w:tc>
          <w:tcPr>
            <w:tcW w:w="505" w:type="pct"/>
            <w:vMerge w:val="continue"/>
            <w:vAlign w:val="center"/>
          </w:tcPr>
          <w:p w14:paraId="48ED21E6">
            <w:pPr>
              <w:pStyle w:val="41"/>
              <w:rPr>
                <w:rFonts w:hint="default" w:ascii="Times New Roman" w:hAnsi="Times New Roman" w:cs="Times New Roman"/>
                <w:color w:val="auto"/>
                <w:kern w:val="2"/>
                <w:u w:val="none"/>
              </w:rPr>
            </w:pPr>
          </w:p>
        </w:tc>
        <w:tc>
          <w:tcPr>
            <w:tcW w:w="465" w:type="pct"/>
            <w:vMerge w:val="continue"/>
            <w:vAlign w:val="center"/>
          </w:tcPr>
          <w:p w14:paraId="418FA8C3">
            <w:pPr>
              <w:pStyle w:val="41"/>
              <w:rPr>
                <w:rFonts w:hint="default" w:ascii="Times New Roman" w:hAnsi="Times New Roman" w:cs="Times New Roman"/>
                <w:color w:val="auto"/>
                <w:kern w:val="2"/>
                <w:u w:val="none"/>
              </w:rPr>
            </w:pPr>
          </w:p>
        </w:tc>
        <w:tc>
          <w:tcPr>
            <w:tcW w:w="513" w:type="pct"/>
            <w:vAlign w:val="center"/>
          </w:tcPr>
          <w:p w14:paraId="26CE1B16">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硫酸雾</w:t>
            </w:r>
          </w:p>
        </w:tc>
        <w:tc>
          <w:tcPr>
            <w:tcW w:w="462" w:type="pct"/>
            <w:vAlign w:val="center"/>
          </w:tcPr>
          <w:p w14:paraId="78C58B8D">
            <w:pPr>
              <w:pStyle w:val="41"/>
              <w:rPr>
                <w:rFonts w:hint="default" w:ascii="Times New Roman" w:hAnsi="Times New Roman" w:cs="Times New Roman"/>
                <w:color w:val="auto"/>
                <w:u w:val="none"/>
              </w:rPr>
            </w:pPr>
            <w:r>
              <w:rPr>
                <w:rFonts w:hint="eastAsia" w:cs="Times New Roman"/>
                <w:color w:val="auto"/>
                <w:kern w:val="2"/>
                <w:u w:val="none"/>
                <w:lang w:val="en-US" w:eastAsia="zh-CN"/>
              </w:rPr>
              <w:t>氮氧化物</w:t>
            </w:r>
          </w:p>
        </w:tc>
        <w:tc>
          <w:tcPr>
            <w:tcW w:w="397" w:type="pct"/>
            <w:vAlign w:val="center"/>
          </w:tcPr>
          <w:p w14:paraId="0D9B9037">
            <w:pPr>
              <w:pStyle w:val="41"/>
              <w:rPr>
                <w:rFonts w:hint="default" w:cs="Times New Roman"/>
                <w:color w:val="auto"/>
                <w:kern w:val="2"/>
                <w:u w:val="none"/>
                <w:lang w:val="en-US" w:eastAsia="zh-CN"/>
              </w:rPr>
            </w:pPr>
            <w:r>
              <w:rPr>
                <w:rFonts w:hint="eastAsia" w:cs="Times New Roman"/>
                <w:color w:val="auto"/>
                <w:kern w:val="2"/>
                <w:u w:val="none"/>
                <w:lang w:val="en-US" w:eastAsia="zh-CN"/>
              </w:rPr>
              <w:t>铬酸雾</w:t>
            </w:r>
          </w:p>
        </w:tc>
      </w:tr>
      <w:tr w14:paraId="65488A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4" w:type="pct"/>
            <w:vAlign w:val="center"/>
          </w:tcPr>
          <w:p w14:paraId="5953062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p>
        </w:tc>
        <w:tc>
          <w:tcPr>
            <w:tcW w:w="179" w:type="pct"/>
            <w:vAlign w:val="center"/>
          </w:tcPr>
          <w:p w14:paraId="6FAC4DD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生产车间</w:t>
            </w:r>
          </w:p>
        </w:tc>
        <w:tc>
          <w:tcPr>
            <w:tcW w:w="580" w:type="pct"/>
            <w:vAlign w:val="center"/>
          </w:tcPr>
          <w:p w14:paraId="5215D03A">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113.185073</w:t>
            </w:r>
          </w:p>
        </w:tc>
        <w:tc>
          <w:tcPr>
            <w:tcW w:w="447" w:type="pct"/>
            <w:vAlign w:val="center"/>
          </w:tcPr>
          <w:p w14:paraId="0633AB3A">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29.461749</w:t>
            </w:r>
          </w:p>
        </w:tc>
        <w:tc>
          <w:tcPr>
            <w:tcW w:w="300" w:type="pct"/>
            <w:vAlign w:val="center"/>
          </w:tcPr>
          <w:p w14:paraId="1792426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26.7</w:t>
            </w:r>
          </w:p>
        </w:tc>
        <w:tc>
          <w:tcPr>
            <w:tcW w:w="194" w:type="pct"/>
            <w:vAlign w:val="center"/>
          </w:tcPr>
          <w:p w14:paraId="17246EBA">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60</w:t>
            </w:r>
          </w:p>
        </w:tc>
        <w:tc>
          <w:tcPr>
            <w:tcW w:w="176" w:type="pct"/>
            <w:vAlign w:val="center"/>
          </w:tcPr>
          <w:p w14:paraId="155903B2">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35</w:t>
            </w:r>
          </w:p>
        </w:tc>
        <w:tc>
          <w:tcPr>
            <w:tcW w:w="253" w:type="pct"/>
            <w:vAlign w:val="center"/>
          </w:tcPr>
          <w:p w14:paraId="39518EB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-25</w:t>
            </w:r>
          </w:p>
        </w:tc>
        <w:tc>
          <w:tcPr>
            <w:tcW w:w="386" w:type="pct"/>
            <w:vAlign w:val="center"/>
          </w:tcPr>
          <w:p w14:paraId="6C0D6D54">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15</w:t>
            </w:r>
          </w:p>
        </w:tc>
        <w:tc>
          <w:tcPr>
            <w:tcW w:w="505" w:type="pct"/>
            <w:vAlign w:val="center"/>
          </w:tcPr>
          <w:p w14:paraId="546214CE">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7200</w:t>
            </w:r>
          </w:p>
        </w:tc>
        <w:tc>
          <w:tcPr>
            <w:tcW w:w="465" w:type="pct"/>
            <w:vAlign w:val="center"/>
          </w:tcPr>
          <w:p w14:paraId="3C7212A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连续</w:t>
            </w:r>
          </w:p>
        </w:tc>
        <w:tc>
          <w:tcPr>
            <w:tcW w:w="513" w:type="pct"/>
            <w:vAlign w:val="center"/>
          </w:tcPr>
          <w:p w14:paraId="76300654">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0.02439</w:t>
            </w:r>
          </w:p>
        </w:tc>
        <w:tc>
          <w:tcPr>
            <w:tcW w:w="462" w:type="pct"/>
            <w:vAlign w:val="center"/>
          </w:tcPr>
          <w:p w14:paraId="68173EAF">
            <w:pPr>
              <w:pStyle w:val="41"/>
              <w:rPr>
                <w:rFonts w:hint="default" w:cs="Times New Roman"/>
                <w:color w:val="auto"/>
                <w:kern w:val="2"/>
                <w:u w:val="none"/>
                <w:lang w:val="en-US" w:eastAsia="zh-CN"/>
              </w:rPr>
            </w:pPr>
            <w:r>
              <w:rPr>
                <w:rFonts w:hint="eastAsia" w:cs="Times New Roman"/>
                <w:color w:val="auto"/>
                <w:kern w:val="2"/>
                <w:u w:val="none"/>
                <w:lang w:val="en-US" w:eastAsia="zh-CN"/>
              </w:rPr>
              <w:t>0.01045</w:t>
            </w:r>
          </w:p>
        </w:tc>
        <w:tc>
          <w:tcPr>
            <w:tcW w:w="397" w:type="pct"/>
            <w:vAlign w:val="center"/>
          </w:tcPr>
          <w:p w14:paraId="0B68BC3A">
            <w:pPr>
              <w:pStyle w:val="41"/>
              <w:rPr>
                <w:rFonts w:hint="eastAsia" w:cs="Times New Roman"/>
                <w:color w:val="auto"/>
                <w:kern w:val="2"/>
                <w:u w:val="none"/>
                <w:lang w:val="en-US" w:eastAsia="zh-CN"/>
              </w:rPr>
            </w:pPr>
            <w:r>
              <w:rPr>
                <w:rFonts w:hint="eastAsia" w:cs="Times New Roman"/>
                <w:color w:val="auto"/>
                <w:kern w:val="2"/>
                <w:u w:val="none"/>
                <w:lang w:val="en-US" w:eastAsia="zh-CN"/>
              </w:rPr>
              <w:t>0.00282</w:t>
            </w:r>
          </w:p>
        </w:tc>
      </w:tr>
    </w:tbl>
    <w:p w14:paraId="2140A47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（2）评价工作等级与评价范围</w:t>
      </w:r>
    </w:p>
    <w:p w14:paraId="14B3992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采用《环境影响评价技术导则  大气环境》（HJ 2.2-2018）中推荐的估算模型AERSCREEN进行评价等级判定，估算模型参数取值情况见表6.2-9，估算模型计算结果见下表。</w:t>
      </w:r>
    </w:p>
    <w:p w14:paraId="7F6113DE">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表6.2-9   估算模型参数表</w:t>
      </w:r>
    </w:p>
    <w:tbl>
      <w:tblPr>
        <w:tblStyle w:val="30"/>
        <w:tblW w:w="90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74"/>
        <w:gridCol w:w="4243"/>
        <w:gridCol w:w="2054"/>
      </w:tblGrid>
      <w:tr w14:paraId="192D9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vAlign w:val="center"/>
          </w:tcPr>
          <w:p w14:paraId="60900F6B">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参数</w:t>
            </w:r>
          </w:p>
        </w:tc>
        <w:tc>
          <w:tcPr>
            <w:tcW w:w="1961" w:type="dxa"/>
            <w:vAlign w:val="center"/>
          </w:tcPr>
          <w:p w14:paraId="09CA1B9C">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取值</w:t>
            </w:r>
          </w:p>
        </w:tc>
      </w:tr>
      <w:tr w14:paraId="34E0F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restart"/>
            <w:vAlign w:val="center"/>
          </w:tcPr>
          <w:p w14:paraId="3F706B89">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城市农村/选项</w:t>
            </w:r>
          </w:p>
        </w:tc>
        <w:tc>
          <w:tcPr>
            <w:tcW w:w="4051" w:type="dxa"/>
            <w:vAlign w:val="center"/>
          </w:tcPr>
          <w:p w14:paraId="0A1EA56C">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城市/农村</w:t>
            </w:r>
          </w:p>
        </w:tc>
        <w:tc>
          <w:tcPr>
            <w:tcW w:w="1961" w:type="dxa"/>
            <w:vAlign w:val="center"/>
          </w:tcPr>
          <w:p w14:paraId="5DD0EDEF">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城市</w:t>
            </w:r>
          </w:p>
        </w:tc>
      </w:tr>
      <w:tr w14:paraId="448A6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vAlign w:val="center"/>
          </w:tcPr>
          <w:p w14:paraId="39EB1C0F">
            <w:pPr>
              <w:pStyle w:val="41"/>
              <w:spacing w:before="24" w:after="24"/>
              <w:rPr>
                <w:rFonts w:hint="default" w:ascii="Times New Roman" w:hAnsi="Times New Roman" w:cs="Times New Roman"/>
                <w:color w:val="auto"/>
                <w:u w:val="none"/>
              </w:rPr>
            </w:pPr>
          </w:p>
        </w:tc>
        <w:tc>
          <w:tcPr>
            <w:tcW w:w="4051" w:type="dxa"/>
            <w:vAlign w:val="center"/>
          </w:tcPr>
          <w:p w14:paraId="68AADAF1">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人口数（城市人口数）</w:t>
            </w:r>
          </w:p>
        </w:tc>
        <w:tc>
          <w:tcPr>
            <w:tcW w:w="1961" w:type="dxa"/>
            <w:vAlign w:val="center"/>
          </w:tcPr>
          <w:p w14:paraId="5CFDDB17">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200000</w:t>
            </w:r>
          </w:p>
        </w:tc>
      </w:tr>
      <w:tr w14:paraId="38486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vAlign w:val="center"/>
          </w:tcPr>
          <w:p w14:paraId="14B8F2A7">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最高环境温度</w:t>
            </w:r>
          </w:p>
        </w:tc>
        <w:tc>
          <w:tcPr>
            <w:tcW w:w="1961" w:type="dxa"/>
            <w:vAlign w:val="center"/>
          </w:tcPr>
          <w:p w14:paraId="55FE0ED9">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39.3 °C</w:t>
            </w:r>
          </w:p>
        </w:tc>
      </w:tr>
      <w:tr w14:paraId="69453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vAlign w:val="center"/>
          </w:tcPr>
          <w:p w14:paraId="420C1885">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最低环境温度</w:t>
            </w:r>
          </w:p>
        </w:tc>
        <w:tc>
          <w:tcPr>
            <w:tcW w:w="1961" w:type="dxa"/>
            <w:vAlign w:val="center"/>
          </w:tcPr>
          <w:p w14:paraId="6DFD069D">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-11.8 °C</w:t>
            </w:r>
          </w:p>
        </w:tc>
      </w:tr>
      <w:tr w14:paraId="2060C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vAlign w:val="center"/>
          </w:tcPr>
          <w:p w14:paraId="23A906CD">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土地利用类型</w:t>
            </w:r>
          </w:p>
        </w:tc>
        <w:tc>
          <w:tcPr>
            <w:tcW w:w="1961" w:type="dxa"/>
            <w:vAlign w:val="center"/>
          </w:tcPr>
          <w:p w14:paraId="2C4098E8">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城市</w:t>
            </w:r>
          </w:p>
        </w:tc>
      </w:tr>
      <w:tr w14:paraId="766146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00" w:type="dxa"/>
            <w:gridSpan w:val="2"/>
            <w:vAlign w:val="center"/>
          </w:tcPr>
          <w:p w14:paraId="0ECDFB7A">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区域湿度条件</w:t>
            </w:r>
          </w:p>
        </w:tc>
        <w:tc>
          <w:tcPr>
            <w:tcW w:w="1961" w:type="dxa"/>
            <w:vAlign w:val="center"/>
          </w:tcPr>
          <w:p w14:paraId="4265476E">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潮湿</w:t>
            </w:r>
          </w:p>
        </w:tc>
      </w:tr>
      <w:tr w14:paraId="7D51D8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restart"/>
            <w:vAlign w:val="center"/>
          </w:tcPr>
          <w:p w14:paraId="5DBB0B09">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是否考虑地形</w:t>
            </w:r>
          </w:p>
        </w:tc>
        <w:tc>
          <w:tcPr>
            <w:tcW w:w="4051" w:type="dxa"/>
            <w:vAlign w:val="center"/>
          </w:tcPr>
          <w:p w14:paraId="40208D56">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考虑地形</w:t>
            </w:r>
          </w:p>
        </w:tc>
        <w:tc>
          <w:tcPr>
            <w:tcW w:w="1961" w:type="dxa"/>
            <w:vAlign w:val="center"/>
          </w:tcPr>
          <w:p w14:paraId="33805C5C">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是</w:t>
            </w:r>
          </w:p>
        </w:tc>
      </w:tr>
      <w:tr w14:paraId="649B1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vAlign w:val="center"/>
          </w:tcPr>
          <w:p w14:paraId="2C18FF6D">
            <w:pPr>
              <w:pStyle w:val="41"/>
              <w:spacing w:before="24" w:after="24"/>
              <w:rPr>
                <w:rFonts w:hint="default" w:ascii="Times New Roman" w:hAnsi="Times New Roman" w:cs="Times New Roman"/>
                <w:color w:val="auto"/>
                <w:u w:val="none"/>
              </w:rPr>
            </w:pPr>
          </w:p>
        </w:tc>
        <w:tc>
          <w:tcPr>
            <w:tcW w:w="4051" w:type="dxa"/>
            <w:vAlign w:val="center"/>
          </w:tcPr>
          <w:p w14:paraId="18EAD8C5">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地形数据分辨率（m)</w:t>
            </w:r>
          </w:p>
        </w:tc>
        <w:tc>
          <w:tcPr>
            <w:tcW w:w="1961" w:type="dxa"/>
            <w:vAlign w:val="center"/>
          </w:tcPr>
          <w:p w14:paraId="1DA24D34">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90m</w:t>
            </w:r>
          </w:p>
        </w:tc>
      </w:tr>
      <w:tr w14:paraId="794E02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restart"/>
            <w:vAlign w:val="center"/>
          </w:tcPr>
          <w:p w14:paraId="222543E9">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是否考虑海岸线熏烟</w:t>
            </w:r>
          </w:p>
        </w:tc>
        <w:tc>
          <w:tcPr>
            <w:tcW w:w="4051" w:type="dxa"/>
            <w:vAlign w:val="center"/>
          </w:tcPr>
          <w:p w14:paraId="6029C891">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考虑海岸线熏烟</w:t>
            </w:r>
          </w:p>
        </w:tc>
        <w:tc>
          <w:tcPr>
            <w:tcW w:w="1961" w:type="dxa"/>
            <w:vAlign w:val="center"/>
          </w:tcPr>
          <w:p w14:paraId="436AFC13">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否</w:t>
            </w:r>
          </w:p>
        </w:tc>
      </w:tr>
      <w:tr w14:paraId="2F5A6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vAlign w:val="center"/>
          </w:tcPr>
          <w:p w14:paraId="71762F5D">
            <w:pPr>
              <w:pStyle w:val="41"/>
              <w:spacing w:before="24" w:after="24"/>
              <w:rPr>
                <w:rFonts w:hint="default" w:ascii="Times New Roman" w:hAnsi="Times New Roman" w:cs="Times New Roman"/>
                <w:color w:val="auto"/>
                <w:u w:val="none"/>
              </w:rPr>
            </w:pPr>
          </w:p>
        </w:tc>
        <w:tc>
          <w:tcPr>
            <w:tcW w:w="4051" w:type="dxa"/>
            <w:vAlign w:val="center"/>
          </w:tcPr>
          <w:p w14:paraId="48415345">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海岸线距离/km</w:t>
            </w:r>
          </w:p>
        </w:tc>
        <w:tc>
          <w:tcPr>
            <w:tcW w:w="1961" w:type="dxa"/>
            <w:vAlign w:val="center"/>
          </w:tcPr>
          <w:p w14:paraId="550F14A7">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26A27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49" w:type="dxa"/>
            <w:vMerge w:val="continue"/>
            <w:vAlign w:val="center"/>
          </w:tcPr>
          <w:p w14:paraId="72C234F5">
            <w:pPr>
              <w:pStyle w:val="41"/>
              <w:spacing w:before="24" w:after="24"/>
              <w:rPr>
                <w:rFonts w:hint="default" w:ascii="Times New Roman" w:hAnsi="Times New Roman" w:cs="Times New Roman"/>
                <w:color w:val="auto"/>
                <w:u w:val="none"/>
              </w:rPr>
            </w:pPr>
          </w:p>
        </w:tc>
        <w:tc>
          <w:tcPr>
            <w:tcW w:w="4051" w:type="dxa"/>
            <w:vAlign w:val="center"/>
          </w:tcPr>
          <w:p w14:paraId="0C0DD0BE">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岸线方向/ °</w:t>
            </w:r>
          </w:p>
        </w:tc>
        <w:tc>
          <w:tcPr>
            <w:tcW w:w="1961" w:type="dxa"/>
            <w:vAlign w:val="center"/>
          </w:tcPr>
          <w:p w14:paraId="6EF65FD4">
            <w:pPr>
              <w:pStyle w:val="41"/>
              <w:spacing w:before="24" w:after="24"/>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6C54DBE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表6.2-1</w:t>
      </w:r>
      <w:r>
        <w:rPr>
          <w:rFonts w:hint="eastAsia" w:ascii="Times New Roman" w:hAnsi="Times New Roman" w:cs="Times New Roman"/>
          <w:b/>
          <w:bCs/>
          <w:color w:val="auto"/>
          <w:u w:val="none"/>
          <w:lang w:val="en-US" w:eastAsia="zh-CN"/>
        </w:rPr>
        <w:t>0</w:t>
      </w:r>
      <w:r>
        <w:rPr>
          <w:rFonts w:hint="default" w:ascii="Times New Roman" w:hAnsi="Times New Roman" w:cs="Times New Roman"/>
          <w:b/>
          <w:bCs/>
          <w:color w:val="auto"/>
          <w:u w:val="none"/>
          <w:lang w:val="zh-CN"/>
        </w:rPr>
        <w:t xml:space="preserve">  ARESCREEN估算模型点源计算结果一览表</w:t>
      </w:r>
    </w:p>
    <w:tbl>
      <w:tblPr>
        <w:tblStyle w:val="30"/>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35"/>
        <w:gridCol w:w="1850"/>
        <w:gridCol w:w="1709"/>
        <w:gridCol w:w="1850"/>
        <w:gridCol w:w="1715"/>
      </w:tblGrid>
      <w:tr w14:paraId="09E42E6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vMerge w:val="restart"/>
            <w:tcBorders>
              <w:top w:val="single" w:color="auto" w:sz="12" w:space="0"/>
              <w:left w:val="single" w:color="auto" w:sz="12" w:space="0"/>
              <w:bottom w:val="single" w:color="auto" w:sz="4" w:space="0"/>
              <w:right w:val="single" w:color="auto" w:sz="4" w:space="0"/>
            </w:tcBorders>
            <w:vAlign w:val="center"/>
          </w:tcPr>
          <w:p w14:paraId="48444A8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下风向距离</w:t>
            </w:r>
          </w:p>
        </w:tc>
        <w:tc>
          <w:tcPr>
            <w:tcW w:w="3931" w:type="pct"/>
            <w:gridSpan w:val="4"/>
            <w:tcBorders>
              <w:top w:val="single" w:color="auto" w:sz="12" w:space="0"/>
              <w:left w:val="single" w:color="auto" w:sz="4" w:space="0"/>
              <w:bottom w:val="single" w:color="auto" w:sz="4" w:space="0"/>
              <w:right w:val="single" w:color="auto" w:sz="12" w:space="0"/>
            </w:tcBorders>
            <w:vAlign w:val="center"/>
          </w:tcPr>
          <w:p w14:paraId="62EFB68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点源</w:t>
            </w:r>
          </w:p>
        </w:tc>
      </w:tr>
      <w:tr w14:paraId="7BF4F4F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vMerge w:val="continue"/>
            <w:tcBorders>
              <w:top w:val="single" w:color="auto" w:sz="4" w:space="0"/>
              <w:left w:val="single" w:color="auto" w:sz="12" w:space="0"/>
              <w:bottom w:val="single" w:color="auto" w:sz="4" w:space="0"/>
              <w:right w:val="single" w:color="auto" w:sz="4" w:space="0"/>
            </w:tcBorders>
            <w:vAlign w:val="center"/>
          </w:tcPr>
          <w:p w14:paraId="7FA90B5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1021" w:type="pct"/>
            <w:tcBorders>
              <w:top w:val="single" w:color="auto" w:sz="4" w:space="0"/>
              <w:left w:val="single" w:color="auto" w:sz="4" w:space="0"/>
              <w:bottom w:val="single" w:color="auto" w:sz="4" w:space="0"/>
              <w:right w:val="single" w:color="auto" w:sz="4" w:space="0"/>
            </w:tcBorders>
            <w:vAlign w:val="center"/>
          </w:tcPr>
          <w:p w14:paraId="7C832DF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硫酸浓度(μg/m³)</w:t>
            </w:r>
          </w:p>
        </w:tc>
        <w:tc>
          <w:tcPr>
            <w:tcW w:w="943" w:type="pct"/>
            <w:tcBorders>
              <w:top w:val="single" w:color="auto" w:sz="4" w:space="0"/>
              <w:left w:val="single" w:color="auto" w:sz="4" w:space="0"/>
              <w:bottom w:val="single" w:color="auto" w:sz="4" w:space="0"/>
              <w:right w:val="single" w:color="auto" w:sz="4" w:space="0"/>
            </w:tcBorders>
            <w:vAlign w:val="center"/>
          </w:tcPr>
          <w:p w14:paraId="016B7E2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硫酸占标率(%)</w:t>
            </w:r>
          </w:p>
        </w:tc>
        <w:tc>
          <w:tcPr>
            <w:tcW w:w="1021" w:type="pct"/>
            <w:tcBorders>
              <w:top w:val="single" w:color="auto" w:sz="4" w:space="0"/>
              <w:left w:val="single" w:color="auto" w:sz="4" w:space="0"/>
              <w:bottom w:val="single" w:color="auto" w:sz="4" w:space="0"/>
              <w:right w:val="single" w:color="auto" w:sz="4" w:space="0"/>
            </w:tcBorders>
            <w:vAlign w:val="center"/>
          </w:tcPr>
          <w:p w14:paraId="11731C0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NOx浓度(μg/m³)</w:t>
            </w:r>
          </w:p>
        </w:tc>
        <w:tc>
          <w:tcPr>
            <w:tcW w:w="944" w:type="pct"/>
            <w:tcBorders>
              <w:top w:val="single" w:color="auto" w:sz="4" w:space="0"/>
              <w:left w:val="single" w:color="auto" w:sz="4" w:space="0"/>
              <w:bottom w:val="single" w:color="auto" w:sz="4" w:space="0"/>
              <w:right w:val="single" w:color="auto" w:sz="12" w:space="0"/>
            </w:tcBorders>
            <w:vAlign w:val="center"/>
          </w:tcPr>
          <w:p w14:paraId="5C1E796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NOx占标率(%)</w:t>
            </w:r>
          </w:p>
        </w:tc>
      </w:tr>
      <w:tr w14:paraId="325F71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47C4402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1021" w:type="pct"/>
            <w:tcBorders>
              <w:top w:val="single" w:color="auto" w:sz="4" w:space="0"/>
              <w:left w:val="single" w:color="auto" w:sz="4" w:space="0"/>
              <w:bottom w:val="single" w:color="auto" w:sz="4" w:space="0"/>
              <w:right w:val="single" w:color="auto" w:sz="4" w:space="0"/>
            </w:tcBorders>
            <w:vAlign w:val="center"/>
          </w:tcPr>
          <w:p w14:paraId="23A71D5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0.735</w:t>
            </w:r>
          </w:p>
        </w:tc>
        <w:tc>
          <w:tcPr>
            <w:tcW w:w="943" w:type="pct"/>
            <w:tcBorders>
              <w:top w:val="single" w:color="auto" w:sz="4" w:space="0"/>
              <w:left w:val="single" w:color="auto" w:sz="4" w:space="0"/>
              <w:bottom w:val="single" w:color="auto" w:sz="4" w:space="0"/>
              <w:right w:val="single" w:color="auto" w:sz="4" w:space="0"/>
            </w:tcBorders>
            <w:vAlign w:val="center"/>
          </w:tcPr>
          <w:p w14:paraId="1A0CF70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0.2451</w:t>
            </w:r>
          </w:p>
        </w:tc>
        <w:tc>
          <w:tcPr>
            <w:tcW w:w="1021" w:type="pct"/>
            <w:tcBorders>
              <w:top w:val="single" w:color="auto" w:sz="4" w:space="0"/>
              <w:left w:val="single" w:color="auto" w:sz="4" w:space="0"/>
              <w:bottom w:val="single" w:color="auto" w:sz="4" w:space="0"/>
              <w:right w:val="single" w:color="auto" w:sz="4" w:space="0"/>
            </w:tcBorders>
            <w:vAlign w:val="center"/>
          </w:tcPr>
          <w:p w14:paraId="477A2FB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0.473</w:t>
            </w:r>
          </w:p>
        </w:tc>
        <w:tc>
          <w:tcPr>
            <w:tcW w:w="944" w:type="pct"/>
            <w:tcBorders>
              <w:top w:val="single" w:color="auto" w:sz="4" w:space="0"/>
              <w:left w:val="single" w:color="auto" w:sz="4" w:space="0"/>
              <w:bottom w:val="single" w:color="auto" w:sz="4" w:space="0"/>
              <w:right w:val="single" w:color="auto" w:sz="12" w:space="0"/>
            </w:tcBorders>
            <w:vAlign w:val="center"/>
          </w:tcPr>
          <w:p w14:paraId="1FB22F8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0.1891</w:t>
            </w:r>
          </w:p>
        </w:tc>
      </w:tr>
      <w:tr w14:paraId="480E57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75C6548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w:t>
            </w:r>
          </w:p>
        </w:tc>
        <w:tc>
          <w:tcPr>
            <w:tcW w:w="1021" w:type="pct"/>
            <w:tcBorders>
              <w:top w:val="single" w:color="auto" w:sz="4" w:space="0"/>
              <w:left w:val="single" w:color="auto" w:sz="4" w:space="0"/>
              <w:bottom w:val="single" w:color="auto" w:sz="4" w:space="0"/>
              <w:right w:val="single" w:color="auto" w:sz="4" w:space="0"/>
            </w:tcBorders>
            <w:vAlign w:val="center"/>
          </w:tcPr>
          <w:p w14:paraId="225CA5E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2.172</w:t>
            </w:r>
          </w:p>
        </w:tc>
        <w:tc>
          <w:tcPr>
            <w:tcW w:w="943" w:type="pct"/>
            <w:tcBorders>
              <w:top w:val="single" w:color="auto" w:sz="4" w:space="0"/>
              <w:left w:val="single" w:color="auto" w:sz="4" w:space="0"/>
              <w:bottom w:val="single" w:color="auto" w:sz="4" w:space="0"/>
              <w:right w:val="single" w:color="auto" w:sz="4" w:space="0"/>
            </w:tcBorders>
            <w:vAlign w:val="center"/>
          </w:tcPr>
          <w:p w14:paraId="04952F1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0.7242</w:t>
            </w:r>
          </w:p>
        </w:tc>
        <w:tc>
          <w:tcPr>
            <w:tcW w:w="1021" w:type="pct"/>
            <w:tcBorders>
              <w:top w:val="single" w:color="auto" w:sz="4" w:space="0"/>
              <w:left w:val="single" w:color="auto" w:sz="4" w:space="0"/>
              <w:bottom w:val="single" w:color="auto" w:sz="4" w:space="0"/>
              <w:right w:val="single" w:color="auto" w:sz="4" w:space="0"/>
            </w:tcBorders>
            <w:vAlign w:val="center"/>
          </w:tcPr>
          <w:p w14:paraId="3D08B69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1.397</w:t>
            </w:r>
          </w:p>
        </w:tc>
        <w:tc>
          <w:tcPr>
            <w:tcW w:w="944" w:type="pct"/>
            <w:tcBorders>
              <w:top w:val="single" w:color="auto" w:sz="4" w:space="0"/>
              <w:left w:val="single" w:color="auto" w:sz="4" w:space="0"/>
              <w:bottom w:val="single" w:color="auto" w:sz="4" w:space="0"/>
              <w:right w:val="single" w:color="auto" w:sz="12" w:space="0"/>
            </w:tcBorders>
            <w:vAlign w:val="center"/>
          </w:tcPr>
          <w:p w14:paraId="33AB0AB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0.5586</w:t>
            </w:r>
          </w:p>
        </w:tc>
      </w:tr>
      <w:tr w14:paraId="63F166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3FFA41C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w:t>
            </w:r>
          </w:p>
        </w:tc>
        <w:tc>
          <w:tcPr>
            <w:tcW w:w="1021" w:type="pct"/>
            <w:tcBorders>
              <w:top w:val="single" w:color="auto" w:sz="4" w:space="0"/>
              <w:left w:val="single" w:color="auto" w:sz="4" w:space="0"/>
              <w:bottom w:val="single" w:color="auto" w:sz="4" w:space="0"/>
              <w:right w:val="single" w:color="auto" w:sz="4" w:space="0"/>
            </w:tcBorders>
            <w:vAlign w:val="center"/>
          </w:tcPr>
          <w:p w14:paraId="544A8B7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3.572</w:t>
            </w:r>
          </w:p>
        </w:tc>
        <w:tc>
          <w:tcPr>
            <w:tcW w:w="943" w:type="pct"/>
            <w:tcBorders>
              <w:top w:val="single" w:color="auto" w:sz="4" w:space="0"/>
              <w:left w:val="single" w:color="auto" w:sz="4" w:space="0"/>
              <w:bottom w:val="single" w:color="auto" w:sz="4" w:space="0"/>
              <w:right w:val="single" w:color="auto" w:sz="4" w:space="0"/>
            </w:tcBorders>
            <w:vAlign w:val="center"/>
          </w:tcPr>
          <w:p w14:paraId="1C0765C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1.1906</w:t>
            </w:r>
          </w:p>
        </w:tc>
        <w:tc>
          <w:tcPr>
            <w:tcW w:w="1021" w:type="pct"/>
            <w:tcBorders>
              <w:top w:val="single" w:color="auto" w:sz="4" w:space="0"/>
              <w:left w:val="single" w:color="auto" w:sz="4" w:space="0"/>
              <w:bottom w:val="single" w:color="auto" w:sz="4" w:space="0"/>
              <w:right w:val="single" w:color="auto" w:sz="4" w:space="0"/>
            </w:tcBorders>
            <w:vAlign w:val="center"/>
          </w:tcPr>
          <w:p w14:paraId="714FEA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2.296</w:t>
            </w:r>
          </w:p>
        </w:tc>
        <w:tc>
          <w:tcPr>
            <w:tcW w:w="944" w:type="pct"/>
            <w:tcBorders>
              <w:top w:val="single" w:color="auto" w:sz="4" w:space="0"/>
              <w:left w:val="single" w:color="auto" w:sz="4" w:space="0"/>
              <w:bottom w:val="single" w:color="auto" w:sz="4" w:space="0"/>
              <w:right w:val="single" w:color="auto" w:sz="12" w:space="0"/>
            </w:tcBorders>
            <w:vAlign w:val="center"/>
          </w:tcPr>
          <w:p w14:paraId="7CF0BA0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0.9185</w:t>
            </w:r>
          </w:p>
        </w:tc>
      </w:tr>
      <w:tr w14:paraId="49D802C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0F6D1AE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300.0</w:t>
            </w:r>
          </w:p>
        </w:tc>
        <w:tc>
          <w:tcPr>
            <w:tcW w:w="1021" w:type="pct"/>
            <w:tcBorders>
              <w:top w:val="single" w:color="auto" w:sz="4" w:space="0"/>
              <w:left w:val="single" w:color="auto" w:sz="4" w:space="0"/>
              <w:bottom w:val="single" w:color="auto" w:sz="4" w:space="0"/>
              <w:right w:val="single" w:color="auto" w:sz="4" w:space="0"/>
            </w:tcBorders>
            <w:vAlign w:val="center"/>
          </w:tcPr>
          <w:p w14:paraId="110BE25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3.511</w:t>
            </w:r>
          </w:p>
        </w:tc>
        <w:tc>
          <w:tcPr>
            <w:tcW w:w="943" w:type="pct"/>
            <w:tcBorders>
              <w:top w:val="single" w:color="auto" w:sz="4" w:space="0"/>
              <w:left w:val="single" w:color="auto" w:sz="4" w:space="0"/>
              <w:bottom w:val="single" w:color="auto" w:sz="4" w:space="0"/>
              <w:right w:val="single" w:color="auto" w:sz="4" w:space="0"/>
            </w:tcBorders>
            <w:vAlign w:val="center"/>
          </w:tcPr>
          <w:p w14:paraId="4597A04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1.1704</w:t>
            </w:r>
          </w:p>
        </w:tc>
        <w:tc>
          <w:tcPr>
            <w:tcW w:w="1021" w:type="pct"/>
            <w:tcBorders>
              <w:top w:val="single" w:color="auto" w:sz="4" w:space="0"/>
              <w:left w:val="single" w:color="auto" w:sz="4" w:space="0"/>
              <w:bottom w:val="single" w:color="auto" w:sz="4" w:space="0"/>
              <w:right w:val="single" w:color="auto" w:sz="4" w:space="0"/>
            </w:tcBorders>
            <w:vAlign w:val="center"/>
          </w:tcPr>
          <w:p w14:paraId="695E732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2.257</w:t>
            </w:r>
          </w:p>
        </w:tc>
        <w:tc>
          <w:tcPr>
            <w:tcW w:w="944" w:type="pct"/>
            <w:tcBorders>
              <w:top w:val="single" w:color="auto" w:sz="4" w:space="0"/>
              <w:left w:val="single" w:color="auto" w:sz="4" w:space="0"/>
              <w:bottom w:val="single" w:color="auto" w:sz="4" w:space="0"/>
              <w:right w:val="single" w:color="auto" w:sz="12" w:space="0"/>
            </w:tcBorders>
            <w:vAlign w:val="center"/>
          </w:tcPr>
          <w:p w14:paraId="7BB0146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0.9029</w:t>
            </w:r>
          </w:p>
        </w:tc>
      </w:tr>
      <w:tr w14:paraId="16E476F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995A79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400.0</w:t>
            </w:r>
          </w:p>
        </w:tc>
        <w:tc>
          <w:tcPr>
            <w:tcW w:w="1021" w:type="pct"/>
            <w:tcBorders>
              <w:top w:val="single" w:color="auto" w:sz="4" w:space="0"/>
              <w:left w:val="single" w:color="auto" w:sz="4" w:space="0"/>
              <w:bottom w:val="single" w:color="auto" w:sz="4" w:space="0"/>
              <w:right w:val="single" w:color="auto" w:sz="4" w:space="0"/>
            </w:tcBorders>
            <w:vAlign w:val="center"/>
          </w:tcPr>
          <w:p w14:paraId="6B0E6F8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2.849</w:t>
            </w:r>
          </w:p>
        </w:tc>
        <w:tc>
          <w:tcPr>
            <w:tcW w:w="943" w:type="pct"/>
            <w:tcBorders>
              <w:top w:val="single" w:color="auto" w:sz="4" w:space="0"/>
              <w:left w:val="single" w:color="auto" w:sz="4" w:space="0"/>
              <w:bottom w:val="single" w:color="auto" w:sz="4" w:space="0"/>
              <w:right w:val="single" w:color="auto" w:sz="4" w:space="0"/>
            </w:tcBorders>
            <w:vAlign w:val="center"/>
          </w:tcPr>
          <w:p w14:paraId="6C8121C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0.9497</w:t>
            </w:r>
          </w:p>
        </w:tc>
        <w:tc>
          <w:tcPr>
            <w:tcW w:w="1021" w:type="pct"/>
            <w:tcBorders>
              <w:top w:val="single" w:color="auto" w:sz="4" w:space="0"/>
              <w:left w:val="single" w:color="auto" w:sz="4" w:space="0"/>
              <w:bottom w:val="single" w:color="auto" w:sz="4" w:space="0"/>
              <w:right w:val="single" w:color="auto" w:sz="4" w:space="0"/>
            </w:tcBorders>
            <w:vAlign w:val="center"/>
          </w:tcPr>
          <w:p w14:paraId="55FCCAB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1.832</w:t>
            </w:r>
          </w:p>
        </w:tc>
        <w:tc>
          <w:tcPr>
            <w:tcW w:w="944" w:type="pct"/>
            <w:tcBorders>
              <w:top w:val="single" w:color="auto" w:sz="4" w:space="0"/>
              <w:left w:val="single" w:color="auto" w:sz="4" w:space="0"/>
              <w:bottom w:val="single" w:color="auto" w:sz="4" w:space="0"/>
              <w:right w:val="single" w:color="auto" w:sz="12" w:space="0"/>
            </w:tcBorders>
            <w:vAlign w:val="center"/>
          </w:tcPr>
          <w:p w14:paraId="4EC126D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0.7326</w:t>
            </w:r>
          </w:p>
        </w:tc>
      </w:tr>
      <w:tr w14:paraId="582A61C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670B1C7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500.0</w:t>
            </w:r>
          </w:p>
        </w:tc>
        <w:tc>
          <w:tcPr>
            <w:tcW w:w="1021" w:type="pct"/>
            <w:tcBorders>
              <w:top w:val="single" w:color="auto" w:sz="4" w:space="0"/>
              <w:left w:val="single" w:color="auto" w:sz="4" w:space="0"/>
              <w:bottom w:val="single" w:color="auto" w:sz="4" w:space="0"/>
              <w:right w:val="single" w:color="auto" w:sz="4" w:space="0"/>
            </w:tcBorders>
            <w:vAlign w:val="center"/>
          </w:tcPr>
          <w:p w14:paraId="49258A9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2.394</w:t>
            </w:r>
          </w:p>
        </w:tc>
        <w:tc>
          <w:tcPr>
            <w:tcW w:w="943" w:type="pct"/>
            <w:tcBorders>
              <w:top w:val="single" w:color="auto" w:sz="4" w:space="0"/>
              <w:left w:val="single" w:color="auto" w:sz="4" w:space="0"/>
              <w:bottom w:val="single" w:color="auto" w:sz="4" w:space="0"/>
              <w:right w:val="single" w:color="auto" w:sz="4" w:space="0"/>
            </w:tcBorders>
            <w:vAlign w:val="center"/>
          </w:tcPr>
          <w:p w14:paraId="11BB506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0.7979</w:t>
            </w:r>
          </w:p>
        </w:tc>
        <w:tc>
          <w:tcPr>
            <w:tcW w:w="1021" w:type="pct"/>
            <w:tcBorders>
              <w:top w:val="single" w:color="auto" w:sz="4" w:space="0"/>
              <w:left w:val="single" w:color="auto" w:sz="4" w:space="0"/>
              <w:bottom w:val="single" w:color="auto" w:sz="4" w:space="0"/>
              <w:right w:val="single" w:color="auto" w:sz="4" w:space="0"/>
            </w:tcBorders>
            <w:vAlign w:val="center"/>
          </w:tcPr>
          <w:p w14:paraId="5D36BAB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1.539</w:t>
            </w:r>
          </w:p>
        </w:tc>
        <w:tc>
          <w:tcPr>
            <w:tcW w:w="944" w:type="pct"/>
            <w:tcBorders>
              <w:top w:val="single" w:color="auto" w:sz="4" w:space="0"/>
              <w:left w:val="single" w:color="auto" w:sz="4" w:space="0"/>
              <w:bottom w:val="single" w:color="auto" w:sz="4" w:space="0"/>
              <w:right w:val="single" w:color="auto" w:sz="12" w:space="0"/>
            </w:tcBorders>
            <w:vAlign w:val="center"/>
          </w:tcPr>
          <w:p w14:paraId="5C95308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0.6155</w:t>
            </w:r>
          </w:p>
        </w:tc>
      </w:tr>
      <w:tr w14:paraId="5B2BCBD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D60FFD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600.0</w:t>
            </w:r>
          </w:p>
        </w:tc>
        <w:tc>
          <w:tcPr>
            <w:tcW w:w="1021" w:type="pct"/>
            <w:tcBorders>
              <w:top w:val="single" w:color="auto" w:sz="4" w:space="0"/>
              <w:left w:val="single" w:color="auto" w:sz="4" w:space="0"/>
              <w:bottom w:val="single" w:color="auto" w:sz="4" w:space="0"/>
              <w:right w:val="single" w:color="auto" w:sz="4" w:space="0"/>
            </w:tcBorders>
            <w:vAlign w:val="center"/>
          </w:tcPr>
          <w:p w14:paraId="0C0F387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2.023</w:t>
            </w:r>
          </w:p>
        </w:tc>
        <w:tc>
          <w:tcPr>
            <w:tcW w:w="943" w:type="pct"/>
            <w:tcBorders>
              <w:top w:val="single" w:color="auto" w:sz="4" w:space="0"/>
              <w:left w:val="single" w:color="auto" w:sz="4" w:space="0"/>
              <w:bottom w:val="single" w:color="auto" w:sz="4" w:space="0"/>
              <w:right w:val="single" w:color="auto" w:sz="4" w:space="0"/>
            </w:tcBorders>
            <w:vAlign w:val="center"/>
          </w:tcPr>
          <w:p w14:paraId="46227B4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0.6744</w:t>
            </w:r>
          </w:p>
        </w:tc>
        <w:tc>
          <w:tcPr>
            <w:tcW w:w="1021" w:type="pct"/>
            <w:tcBorders>
              <w:top w:val="single" w:color="auto" w:sz="4" w:space="0"/>
              <w:left w:val="single" w:color="auto" w:sz="4" w:space="0"/>
              <w:bottom w:val="single" w:color="auto" w:sz="4" w:space="0"/>
              <w:right w:val="single" w:color="auto" w:sz="4" w:space="0"/>
            </w:tcBorders>
            <w:vAlign w:val="center"/>
          </w:tcPr>
          <w:p w14:paraId="6F82493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1.301</w:t>
            </w:r>
          </w:p>
        </w:tc>
        <w:tc>
          <w:tcPr>
            <w:tcW w:w="944" w:type="pct"/>
            <w:tcBorders>
              <w:top w:val="single" w:color="auto" w:sz="4" w:space="0"/>
              <w:left w:val="single" w:color="auto" w:sz="4" w:space="0"/>
              <w:bottom w:val="single" w:color="auto" w:sz="4" w:space="0"/>
              <w:right w:val="single" w:color="auto" w:sz="12" w:space="0"/>
            </w:tcBorders>
            <w:vAlign w:val="center"/>
          </w:tcPr>
          <w:p w14:paraId="3F00A86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0.5203</w:t>
            </w:r>
          </w:p>
        </w:tc>
      </w:tr>
      <w:tr w14:paraId="4DEBF5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53B2447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700.0</w:t>
            </w:r>
          </w:p>
        </w:tc>
        <w:tc>
          <w:tcPr>
            <w:tcW w:w="1021" w:type="pct"/>
            <w:tcBorders>
              <w:top w:val="single" w:color="auto" w:sz="4" w:space="0"/>
              <w:left w:val="single" w:color="auto" w:sz="4" w:space="0"/>
              <w:bottom w:val="single" w:color="auto" w:sz="4" w:space="0"/>
              <w:right w:val="single" w:color="auto" w:sz="4" w:space="0"/>
            </w:tcBorders>
            <w:vAlign w:val="center"/>
          </w:tcPr>
          <w:p w14:paraId="7FC3741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1.728</w:t>
            </w:r>
          </w:p>
        </w:tc>
        <w:tc>
          <w:tcPr>
            <w:tcW w:w="943" w:type="pct"/>
            <w:tcBorders>
              <w:top w:val="single" w:color="auto" w:sz="4" w:space="0"/>
              <w:left w:val="single" w:color="auto" w:sz="4" w:space="0"/>
              <w:bottom w:val="single" w:color="auto" w:sz="4" w:space="0"/>
              <w:right w:val="single" w:color="auto" w:sz="4" w:space="0"/>
            </w:tcBorders>
            <w:vAlign w:val="center"/>
          </w:tcPr>
          <w:p w14:paraId="4DA243F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0.5760</w:t>
            </w:r>
          </w:p>
        </w:tc>
        <w:tc>
          <w:tcPr>
            <w:tcW w:w="1021" w:type="pct"/>
            <w:tcBorders>
              <w:top w:val="single" w:color="auto" w:sz="4" w:space="0"/>
              <w:left w:val="single" w:color="auto" w:sz="4" w:space="0"/>
              <w:bottom w:val="single" w:color="auto" w:sz="4" w:space="0"/>
              <w:right w:val="single" w:color="auto" w:sz="4" w:space="0"/>
            </w:tcBorders>
            <w:vAlign w:val="center"/>
          </w:tcPr>
          <w:p w14:paraId="4BD974E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1.111</w:t>
            </w:r>
          </w:p>
        </w:tc>
        <w:tc>
          <w:tcPr>
            <w:tcW w:w="944" w:type="pct"/>
            <w:tcBorders>
              <w:top w:val="single" w:color="auto" w:sz="4" w:space="0"/>
              <w:left w:val="single" w:color="auto" w:sz="4" w:space="0"/>
              <w:bottom w:val="single" w:color="auto" w:sz="4" w:space="0"/>
              <w:right w:val="single" w:color="auto" w:sz="12" w:space="0"/>
            </w:tcBorders>
            <w:vAlign w:val="center"/>
          </w:tcPr>
          <w:p w14:paraId="3B7D9D5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0.4443</w:t>
            </w:r>
          </w:p>
        </w:tc>
      </w:tr>
      <w:tr w14:paraId="64C8B06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7133714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800.0</w:t>
            </w:r>
          </w:p>
        </w:tc>
        <w:tc>
          <w:tcPr>
            <w:tcW w:w="1021" w:type="pct"/>
            <w:tcBorders>
              <w:top w:val="single" w:color="auto" w:sz="4" w:space="0"/>
              <w:left w:val="single" w:color="auto" w:sz="4" w:space="0"/>
              <w:bottom w:val="single" w:color="auto" w:sz="4" w:space="0"/>
              <w:right w:val="single" w:color="auto" w:sz="4" w:space="0"/>
            </w:tcBorders>
            <w:vAlign w:val="center"/>
          </w:tcPr>
          <w:p w14:paraId="38D5671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1.499</w:t>
            </w:r>
          </w:p>
        </w:tc>
        <w:tc>
          <w:tcPr>
            <w:tcW w:w="943" w:type="pct"/>
            <w:tcBorders>
              <w:top w:val="single" w:color="auto" w:sz="4" w:space="0"/>
              <w:left w:val="single" w:color="auto" w:sz="4" w:space="0"/>
              <w:bottom w:val="single" w:color="auto" w:sz="4" w:space="0"/>
              <w:right w:val="single" w:color="auto" w:sz="4" w:space="0"/>
            </w:tcBorders>
            <w:vAlign w:val="center"/>
          </w:tcPr>
          <w:p w14:paraId="47A4F27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0.4997</w:t>
            </w:r>
          </w:p>
        </w:tc>
        <w:tc>
          <w:tcPr>
            <w:tcW w:w="1021" w:type="pct"/>
            <w:tcBorders>
              <w:top w:val="single" w:color="auto" w:sz="4" w:space="0"/>
              <w:left w:val="single" w:color="auto" w:sz="4" w:space="0"/>
              <w:bottom w:val="single" w:color="auto" w:sz="4" w:space="0"/>
              <w:right w:val="single" w:color="auto" w:sz="4" w:space="0"/>
            </w:tcBorders>
            <w:vAlign w:val="center"/>
          </w:tcPr>
          <w:p w14:paraId="2A767B8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0.964</w:t>
            </w:r>
          </w:p>
        </w:tc>
        <w:tc>
          <w:tcPr>
            <w:tcW w:w="944" w:type="pct"/>
            <w:tcBorders>
              <w:top w:val="single" w:color="auto" w:sz="4" w:space="0"/>
              <w:left w:val="single" w:color="auto" w:sz="4" w:space="0"/>
              <w:bottom w:val="single" w:color="auto" w:sz="4" w:space="0"/>
              <w:right w:val="single" w:color="auto" w:sz="12" w:space="0"/>
            </w:tcBorders>
            <w:vAlign w:val="center"/>
          </w:tcPr>
          <w:p w14:paraId="0D39751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0.3855</w:t>
            </w:r>
          </w:p>
        </w:tc>
      </w:tr>
      <w:tr w14:paraId="42B2EE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70A78B3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900.0</w:t>
            </w:r>
          </w:p>
        </w:tc>
        <w:tc>
          <w:tcPr>
            <w:tcW w:w="1021" w:type="pct"/>
            <w:tcBorders>
              <w:top w:val="single" w:color="auto" w:sz="4" w:space="0"/>
              <w:left w:val="single" w:color="auto" w:sz="4" w:space="0"/>
              <w:bottom w:val="single" w:color="auto" w:sz="4" w:space="0"/>
              <w:right w:val="single" w:color="auto" w:sz="4" w:space="0"/>
            </w:tcBorders>
            <w:vAlign w:val="center"/>
          </w:tcPr>
          <w:p w14:paraId="421A26D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1.312</w:t>
            </w:r>
          </w:p>
        </w:tc>
        <w:tc>
          <w:tcPr>
            <w:tcW w:w="943" w:type="pct"/>
            <w:tcBorders>
              <w:top w:val="single" w:color="auto" w:sz="4" w:space="0"/>
              <w:left w:val="single" w:color="auto" w:sz="4" w:space="0"/>
              <w:bottom w:val="single" w:color="auto" w:sz="4" w:space="0"/>
              <w:right w:val="single" w:color="auto" w:sz="4" w:space="0"/>
            </w:tcBorders>
            <w:vAlign w:val="center"/>
          </w:tcPr>
          <w:p w14:paraId="273E943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0.4372</w:t>
            </w:r>
          </w:p>
        </w:tc>
        <w:tc>
          <w:tcPr>
            <w:tcW w:w="1021" w:type="pct"/>
            <w:tcBorders>
              <w:top w:val="single" w:color="auto" w:sz="4" w:space="0"/>
              <w:left w:val="single" w:color="auto" w:sz="4" w:space="0"/>
              <w:bottom w:val="single" w:color="auto" w:sz="4" w:space="0"/>
              <w:right w:val="single" w:color="auto" w:sz="4" w:space="0"/>
            </w:tcBorders>
            <w:vAlign w:val="center"/>
          </w:tcPr>
          <w:p w14:paraId="6F52CF7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0.843</w:t>
            </w:r>
          </w:p>
        </w:tc>
        <w:tc>
          <w:tcPr>
            <w:tcW w:w="944" w:type="pct"/>
            <w:tcBorders>
              <w:top w:val="single" w:color="auto" w:sz="4" w:space="0"/>
              <w:left w:val="single" w:color="auto" w:sz="4" w:space="0"/>
              <w:bottom w:val="single" w:color="auto" w:sz="4" w:space="0"/>
              <w:right w:val="single" w:color="auto" w:sz="12" w:space="0"/>
            </w:tcBorders>
            <w:vAlign w:val="center"/>
          </w:tcPr>
          <w:p w14:paraId="7632309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0.3372</w:t>
            </w:r>
          </w:p>
        </w:tc>
      </w:tr>
      <w:tr w14:paraId="2DF0A6A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0D669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1000.0</w:t>
            </w:r>
          </w:p>
        </w:tc>
        <w:tc>
          <w:tcPr>
            <w:tcW w:w="1021" w:type="pct"/>
            <w:tcBorders>
              <w:top w:val="single" w:color="auto" w:sz="4" w:space="0"/>
              <w:left w:val="single" w:color="auto" w:sz="4" w:space="0"/>
              <w:bottom w:val="single" w:color="auto" w:sz="4" w:space="0"/>
              <w:right w:val="single" w:color="auto" w:sz="4" w:space="0"/>
            </w:tcBorders>
            <w:vAlign w:val="center"/>
          </w:tcPr>
          <w:p w14:paraId="34EF501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1.163</w:t>
            </w:r>
          </w:p>
        </w:tc>
        <w:tc>
          <w:tcPr>
            <w:tcW w:w="943" w:type="pct"/>
            <w:tcBorders>
              <w:top w:val="single" w:color="auto" w:sz="4" w:space="0"/>
              <w:left w:val="single" w:color="auto" w:sz="4" w:space="0"/>
              <w:bottom w:val="single" w:color="auto" w:sz="4" w:space="0"/>
              <w:right w:val="single" w:color="auto" w:sz="4" w:space="0"/>
            </w:tcBorders>
            <w:vAlign w:val="center"/>
          </w:tcPr>
          <w:p w14:paraId="1F9E83B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0.3876</w:t>
            </w:r>
          </w:p>
        </w:tc>
        <w:tc>
          <w:tcPr>
            <w:tcW w:w="1021" w:type="pct"/>
            <w:tcBorders>
              <w:top w:val="single" w:color="auto" w:sz="4" w:space="0"/>
              <w:left w:val="single" w:color="auto" w:sz="4" w:space="0"/>
              <w:bottom w:val="single" w:color="auto" w:sz="4" w:space="0"/>
              <w:right w:val="single" w:color="auto" w:sz="4" w:space="0"/>
            </w:tcBorders>
            <w:vAlign w:val="center"/>
          </w:tcPr>
          <w:p w14:paraId="26D3DDA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0.748</w:t>
            </w:r>
          </w:p>
        </w:tc>
        <w:tc>
          <w:tcPr>
            <w:tcW w:w="944" w:type="pct"/>
            <w:tcBorders>
              <w:top w:val="single" w:color="auto" w:sz="4" w:space="0"/>
              <w:left w:val="single" w:color="auto" w:sz="4" w:space="0"/>
              <w:bottom w:val="single" w:color="auto" w:sz="4" w:space="0"/>
              <w:right w:val="single" w:color="auto" w:sz="12" w:space="0"/>
            </w:tcBorders>
            <w:vAlign w:val="center"/>
          </w:tcPr>
          <w:p w14:paraId="3410973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0.2990</w:t>
            </w:r>
          </w:p>
        </w:tc>
      </w:tr>
      <w:tr w14:paraId="29B647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96D991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1200.0</w:t>
            </w:r>
          </w:p>
        </w:tc>
        <w:tc>
          <w:tcPr>
            <w:tcW w:w="1021" w:type="pct"/>
            <w:tcBorders>
              <w:top w:val="single" w:color="auto" w:sz="4" w:space="0"/>
              <w:left w:val="single" w:color="auto" w:sz="4" w:space="0"/>
              <w:bottom w:val="single" w:color="auto" w:sz="4" w:space="0"/>
              <w:right w:val="single" w:color="auto" w:sz="4" w:space="0"/>
            </w:tcBorders>
            <w:vAlign w:val="center"/>
          </w:tcPr>
          <w:p w14:paraId="4CFB75C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0.934</w:t>
            </w:r>
          </w:p>
        </w:tc>
        <w:tc>
          <w:tcPr>
            <w:tcW w:w="943" w:type="pct"/>
            <w:tcBorders>
              <w:top w:val="single" w:color="auto" w:sz="4" w:space="0"/>
              <w:left w:val="single" w:color="auto" w:sz="4" w:space="0"/>
              <w:bottom w:val="single" w:color="auto" w:sz="4" w:space="0"/>
              <w:right w:val="single" w:color="auto" w:sz="4" w:space="0"/>
            </w:tcBorders>
            <w:vAlign w:val="center"/>
          </w:tcPr>
          <w:p w14:paraId="7CFE08F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0.3115</w:t>
            </w:r>
          </w:p>
        </w:tc>
        <w:tc>
          <w:tcPr>
            <w:tcW w:w="1021" w:type="pct"/>
            <w:tcBorders>
              <w:top w:val="single" w:color="auto" w:sz="4" w:space="0"/>
              <w:left w:val="single" w:color="auto" w:sz="4" w:space="0"/>
              <w:bottom w:val="single" w:color="auto" w:sz="4" w:space="0"/>
              <w:right w:val="single" w:color="auto" w:sz="4" w:space="0"/>
            </w:tcBorders>
            <w:vAlign w:val="center"/>
          </w:tcPr>
          <w:p w14:paraId="5AEA3E3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0.601</w:t>
            </w:r>
          </w:p>
        </w:tc>
        <w:tc>
          <w:tcPr>
            <w:tcW w:w="944" w:type="pct"/>
            <w:tcBorders>
              <w:top w:val="single" w:color="auto" w:sz="4" w:space="0"/>
              <w:left w:val="single" w:color="auto" w:sz="4" w:space="0"/>
              <w:bottom w:val="single" w:color="auto" w:sz="4" w:space="0"/>
              <w:right w:val="single" w:color="auto" w:sz="12" w:space="0"/>
            </w:tcBorders>
            <w:vAlign w:val="center"/>
          </w:tcPr>
          <w:p w14:paraId="3DD16D6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0.2403</w:t>
            </w:r>
          </w:p>
        </w:tc>
      </w:tr>
      <w:tr w14:paraId="6151B2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3F2A2BF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1400.0</w:t>
            </w:r>
          </w:p>
        </w:tc>
        <w:tc>
          <w:tcPr>
            <w:tcW w:w="1021" w:type="pct"/>
            <w:tcBorders>
              <w:top w:val="single" w:color="auto" w:sz="4" w:space="0"/>
              <w:left w:val="single" w:color="auto" w:sz="4" w:space="0"/>
              <w:bottom w:val="single" w:color="auto" w:sz="4" w:space="0"/>
              <w:right w:val="single" w:color="auto" w:sz="4" w:space="0"/>
            </w:tcBorders>
            <w:vAlign w:val="center"/>
          </w:tcPr>
          <w:p w14:paraId="43F50CF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0.773</w:t>
            </w:r>
          </w:p>
        </w:tc>
        <w:tc>
          <w:tcPr>
            <w:tcW w:w="943" w:type="pct"/>
            <w:tcBorders>
              <w:top w:val="single" w:color="auto" w:sz="4" w:space="0"/>
              <w:left w:val="single" w:color="auto" w:sz="4" w:space="0"/>
              <w:bottom w:val="single" w:color="auto" w:sz="4" w:space="0"/>
              <w:right w:val="single" w:color="auto" w:sz="4" w:space="0"/>
            </w:tcBorders>
            <w:vAlign w:val="center"/>
          </w:tcPr>
          <w:p w14:paraId="1C36ADE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0.2576</w:t>
            </w:r>
          </w:p>
        </w:tc>
        <w:tc>
          <w:tcPr>
            <w:tcW w:w="1021" w:type="pct"/>
            <w:tcBorders>
              <w:top w:val="single" w:color="auto" w:sz="4" w:space="0"/>
              <w:left w:val="single" w:color="auto" w:sz="4" w:space="0"/>
              <w:bottom w:val="single" w:color="auto" w:sz="4" w:space="0"/>
              <w:right w:val="single" w:color="auto" w:sz="4" w:space="0"/>
            </w:tcBorders>
            <w:vAlign w:val="center"/>
          </w:tcPr>
          <w:p w14:paraId="1BEA010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0.497</w:t>
            </w:r>
          </w:p>
        </w:tc>
        <w:tc>
          <w:tcPr>
            <w:tcW w:w="944" w:type="pct"/>
            <w:tcBorders>
              <w:top w:val="single" w:color="auto" w:sz="4" w:space="0"/>
              <w:left w:val="single" w:color="auto" w:sz="4" w:space="0"/>
              <w:bottom w:val="single" w:color="auto" w:sz="4" w:space="0"/>
              <w:right w:val="single" w:color="auto" w:sz="12" w:space="0"/>
            </w:tcBorders>
            <w:vAlign w:val="center"/>
          </w:tcPr>
          <w:p w14:paraId="1BB9F98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0.1987</w:t>
            </w:r>
          </w:p>
        </w:tc>
      </w:tr>
      <w:tr w14:paraId="7FE37A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221FB9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1600.0</w:t>
            </w:r>
          </w:p>
        </w:tc>
        <w:tc>
          <w:tcPr>
            <w:tcW w:w="1021" w:type="pct"/>
            <w:tcBorders>
              <w:top w:val="single" w:color="auto" w:sz="4" w:space="0"/>
              <w:left w:val="single" w:color="auto" w:sz="4" w:space="0"/>
              <w:bottom w:val="single" w:color="auto" w:sz="4" w:space="0"/>
              <w:right w:val="single" w:color="auto" w:sz="4" w:space="0"/>
            </w:tcBorders>
            <w:vAlign w:val="center"/>
          </w:tcPr>
          <w:p w14:paraId="10BB121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0.653</w:t>
            </w:r>
          </w:p>
        </w:tc>
        <w:tc>
          <w:tcPr>
            <w:tcW w:w="943" w:type="pct"/>
            <w:tcBorders>
              <w:top w:val="single" w:color="auto" w:sz="4" w:space="0"/>
              <w:left w:val="single" w:color="auto" w:sz="4" w:space="0"/>
              <w:bottom w:val="single" w:color="auto" w:sz="4" w:space="0"/>
              <w:right w:val="single" w:color="auto" w:sz="4" w:space="0"/>
            </w:tcBorders>
            <w:vAlign w:val="center"/>
          </w:tcPr>
          <w:p w14:paraId="68B0F0E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0.2176</w:t>
            </w:r>
          </w:p>
        </w:tc>
        <w:tc>
          <w:tcPr>
            <w:tcW w:w="1021" w:type="pct"/>
            <w:tcBorders>
              <w:top w:val="single" w:color="auto" w:sz="4" w:space="0"/>
              <w:left w:val="single" w:color="auto" w:sz="4" w:space="0"/>
              <w:bottom w:val="single" w:color="auto" w:sz="4" w:space="0"/>
              <w:right w:val="single" w:color="auto" w:sz="4" w:space="0"/>
            </w:tcBorders>
            <w:vAlign w:val="center"/>
          </w:tcPr>
          <w:p w14:paraId="755EA75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0.420</w:t>
            </w:r>
          </w:p>
        </w:tc>
        <w:tc>
          <w:tcPr>
            <w:tcW w:w="944" w:type="pct"/>
            <w:tcBorders>
              <w:top w:val="single" w:color="auto" w:sz="4" w:space="0"/>
              <w:left w:val="single" w:color="auto" w:sz="4" w:space="0"/>
              <w:bottom w:val="single" w:color="auto" w:sz="4" w:space="0"/>
              <w:right w:val="single" w:color="auto" w:sz="12" w:space="0"/>
            </w:tcBorders>
            <w:vAlign w:val="center"/>
          </w:tcPr>
          <w:p w14:paraId="71AB9B7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0.1679</w:t>
            </w:r>
          </w:p>
        </w:tc>
      </w:tr>
      <w:tr w14:paraId="4EA848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3218994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021" w:type="pct"/>
            <w:tcBorders>
              <w:top w:val="single" w:color="auto" w:sz="4" w:space="0"/>
              <w:left w:val="single" w:color="auto" w:sz="4" w:space="0"/>
              <w:bottom w:val="single" w:color="auto" w:sz="4" w:space="0"/>
              <w:right w:val="single" w:color="auto" w:sz="4" w:space="0"/>
            </w:tcBorders>
            <w:vAlign w:val="center"/>
          </w:tcPr>
          <w:p w14:paraId="676D58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0.561</w:t>
            </w:r>
          </w:p>
        </w:tc>
        <w:tc>
          <w:tcPr>
            <w:tcW w:w="943" w:type="pct"/>
            <w:tcBorders>
              <w:top w:val="single" w:color="auto" w:sz="4" w:space="0"/>
              <w:left w:val="single" w:color="auto" w:sz="4" w:space="0"/>
              <w:bottom w:val="single" w:color="auto" w:sz="4" w:space="0"/>
              <w:right w:val="single" w:color="auto" w:sz="4" w:space="0"/>
            </w:tcBorders>
            <w:vAlign w:val="center"/>
          </w:tcPr>
          <w:p w14:paraId="17B93A7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0.1870</w:t>
            </w:r>
          </w:p>
        </w:tc>
        <w:tc>
          <w:tcPr>
            <w:tcW w:w="1021" w:type="pct"/>
            <w:tcBorders>
              <w:top w:val="single" w:color="auto" w:sz="4" w:space="0"/>
              <w:left w:val="single" w:color="auto" w:sz="4" w:space="0"/>
              <w:bottom w:val="single" w:color="auto" w:sz="4" w:space="0"/>
              <w:right w:val="single" w:color="auto" w:sz="4" w:space="0"/>
            </w:tcBorders>
            <w:vAlign w:val="center"/>
          </w:tcPr>
          <w:p w14:paraId="56583A7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0.361</w:t>
            </w:r>
          </w:p>
        </w:tc>
        <w:tc>
          <w:tcPr>
            <w:tcW w:w="944" w:type="pct"/>
            <w:tcBorders>
              <w:top w:val="single" w:color="auto" w:sz="4" w:space="0"/>
              <w:left w:val="single" w:color="auto" w:sz="4" w:space="0"/>
              <w:bottom w:val="single" w:color="auto" w:sz="4" w:space="0"/>
              <w:right w:val="single" w:color="auto" w:sz="12" w:space="0"/>
            </w:tcBorders>
            <w:vAlign w:val="center"/>
          </w:tcPr>
          <w:p w14:paraId="1B3F88F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0.1443</w:t>
            </w:r>
          </w:p>
        </w:tc>
      </w:tr>
      <w:tr w14:paraId="20EF24D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0BD7CD9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2000.0</w:t>
            </w:r>
          </w:p>
        </w:tc>
        <w:tc>
          <w:tcPr>
            <w:tcW w:w="1021" w:type="pct"/>
            <w:tcBorders>
              <w:top w:val="single" w:color="auto" w:sz="4" w:space="0"/>
              <w:left w:val="single" w:color="auto" w:sz="4" w:space="0"/>
              <w:bottom w:val="single" w:color="auto" w:sz="4" w:space="0"/>
              <w:right w:val="single" w:color="auto" w:sz="4" w:space="0"/>
            </w:tcBorders>
            <w:vAlign w:val="center"/>
          </w:tcPr>
          <w:p w14:paraId="514E939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0.489</w:t>
            </w:r>
          </w:p>
        </w:tc>
        <w:tc>
          <w:tcPr>
            <w:tcW w:w="943" w:type="pct"/>
            <w:tcBorders>
              <w:top w:val="single" w:color="auto" w:sz="4" w:space="0"/>
              <w:left w:val="single" w:color="auto" w:sz="4" w:space="0"/>
              <w:bottom w:val="single" w:color="auto" w:sz="4" w:space="0"/>
              <w:right w:val="single" w:color="auto" w:sz="4" w:space="0"/>
            </w:tcBorders>
            <w:vAlign w:val="center"/>
          </w:tcPr>
          <w:p w14:paraId="0DC6D33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0.1630</w:t>
            </w:r>
          </w:p>
        </w:tc>
        <w:tc>
          <w:tcPr>
            <w:tcW w:w="1021" w:type="pct"/>
            <w:tcBorders>
              <w:top w:val="single" w:color="auto" w:sz="4" w:space="0"/>
              <w:left w:val="single" w:color="auto" w:sz="4" w:space="0"/>
              <w:bottom w:val="single" w:color="auto" w:sz="4" w:space="0"/>
              <w:right w:val="single" w:color="auto" w:sz="4" w:space="0"/>
            </w:tcBorders>
            <w:vAlign w:val="center"/>
          </w:tcPr>
          <w:p w14:paraId="4649583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0.314</w:t>
            </w:r>
          </w:p>
        </w:tc>
        <w:tc>
          <w:tcPr>
            <w:tcW w:w="944" w:type="pct"/>
            <w:tcBorders>
              <w:top w:val="single" w:color="auto" w:sz="4" w:space="0"/>
              <w:left w:val="single" w:color="auto" w:sz="4" w:space="0"/>
              <w:bottom w:val="single" w:color="auto" w:sz="4" w:space="0"/>
              <w:right w:val="single" w:color="auto" w:sz="12" w:space="0"/>
            </w:tcBorders>
            <w:vAlign w:val="center"/>
          </w:tcPr>
          <w:p w14:paraId="3FC111B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0.1257</w:t>
            </w:r>
          </w:p>
        </w:tc>
      </w:tr>
      <w:tr w14:paraId="4139007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5639FDC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2500.0</w:t>
            </w:r>
          </w:p>
        </w:tc>
        <w:tc>
          <w:tcPr>
            <w:tcW w:w="1021" w:type="pct"/>
            <w:tcBorders>
              <w:top w:val="single" w:color="auto" w:sz="4" w:space="0"/>
              <w:left w:val="single" w:color="auto" w:sz="4" w:space="0"/>
              <w:bottom w:val="single" w:color="auto" w:sz="4" w:space="0"/>
              <w:right w:val="single" w:color="auto" w:sz="4" w:space="0"/>
            </w:tcBorders>
            <w:vAlign w:val="center"/>
          </w:tcPr>
          <w:p w14:paraId="52E7179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0.365</w:t>
            </w:r>
          </w:p>
        </w:tc>
        <w:tc>
          <w:tcPr>
            <w:tcW w:w="943" w:type="pct"/>
            <w:tcBorders>
              <w:top w:val="single" w:color="auto" w:sz="4" w:space="0"/>
              <w:left w:val="single" w:color="auto" w:sz="4" w:space="0"/>
              <w:bottom w:val="single" w:color="auto" w:sz="4" w:space="0"/>
              <w:right w:val="single" w:color="auto" w:sz="4" w:space="0"/>
            </w:tcBorders>
            <w:vAlign w:val="center"/>
          </w:tcPr>
          <w:p w14:paraId="6613B3A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0.1217</w:t>
            </w:r>
          </w:p>
        </w:tc>
        <w:tc>
          <w:tcPr>
            <w:tcW w:w="1021" w:type="pct"/>
            <w:tcBorders>
              <w:top w:val="single" w:color="auto" w:sz="4" w:space="0"/>
              <w:left w:val="single" w:color="auto" w:sz="4" w:space="0"/>
              <w:bottom w:val="single" w:color="auto" w:sz="4" w:space="0"/>
              <w:right w:val="single" w:color="auto" w:sz="4" w:space="0"/>
            </w:tcBorders>
            <w:vAlign w:val="center"/>
          </w:tcPr>
          <w:p w14:paraId="40BA391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0.235</w:t>
            </w:r>
          </w:p>
        </w:tc>
        <w:tc>
          <w:tcPr>
            <w:tcW w:w="944" w:type="pct"/>
            <w:tcBorders>
              <w:top w:val="single" w:color="auto" w:sz="4" w:space="0"/>
              <w:left w:val="single" w:color="auto" w:sz="4" w:space="0"/>
              <w:bottom w:val="single" w:color="auto" w:sz="4" w:space="0"/>
              <w:right w:val="single" w:color="auto" w:sz="12" w:space="0"/>
            </w:tcBorders>
            <w:vAlign w:val="center"/>
          </w:tcPr>
          <w:p w14:paraId="6DB139F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0.0939</w:t>
            </w:r>
          </w:p>
        </w:tc>
      </w:tr>
      <w:tr w14:paraId="10723B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1474E23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3000.0</w:t>
            </w:r>
          </w:p>
        </w:tc>
        <w:tc>
          <w:tcPr>
            <w:tcW w:w="1021" w:type="pct"/>
            <w:tcBorders>
              <w:top w:val="single" w:color="auto" w:sz="4" w:space="0"/>
              <w:left w:val="single" w:color="auto" w:sz="4" w:space="0"/>
              <w:bottom w:val="single" w:color="auto" w:sz="4" w:space="0"/>
              <w:right w:val="single" w:color="auto" w:sz="4" w:space="0"/>
            </w:tcBorders>
            <w:vAlign w:val="center"/>
          </w:tcPr>
          <w:p w14:paraId="0319AF7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0.292</w:t>
            </w:r>
          </w:p>
        </w:tc>
        <w:tc>
          <w:tcPr>
            <w:tcW w:w="943" w:type="pct"/>
            <w:tcBorders>
              <w:top w:val="single" w:color="auto" w:sz="4" w:space="0"/>
              <w:left w:val="single" w:color="auto" w:sz="4" w:space="0"/>
              <w:bottom w:val="single" w:color="auto" w:sz="4" w:space="0"/>
              <w:right w:val="single" w:color="auto" w:sz="4" w:space="0"/>
            </w:tcBorders>
            <w:vAlign w:val="center"/>
          </w:tcPr>
          <w:p w14:paraId="5C63421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0.0972</w:t>
            </w:r>
          </w:p>
        </w:tc>
        <w:tc>
          <w:tcPr>
            <w:tcW w:w="1021" w:type="pct"/>
            <w:tcBorders>
              <w:top w:val="single" w:color="auto" w:sz="4" w:space="0"/>
              <w:left w:val="single" w:color="auto" w:sz="4" w:space="0"/>
              <w:bottom w:val="single" w:color="auto" w:sz="4" w:space="0"/>
              <w:right w:val="single" w:color="auto" w:sz="4" w:space="0"/>
            </w:tcBorders>
            <w:vAlign w:val="center"/>
          </w:tcPr>
          <w:p w14:paraId="29FBCFE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0.188</w:t>
            </w:r>
          </w:p>
        </w:tc>
        <w:tc>
          <w:tcPr>
            <w:tcW w:w="944" w:type="pct"/>
            <w:tcBorders>
              <w:top w:val="single" w:color="auto" w:sz="4" w:space="0"/>
              <w:left w:val="single" w:color="auto" w:sz="4" w:space="0"/>
              <w:bottom w:val="single" w:color="auto" w:sz="4" w:space="0"/>
              <w:right w:val="single" w:color="auto" w:sz="12" w:space="0"/>
            </w:tcBorders>
            <w:vAlign w:val="center"/>
          </w:tcPr>
          <w:p w14:paraId="52D54DA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0.0750</w:t>
            </w:r>
          </w:p>
        </w:tc>
      </w:tr>
      <w:tr w14:paraId="4D71327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7CDFD20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3500.0</w:t>
            </w:r>
          </w:p>
        </w:tc>
        <w:tc>
          <w:tcPr>
            <w:tcW w:w="1021" w:type="pct"/>
            <w:tcBorders>
              <w:top w:val="single" w:color="auto" w:sz="4" w:space="0"/>
              <w:left w:val="single" w:color="auto" w:sz="4" w:space="0"/>
              <w:bottom w:val="single" w:color="auto" w:sz="4" w:space="0"/>
              <w:right w:val="single" w:color="auto" w:sz="4" w:space="0"/>
            </w:tcBorders>
            <w:vAlign w:val="center"/>
          </w:tcPr>
          <w:p w14:paraId="5A0AFC8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0.240</w:t>
            </w:r>
          </w:p>
        </w:tc>
        <w:tc>
          <w:tcPr>
            <w:tcW w:w="943" w:type="pct"/>
            <w:tcBorders>
              <w:top w:val="single" w:color="auto" w:sz="4" w:space="0"/>
              <w:left w:val="single" w:color="auto" w:sz="4" w:space="0"/>
              <w:bottom w:val="single" w:color="auto" w:sz="4" w:space="0"/>
              <w:right w:val="single" w:color="auto" w:sz="4" w:space="0"/>
            </w:tcBorders>
            <w:vAlign w:val="center"/>
          </w:tcPr>
          <w:p w14:paraId="2EB208F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0.0799</w:t>
            </w:r>
          </w:p>
        </w:tc>
        <w:tc>
          <w:tcPr>
            <w:tcW w:w="1021" w:type="pct"/>
            <w:tcBorders>
              <w:top w:val="single" w:color="auto" w:sz="4" w:space="0"/>
              <w:left w:val="single" w:color="auto" w:sz="4" w:space="0"/>
              <w:bottom w:val="single" w:color="auto" w:sz="4" w:space="0"/>
              <w:right w:val="single" w:color="auto" w:sz="4" w:space="0"/>
            </w:tcBorders>
            <w:vAlign w:val="center"/>
          </w:tcPr>
          <w:p w14:paraId="3211F9C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0.154</w:t>
            </w:r>
          </w:p>
        </w:tc>
        <w:tc>
          <w:tcPr>
            <w:tcW w:w="944" w:type="pct"/>
            <w:tcBorders>
              <w:top w:val="single" w:color="auto" w:sz="4" w:space="0"/>
              <w:left w:val="single" w:color="auto" w:sz="4" w:space="0"/>
              <w:bottom w:val="single" w:color="auto" w:sz="4" w:space="0"/>
              <w:right w:val="single" w:color="auto" w:sz="12" w:space="0"/>
            </w:tcBorders>
            <w:vAlign w:val="center"/>
          </w:tcPr>
          <w:p w14:paraId="476AE58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0.0617</w:t>
            </w:r>
          </w:p>
        </w:tc>
      </w:tr>
      <w:tr w14:paraId="01BCB88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1B37467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4000.0</w:t>
            </w:r>
          </w:p>
        </w:tc>
        <w:tc>
          <w:tcPr>
            <w:tcW w:w="1021" w:type="pct"/>
            <w:tcBorders>
              <w:top w:val="single" w:color="auto" w:sz="4" w:space="0"/>
              <w:left w:val="single" w:color="auto" w:sz="4" w:space="0"/>
              <w:bottom w:val="single" w:color="auto" w:sz="4" w:space="0"/>
              <w:right w:val="single" w:color="auto" w:sz="4" w:space="0"/>
            </w:tcBorders>
            <w:vAlign w:val="center"/>
          </w:tcPr>
          <w:p w14:paraId="5CD8F83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0.202</w:t>
            </w:r>
          </w:p>
        </w:tc>
        <w:tc>
          <w:tcPr>
            <w:tcW w:w="943" w:type="pct"/>
            <w:tcBorders>
              <w:top w:val="single" w:color="auto" w:sz="4" w:space="0"/>
              <w:left w:val="single" w:color="auto" w:sz="4" w:space="0"/>
              <w:bottom w:val="single" w:color="auto" w:sz="4" w:space="0"/>
              <w:right w:val="single" w:color="auto" w:sz="4" w:space="0"/>
            </w:tcBorders>
            <w:vAlign w:val="center"/>
          </w:tcPr>
          <w:p w14:paraId="0F920B0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0.0673</w:t>
            </w:r>
          </w:p>
        </w:tc>
        <w:tc>
          <w:tcPr>
            <w:tcW w:w="1021" w:type="pct"/>
            <w:tcBorders>
              <w:top w:val="single" w:color="auto" w:sz="4" w:space="0"/>
              <w:left w:val="single" w:color="auto" w:sz="4" w:space="0"/>
              <w:bottom w:val="single" w:color="auto" w:sz="4" w:space="0"/>
              <w:right w:val="single" w:color="auto" w:sz="4" w:space="0"/>
            </w:tcBorders>
            <w:vAlign w:val="center"/>
          </w:tcPr>
          <w:p w14:paraId="7C0738E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0.130</w:t>
            </w:r>
          </w:p>
        </w:tc>
        <w:tc>
          <w:tcPr>
            <w:tcW w:w="944" w:type="pct"/>
            <w:tcBorders>
              <w:top w:val="single" w:color="auto" w:sz="4" w:space="0"/>
              <w:left w:val="single" w:color="auto" w:sz="4" w:space="0"/>
              <w:bottom w:val="single" w:color="auto" w:sz="4" w:space="0"/>
              <w:right w:val="single" w:color="auto" w:sz="12" w:space="0"/>
            </w:tcBorders>
            <w:vAlign w:val="center"/>
          </w:tcPr>
          <w:p w14:paraId="0EDB194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0.0519</w:t>
            </w:r>
          </w:p>
        </w:tc>
      </w:tr>
      <w:tr w14:paraId="5317113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42004A0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4500.0</w:t>
            </w:r>
          </w:p>
        </w:tc>
        <w:tc>
          <w:tcPr>
            <w:tcW w:w="1021" w:type="pct"/>
            <w:tcBorders>
              <w:top w:val="single" w:color="auto" w:sz="4" w:space="0"/>
              <w:left w:val="single" w:color="auto" w:sz="4" w:space="0"/>
              <w:bottom w:val="single" w:color="auto" w:sz="4" w:space="0"/>
              <w:right w:val="single" w:color="auto" w:sz="4" w:space="0"/>
            </w:tcBorders>
            <w:vAlign w:val="center"/>
          </w:tcPr>
          <w:p w14:paraId="2CAD34D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0.173</w:t>
            </w:r>
          </w:p>
        </w:tc>
        <w:tc>
          <w:tcPr>
            <w:tcW w:w="943" w:type="pct"/>
            <w:tcBorders>
              <w:top w:val="single" w:color="auto" w:sz="4" w:space="0"/>
              <w:left w:val="single" w:color="auto" w:sz="4" w:space="0"/>
              <w:bottom w:val="single" w:color="auto" w:sz="4" w:space="0"/>
              <w:right w:val="single" w:color="auto" w:sz="4" w:space="0"/>
            </w:tcBorders>
            <w:vAlign w:val="center"/>
          </w:tcPr>
          <w:p w14:paraId="424E98A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0.0577</w:t>
            </w:r>
          </w:p>
        </w:tc>
        <w:tc>
          <w:tcPr>
            <w:tcW w:w="1021" w:type="pct"/>
            <w:tcBorders>
              <w:top w:val="single" w:color="auto" w:sz="4" w:space="0"/>
              <w:left w:val="single" w:color="auto" w:sz="4" w:space="0"/>
              <w:bottom w:val="single" w:color="auto" w:sz="4" w:space="0"/>
              <w:right w:val="single" w:color="auto" w:sz="4" w:space="0"/>
            </w:tcBorders>
            <w:vAlign w:val="center"/>
          </w:tcPr>
          <w:p w14:paraId="2E3D8D1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0.111</w:t>
            </w:r>
          </w:p>
        </w:tc>
        <w:tc>
          <w:tcPr>
            <w:tcW w:w="944" w:type="pct"/>
            <w:tcBorders>
              <w:top w:val="single" w:color="auto" w:sz="4" w:space="0"/>
              <w:left w:val="single" w:color="auto" w:sz="4" w:space="0"/>
              <w:bottom w:val="single" w:color="auto" w:sz="4" w:space="0"/>
              <w:right w:val="single" w:color="auto" w:sz="12" w:space="0"/>
            </w:tcBorders>
            <w:vAlign w:val="center"/>
          </w:tcPr>
          <w:p w14:paraId="685D708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0.0445</w:t>
            </w:r>
          </w:p>
        </w:tc>
      </w:tr>
      <w:tr w14:paraId="22568D4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4B2D31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5000.0</w:t>
            </w:r>
          </w:p>
        </w:tc>
        <w:tc>
          <w:tcPr>
            <w:tcW w:w="1021" w:type="pct"/>
            <w:tcBorders>
              <w:top w:val="single" w:color="auto" w:sz="4" w:space="0"/>
              <w:left w:val="single" w:color="auto" w:sz="4" w:space="0"/>
              <w:bottom w:val="single" w:color="auto" w:sz="4" w:space="0"/>
              <w:right w:val="single" w:color="auto" w:sz="4" w:space="0"/>
            </w:tcBorders>
            <w:vAlign w:val="center"/>
          </w:tcPr>
          <w:p w14:paraId="50CFEC4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0.151</w:t>
            </w:r>
          </w:p>
        </w:tc>
        <w:tc>
          <w:tcPr>
            <w:tcW w:w="943" w:type="pct"/>
            <w:tcBorders>
              <w:top w:val="single" w:color="auto" w:sz="4" w:space="0"/>
              <w:left w:val="single" w:color="auto" w:sz="4" w:space="0"/>
              <w:bottom w:val="single" w:color="auto" w:sz="4" w:space="0"/>
              <w:right w:val="single" w:color="auto" w:sz="4" w:space="0"/>
            </w:tcBorders>
            <w:vAlign w:val="center"/>
          </w:tcPr>
          <w:p w14:paraId="618F424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0.0502</w:t>
            </w:r>
          </w:p>
        </w:tc>
        <w:tc>
          <w:tcPr>
            <w:tcW w:w="1021" w:type="pct"/>
            <w:tcBorders>
              <w:top w:val="single" w:color="auto" w:sz="4" w:space="0"/>
              <w:left w:val="single" w:color="auto" w:sz="4" w:space="0"/>
              <w:bottom w:val="single" w:color="auto" w:sz="4" w:space="0"/>
              <w:right w:val="single" w:color="auto" w:sz="4" w:space="0"/>
            </w:tcBorders>
            <w:vAlign w:val="center"/>
          </w:tcPr>
          <w:p w14:paraId="5814354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0.097</w:t>
            </w:r>
          </w:p>
        </w:tc>
        <w:tc>
          <w:tcPr>
            <w:tcW w:w="944" w:type="pct"/>
            <w:tcBorders>
              <w:top w:val="single" w:color="auto" w:sz="4" w:space="0"/>
              <w:left w:val="single" w:color="auto" w:sz="4" w:space="0"/>
              <w:bottom w:val="single" w:color="auto" w:sz="4" w:space="0"/>
              <w:right w:val="single" w:color="auto" w:sz="12" w:space="0"/>
            </w:tcBorders>
            <w:vAlign w:val="center"/>
          </w:tcPr>
          <w:p w14:paraId="2D738D6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0.0387</w:t>
            </w:r>
          </w:p>
        </w:tc>
      </w:tr>
      <w:tr w14:paraId="419BCE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754DDB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10000.0</w:t>
            </w:r>
          </w:p>
        </w:tc>
        <w:tc>
          <w:tcPr>
            <w:tcW w:w="1021" w:type="pct"/>
            <w:tcBorders>
              <w:top w:val="single" w:color="auto" w:sz="4" w:space="0"/>
              <w:left w:val="single" w:color="auto" w:sz="4" w:space="0"/>
              <w:bottom w:val="single" w:color="auto" w:sz="4" w:space="0"/>
              <w:right w:val="single" w:color="auto" w:sz="4" w:space="0"/>
            </w:tcBorders>
            <w:vAlign w:val="center"/>
          </w:tcPr>
          <w:p w14:paraId="5163103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0.061</w:t>
            </w:r>
          </w:p>
        </w:tc>
        <w:tc>
          <w:tcPr>
            <w:tcW w:w="943" w:type="pct"/>
            <w:tcBorders>
              <w:top w:val="single" w:color="auto" w:sz="4" w:space="0"/>
              <w:left w:val="single" w:color="auto" w:sz="4" w:space="0"/>
              <w:bottom w:val="single" w:color="auto" w:sz="4" w:space="0"/>
              <w:right w:val="single" w:color="auto" w:sz="4" w:space="0"/>
            </w:tcBorders>
            <w:vAlign w:val="center"/>
          </w:tcPr>
          <w:p w14:paraId="55AF681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0.0205</w:t>
            </w:r>
          </w:p>
        </w:tc>
        <w:tc>
          <w:tcPr>
            <w:tcW w:w="1021" w:type="pct"/>
            <w:tcBorders>
              <w:top w:val="single" w:color="auto" w:sz="4" w:space="0"/>
              <w:left w:val="single" w:color="auto" w:sz="4" w:space="0"/>
              <w:bottom w:val="single" w:color="auto" w:sz="4" w:space="0"/>
              <w:right w:val="single" w:color="auto" w:sz="4" w:space="0"/>
            </w:tcBorders>
            <w:vAlign w:val="center"/>
          </w:tcPr>
          <w:p w14:paraId="6CA52CB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0.040</w:t>
            </w:r>
          </w:p>
        </w:tc>
        <w:tc>
          <w:tcPr>
            <w:tcW w:w="944" w:type="pct"/>
            <w:tcBorders>
              <w:top w:val="single" w:color="auto" w:sz="4" w:space="0"/>
              <w:left w:val="single" w:color="auto" w:sz="4" w:space="0"/>
              <w:bottom w:val="single" w:color="auto" w:sz="4" w:space="0"/>
              <w:right w:val="single" w:color="auto" w:sz="12" w:space="0"/>
            </w:tcBorders>
            <w:vAlign w:val="center"/>
          </w:tcPr>
          <w:p w14:paraId="26D58C9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0.0158</w:t>
            </w:r>
          </w:p>
        </w:tc>
      </w:tr>
      <w:tr w14:paraId="6FEEA5F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C3A474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11000.0</w:t>
            </w:r>
          </w:p>
        </w:tc>
        <w:tc>
          <w:tcPr>
            <w:tcW w:w="1021" w:type="pct"/>
            <w:tcBorders>
              <w:top w:val="single" w:color="auto" w:sz="4" w:space="0"/>
              <w:left w:val="single" w:color="auto" w:sz="4" w:space="0"/>
              <w:bottom w:val="single" w:color="auto" w:sz="4" w:space="0"/>
              <w:right w:val="single" w:color="auto" w:sz="4" w:space="0"/>
            </w:tcBorders>
            <w:vAlign w:val="center"/>
          </w:tcPr>
          <w:p w14:paraId="2291BFD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0.054</w:t>
            </w:r>
          </w:p>
        </w:tc>
        <w:tc>
          <w:tcPr>
            <w:tcW w:w="943" w:type="pct"/>
            <w:tcBorders>
              <w:top w:val="single" w:color="auto" w:sz="4" w:space="0"/>
              <w:left w:val="single" w:color="auto" w:sz="4" w:space="0"/>
              <w:bottom w:val="single" w:color="auto" w:sz="4" w:space="0"/>
              <w:right w:val="single" w:color="auto" w:sz="4" w:space="0"/>
            </w:tcBorders>
            <w:vAlign w:val="center"/>
          </w:tcPr>
          <w:p w14:paraId="5E93802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0.0181</w:t>
            </w:r>
          </w:p>
        </w:tc>
        <w:tc>
          <w:tcPr>
            <w:tcW w:w="1021" w:type="pct"/>
            <w:tcBorders>
              <w:top w:val="single" w:color="auto" w:sz="4" w:space="0"/>
              <w:left w:val="single" w:color="auto" w:sz="4" w:space="0"/>
              <w:bottom w:val="single" w:color="auto" w:sz="4" w:space="0"/>
              <w:right w:val="single" w:color="auto" w:sz="4" w:space="0"/>
            </w:tcBorders>
            <w:vAlign w:val="center"/>
          </w:tcPr>
          <w:p w14:paraId="256D7EB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0.035</w:t>
            </w:r>
          </w:p>
        </w:tc>
        <w:tc>
          <w:tcPr>
            <w:tcW w:w="944" w:type="pct"/>
            <w:tcBorders>
              <w:top w:val="single" w:color="auto" w:sz="4" w:space="0"/>
              <w:left w:val="single" w:color="auto" w:sz="4" w:space="0"/>
              <w:bottom w:val="single" w:color="auto" w:sz="4" w:space="0"/>
              <w:right w:val="single" w:color="auto" w:sz="12" w:space="0"/>
            </w:tcBorders>
            <w:vAlign w:val="center"/>
          </w:tcPr>
          <w:p w14:paraId="058D427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0.0140</w:t>
            </w:r>
          </w:p>
        </w:tc>
      </w:tr>
      <w:tr w14:paraId="0DD618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557BE20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12000.0</w:t>
            </w:r>
          </w:p>
        </w:tc>
        <w:tc>
          <w:tcPr>
            <w:tcW w:w="1021" w:type="pct"/>
            <w:tcBorders>
              <w:top w:val="single" w:color="auto" w:sz="4" w:space="0"/>
              <w:left w:val="single" w:color="auto" w:sz="4" w:space="0"/>
              <w:bottom w:val="single" w:color="auto" w:sz="4" w:space="0"/>
              <w:right w:val="single" w:color="auto" w:sz="4" w:space="0"/>
            </w:tcBorders>
            <w:vAlign w:val="center"/>
          </w:tcPr>
          <w:p w14:paraId="182A33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0.048</w:t>
            </w:r>
          </w:p>
        </w:tc>
        <w:tc>
          <w:tcPr>
            <w:tcW w:w="943" w:type="pct"/>
            <w:tcBorders>
              <w:top w:val="single" w:color="auto" w:sz="4" w:space="0"/>
              <w:left w:val="single" w:color="auto" w:sz="4" w:space="0"/>
              <w:bottom w:val="single" w:color="auto" w:sz="4" w:space="0"/>
              <w:right w:val="single" w:color="auto" w:sz="4" w:space="0"/>
            </w:tcBorders>
            <w:vAlign w:val="center"/>
          </w:tcPr>
          <w:p w14:paraId="7508C76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0.0161</w:t>
            </w:r>
          </w:p>
        </w:tc>
        <w:tc>
          <w:tcPr>
            <w:tcW w:w="1021" w:type="pct"/>
            <w:tcBorders>
              <w:top w:val="single" w:color="auto" w:sz="4" w:space="0"/>
              <w:left w:val="single" w:color="auto" w:sz="4" w:space="0"/>
              <w:bottom w:val="single" w:color="auto" w:sz="4" w:space="0"/>
              <w:right w:val="single" w:color="auto" w:sz="4" w:space="0"/>
            </w:tcBorders>
            <w:vAlign w:val="center"/>
          </w:tcPr>
          <w:p w14:paraId="126A5BB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0.031</w:t>
            </w:r>
          </w:p>
        </w:tc>
        <w:tc>
          <w:tcPr>
            <w:tcW w:w="944" w:type="pct"/>
            <w:tcBorders>
              <w:top w:val="single" w:color="auto" w:sz="4" w:space="0"/>
              <w:left w:val="single" w:color="auto" w:sz="4" w:space="0"/>
              <w:bottom w:val="single" w:color="auto" w:sz="4" w:space="0"/>
              <w:right w:val="single" w:color="auto" w:sz="12" w:space="0"/>
            </w:tcBorders>
            <w:vAlign w:val="center"/>
          </w:tcPr>
          <w:p w14:paraId="20BAFC3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0.0124</w:t>
            </w:r>
          </w:p>
        </w:tc>
      </w:tr>
      <w:tr w14:paraId="0AF220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068E8CD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13000.0</w:t>
            </w:r>
          </w:p>
        </w:tc>
        <w:tc>
          <w:tcPr>
            <w:tcW w:w="1021" w:type="pct"/>
            <w:tcBorders>
              <w:top w:val="single" w:color="auto" w:sz="4" w:space="0"/>
              <w:left w:val="single" w:color="auto" w:sz="4" w:space="0"/>
              <w:bottom w:val="single" w:color="auto" w:sz="4" w:space="0"/>
              <w:right w:val="single" w:color="auto" w:sz="4" w:space="0"/>
            </w:tcBorders>
            <w:vAlign w:val="center"/>
          </w:tcPr>
          <w:p w14:paraId="50349A7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0.043</w:t>
            </w:r>
          </w:p>
        </w:tc>
        <w:tc>
          <w:tcPr>
            <w:tcW w:w="943" w:type="pct"/>
            <w:tcBorders>
              <w:top w:val="single" w:color="auto" w:sz="4" w:space="0"/>
              <w:left w:val="single" w:color="auto" w:sz="4" w:space="0"/>
              <w:bottom w:val="single" w:color="auto" w:sz="4" w:space="0"/>
              <w:right w:val="single" w:color="auto" w:sz="4" w:space="0"/>
            </w:tcBorders>
            <w:vAlign w:val="center"/>
          </w:tcPr>
          <w:p w14:paraId="1C31550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0.0145</w:t>
            </w:r>
          </w:p>
        </w:tc>
        <w:tc>
          <w:tcPr>
            <w:tcW w:w="1021" w:type="pct"/>
            <w:tcBorders>
              <w:top w:val="single" w:color="auto" w:sz="4" w:space="0"/>
              <w:left w:val="single" w:color="auto" w:sz="4" w:space="0"/>
              <w:bottom w:val="single" w:color="auto" w:sz="4" w:space="0"/>
              <w:right w:val="single" w:color="auto" w:sz="4" w:space="0"/>
            </w:tcBorders>
            <w:vAlign w:val="center"/>
          </w:tcPr>
          <w:p w14:paraId="349E9ED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0.028</w:t>
            </w:r>
          </w:p>
        </w:tc>
        <w:tc>
          <w:tcPr>
            <w:tcW w:w="944" w:type="pct"/>
            <w:tcBorders>
              <w:top w:val="single" w:color="auto" w:sz="4" w:space="0"/>
              <w:left w:val="single" w:color="auto" w:sz="4" w:space="0"/>
              <w:bottom w:val="single" w:color="auto" w:sz="4" w:space="0"/>
              <w:right w:val="single" w:color="auto" w:sz="12" w:space="0"/>
            </w:tcBorders>
            <w:vAlign w:val="center"/>
          </w:tcPr>
          <w:p w14:paraId="2BADE69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0.0111</w:t>
            </w:r>
          </w:p>
        </w:tc>
      </w:tr>
      <w:tr w14:paraId="65DAC88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C70FCF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14000.0</w:t>
            </w:r>
          </w:p>
        </w:tc>
        <w:tc>
          <w:tcPr>
            <w:tcW w:w="1021" w:type="pct"/>
            <w:tcBorders>
              <w:top w:val="single" w:color="auto" w:sz="4" w:space="0"/>
              <w:left w:val="single" w:color="auto" w:sz="4" w:space="0"/>
              <w:bottom w:val="single" w:color="auto" w:sz="4" w:space="0"/>
              <w:right w:val="single" w:color="auto" w:sz="4" w:space="0"/>
            </w:tcBorders>
            <w:vAlign w:val="center"/>
          </w:tcPr>
          <w:p w14:paraId="465246F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0.039</w:t>
            </w:r>
          </w:p>
        </w:tc>
        <w:tc>
          <w:tcPr>
            <w:tcW w:w="943" w:type="pct"/>
            <w:tcBorders>
              <w:top w:val="single" w:color="auto" w:sz="4" w:space="0"/>
              <w:left w:val="single" w:color="auto" w:sz="4" w:space="0"/>
              <w:bottom w:val="single" w:color="auto" w:sz="4" w:space="0"/>
              <w:right w:val="single" w:color="auto" w:sz="4" w:space="0"/>
            </w:tcBorders>
            <w:vAlign w:val="center"/>
          </w:tcPr>
          <w:p w14:paraId="7DCF5AA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0.0130</w:t>
            </w:r>
          </w:p>
        </w:tc>
        <w:tc>
          <w:tcPr>
            <w:tcW w:w="1021" w:type="pct"/>
            <w:tcBorders>
              <w:top w:val="single" w:color="auto" w:sz="4" w:space="0"/>
              <w:left w:val="single" w:color="auto" w:sz="4" w:space="0"/>
              <w:bottom w:val="single" w:color="auto" w:sz="4" w:space="0"/>
              <w:right w:val="single" w:color="auto" w:sz="4" w:space="0"/>
            </w:tcBorders>
            <w:vAlign w:val="center"/>
          </w:tcPr>
          <w:p w14:paraId="1248C0A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0.025</w:t>
            </w:r>
          </w:p>
        </w:tc>
        <w:tc>
          <w:tcPr>
            <w:tcW w:w="944" w:type="pct"/>
            <w:tcBorders>
              <w:top w:val="single" w:color="auto" w:sz="4" w:space="0"/>
              <w:left w:val="single" w:color="auto" w:sz="4" w:space="0"/>
              <w:bottom w:val="single" w:color="auto" w:sz="4" w:space="0"/>
              <w:right w:val="single" w:color="auto" w:sz="12" w:space="0"/>
            </w:tcBorders>
            <w:vAlign w:val="center"/>
          </w:tcPr>
          <w:p w14:paraId="7B1ED11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0.0101</w:t>
            </w:r>
          </w:p>
        </w:tc>
      </w:tr>
      <w:tr w14:paraId="3D3D3EF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50C5CD1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15000.0</w:t>
            </w:r>
          </w:p>
        </w:tc>
        <w:tc>
          <w:tcPr>
            <w:tcW w:w="1021" w:type="pct"/>
            <w:tcBorders>
              <w:top w:val="single" w:color="auto" w:sz="4" w:space="0"/>
              <w:left w:val="single" w:color="auto" w:sz="4" w:space="0"/>
              <w:bottom w:val="single" w:color="auto" w:sz="4" w:space="0"/>
              <w:right w:val="single" w:color="auto" w:sz="4" w:space="0"/>
            </w:tcBorders>
            <w:vAlign w:val="center"/>
          </w:tcPr>
          <w:p w14:paraId="498BE91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0.036</w:t>
            </w:r>
          </w:p>
        </w:tc>
        <w:tc>
          <w:tcPr>
            <w:tcW w:w="943" w:type="pct"/>
            <w:tcBorders>
              <w:top w:val="single" w:color="auto" w:sz="4" w:space="0"/>
              <w:left w:val="single" w:color="auto" w:sz="4" w:space="0"/>
              <w:bottom w:val="single" w:color="auto" w:sz="4" w:space="0"/>
              <w:right w:val="single" w:color="auto" w:sz="4" w:space="0"/>
            </w:tcBorders>
            <w:vAlign w:val="center"/>
          </w:tcPr>
          <w:p w14:paraId="065D440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0.0119</w:t>
            </w:r>
          </w:p>
        </w:tc>
        <w:tc>
          <w:tcPr>
            <w:tcW w:w="1021" w:type="pct"/>
            <w:tcBorders>
              <w:top w:val="single" w:color="auto" w:sz="4" w:space="0"/>
              <w:left w:val="single" w:color="auto" w:sz="4" w:space="0"/>
              <w:bottom w:val="single" w:color="auto" w:sz="4" w:space="0"/>
              <w:right w:val="single" w:color="auto" w:sz="4" w:space="0"/>
            </w:tcBorders>
            <w:vAlign w:val="center"/>
          </w:tcPr>
          <w:p w14:paraId="0CEBD31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0.023</w:t>
            </w:r>
          </w:p>
        </w:tc>
        <w:tc>
          <w:tcPr>
            <w:tcW w:w="944" w:type="pct"/>
            <w:tcBorders>
              <w:top w:val="single" w:color="auto" w:sz="4" w:space="0"/>
              <w:left w:val="single" w:color="auto" w:sz="4" w:space="0"/>
              <w:bottom w:val="single" w:color="auto" w:sz="4" w:space="0"/>
              <w:right w:val="single" w:color="auto" w:sz="12" w:space="0"/>
            </w:tcBorders>
            <w:vAlign w:val="center"/>
          </w:tcPr>
          <w:p w14:paraId="5CBB8D6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0.0092</w:t>
            </w:r>
          </w:p>
        </w:tc>
      </w:tr>
      <w:tr w14:paraId="3F7276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3AFB76C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20000.0</w:t>
            </w:r>
          </w:p>
        </w:tc>
        <w:tc>
          <w:tcPr>
            <w:tcW w:w="1021" w:type="pct"/>
            <w:tcBorders>
              <w:top w:val="single" w:color="auto" w:sz="4" w:space="0"/>
              <w:left w:val="single" w:color="auto" w:sz="4" w:space="0"/>
              <w:bottom w:val="single" w:color="auto" w:sz="4" w:space="0"/>
              <w:right w:val="single" w:color="auto" w:sz="4" w:space="0"/>
            </w:tcBorders>
            <w:vAlign w:val="center"/>
          </w:tcPr>
          <w:p w14:paraId="4D781D9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0.024</w:t>
            </w:r>
          </w:p>
        </w:tc>
        <w:tc>
          <w:tcPr>
            <w:tcW w:w="943" w:type="pct"/>
            <w:tcBorders>
              <w:top w:val="single" w:color="auto" w:sz="4" w:space="0"/>
              <w:left w:val="single" w:color="auto" w:sz="4" w:space="0"/>
              <w:bottom w:val="single" w:color="auto" w:sz="4" w:space="0"/>
              <w:right w:val="single" w:color="auto" w:sz="4" w:space="0"/>
            </w:tcBorders>
            <w:vAlign w:val="center"/>
          </w:tcPr>
          <w:p w14:paraId="28E1216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0.0080</w:t>
            </w:r>
          </w:p>
        </w:tc>
        <w:tc>
          <w:tcPr>
            <w:tcW w:w="1021" w:type="pct"/>
            <w:tcBorders>
              <w:top w:val="single" w:color="auto" w:sz="4" w:space="0"/>
              <w:left w:val="single" w:color="auto" w:sz="4" w:space="0"/>
              <w:bottom w:val="single" w:color="auto" w:sz="4" w:space="0"/>
              <w:right w:val="single" w:color="auto" w:sz="4" w:space="0"/>
            </w:tcBorders>
            <w:vAlign w:val="center"/>
          </w:tcPr>
          <w:p w14:paraId="1A01025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0.015</w:t>
            </w:r>
          </w:p>
        </w:tc>
        <w:tc>
          <w:tcPr>
            <w:tcW w:w="944" w:type="pct"/>
            <w:tcBorders>
              <w:top w:val="single" w:color="auto" w:sz="4" w:space="0"/>
              <w:left w:val="single" w:color="auto" w:sz="4" w:space="0"/>
              <w:bottom w:val="single" w:color="auto" w:sz="4" w:space="0"/>
              <w:right w:val="single" w:color="auto" w:sz="12" w:space="0"/>
            </w:tcBorders>
            <w:vAlign w:val="center"/>
          </w:tcPr>
          <w:p w14:paraId="38CBEBE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0.0061</w:t>
            </w:r>
          </w:p>
        </w:tc>
      </w:tr>
      <w:tr w14:paraId="57807B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5E0BA39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25000.0</w:t>
            </w:r>
          </w:p>
        </w:tc>
        <w:tc>
          <w:tcPr>
            <w:tcW w:w="1021" w:type="pct"/>
            <w:tcBorders>
              <w:top w:val="single" w:color="auto" w:sz="4" w:space="0"/>
              <w:left w:val="single" w:color="auto" w:sz="4" w:space="0"/>
              <w:bottom w:val="single" w:color="auto" w:sz="4" w:space="0"/>
              <w:right w:val="single" w:color="auto" w:sz="4" w:space="0"/>
            </w:tcBorders>
            <w:vAlign w:val="center"/>
          </w:tcPr>
          <w:p w14:paraId="1ABE045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0.017</w:t>
            </w:r>
          </w:p>
        </w:tc>
        <w:tc>
          <w:tcPr>
            <w:tcW w:w="943" w:type="pct"/>
            <w:tcBorders>
              <w:top w:val="single" w:color="auto" w:sz="4" w:space="0"/>
              <w:left w:val="single" w:color="auto" w:sz="4" w:space="0"/>
              <w:bottom w:val="single" w:color="auto" w:sz="4" w:space="0"/>
              <w:right w:val="single" w:color="auto" w:sz="4" w:space="0"/>
            </w:tcBorders>
            <w:vAlign w:val="center"/>
          </w:tcPr>
          <w:p w14:paraId="1DBCA96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0.0058</w:t>
            </w:r>
          </w:p>
        </w:tc>
        <w:tc>
          <w:tcPr>
            <w:tcW w:w="1021" w:type="pct"/>
            <w:tcBorders>
              <w:top w:val="single" w:color="auto" w:sz="4" w:space="0"/>
              <w:left w:val="single" w:color="auto" w:sz="4" w:space="0"/>
              <w:bottom w:val="single" w:color="auto" w:sz="4" w:space="0"/>
              <w:right w:val="single" w:color="auto" w:sz="4" w:space="0"/>
            </w:tcBorders>
            <w:vAlign w:val="center"/>
          </w:tcPr>
          <w:p w14:paraId="7DF63C3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0.011</w:t>
            </w:r>
          </w:p>
        </w:tc>
        <w:tc>
          <w:tcPr>
            <w:tcW w:w="944" w:type="pct"/>
            <w:tcBorders>
              <w:top w:val="single" w:color="auto" w:sz="4" w:space="0"/>
              <w:left w:val="single" w:color="auto" w:sz="4" w:space="0"/>
              <w:bottom w:val="single" w:color="auto" w:sz="4" w:space="0"/>
              <w:right w:val="single" w:color="auto" w:sz="12" w:space="0"/>
            </w:tcBorders>
            <w:vAlign w:val="center"/>
          </w:tcPr>
          <w:p w14:paraId="600239A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0.0045</w:t>
            </w:r>
          </w:p>
        </w:tc>
      </w:tr>
      <w:tr w14:paraId="27EC4B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1EF3076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下风向最大浓度</w:t>
            </w:r>
          </w:p>
        </w:tc>
        <w:tc>
          <w:tcPr>
            <w:tcW w:w="1021" w:type="pct"/>
            <w:tcBorders>
              <w:top w:val="single" w:color="auto" w:sz="4" w:space="0"/>
              <w:left w:val="single" w:color="auto" w:sz="4" w:space="0"/>
              <w:bottom w:val="single" w:color="auto" w:sz="4" w:space="0"/>
              <w:right w:val="single" w:color="auto" w:sz="4" w:space="0"/>
            </w:tcBorders>
            <w:vAlign w:val="center"/>
          </w:tcPr>
          <w:p w14:paraId="2AC5C67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3.702</w:t>
            </w:r>
          </w:p>
        </w:tc>
        <w:tc>
          <w:tcPr>
            <w:tcW w:w="943" w:type="pct"/>
            <w:tcBorders>
              <w:top w:val="single" w:color="auto" w:sz="4" w:space="0"/>
              <w:left w:val="single" w:color="auto" w:sz="4" w:space="0"/>
              <w:bottom w:val="single" w:color="auto" w:sz="4" w:space="0"/>
              <w:right w:val="single" w:color="auto" w:sz="4" w:space="0"/>
            </w:tcBorders>
            <w:vAlign w:val="center"/>
          </w:tcPr>
          <w:p w14:paraId="240217F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1.2339</w:t>
            </w:r>
          </w:p>
        </w:tc>
        <w:tc>
          <w:tcPr>
            <w:tcW w:w="1021" w:type="pct"/>
            <w:tcBorders>
              <w:top w:val="single" w:color="auto" w:sz="4" w:space="0"/>
              <w:left w:val="single" w:color="auto" w:sz="4" w:space="0"/>
              <w:bottom w:val="single" w:color="auto" w:sz="4" w:space="0"/>
              <w:right w:val="single" w:color="auto" w:sz="4" w:space="0"/>
            </w:tcBorders>
            <w:vAlign w:val="center"/>
          </w:tcPr>
          <w:p w14:paraId="4C2D53E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2.380</w:t>
            </w:r>
          </w:p>
        </w:tc>
        <w:tc>
          <w:tcPr>
            <w:tcW w:w="944" w:type="pct"/>
            <w:tcBorders>
              <w:top w:val="single" w:color="auto" w:sz="4" w:space="0"/>
              <w:left w:val="single" w:color="auto" w:sz="4" w:space="0"/>
              <w:bottom w:val="single" w:color="auto" w:sz="4" w:space="0"/>
              <w:right w:val="single" w:color="auto" w:sz="12" w:space="0"/>
            </w:tcBorders>
            <w:vAlign w:val="center"/>
          </w:tcPr>
          <w:p w14:paraId="63E346A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0.9519</w:t>
            </w:r>
          </w:p>
        </w:tc>
      </w:tr>
      <w:tr w14:paraId="1A4FA50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4" w:space="0"/>
              <w:right w:val="single" w:color="auto" w:sz="4" w:space="0"/>
            </w:tcBorders>
            <w:vAlign w:val="center"/>
          </w:tcPr>
          <w:p w14:paraId="2AD6051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下风向最大浓度出现距离</w:t>
            </w:r>
          </w:p>
        </w:tc>
        <w:tc>
          <w:tcPr>
            <w:tcW w:w="1021" w:type="pct"/>
            <w:tcBorders>
              <w:top w:val="single" w:color="auto" w:sz="4" w:space="0"/>
              <w:left w:val="single" w:color="auto" w:sz="4" w:space="0"/>
              <w:bottom w:val="single" w:color="auto" w:sz="4" w:space="0"/>
              <w:right w:val="single" w:color="auto" w:sz="4" w:space="0"/>
            </w:tcBorders>
            <w:vAlign w:val="center"/>
          </w:tcPr>
          <w:p w14:paraId="35F2B37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255.0</w:t>
            </w:r>
          </w:p>
        </w:tc>
        <w:tc>
          <w:tcPr>
            <w:tcW w:w="943" w:type="pct"/>
            <w:tcBorders>
              <w:top w:val="single" w:color="auto" w:sz="4" w:space="0"/>
              <w:left w:val="single" w:color="auto" w:sz="4" w:space="0"/>
              <w:bottom w:val="single" w:color="auto" w:sz="4" w:space="0"/>
              <w:right w:val="single" w:color="auto" w:sz="4" w:space="0"/>
            </w:tcBorders>
            <w:vAlign w:val="center"/>
          </w:tcPr>
          <w:p w14:paraId="4ED96C7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255.0</w:t>
            </w:r>
          </w:p>
        </w:tc>
        <w:tc>
          <w:tcPr>
            <w:tcW w:w="1021" w:type="pct"/>
            <w:tcBorders>
              <w:top w:val="single" w:color="auto" w:sz="4" w:space="0"/>
              <w:left w:val="single" w:color="auto" w:sz="4" w:space="0"/>
              <w:bottom w:val="single" w:color="auto" w:sz="4" w:space="0"/>
              <w:right w:val="single" w:color="auto" w:sz="4" w:space="0"/>
            </w:tcBorders>
            <w:vAlign w:val="center"/>
          </w:tcPr>
          <w:p w14:paraId="2AFE066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255.0</w:t>
            </w:r>
          </w:p>
        </w:tc>
        <w:tc>
          <w:tcPr>
            <w:tcW w:w="944" w:type="pct"/>
            <w:tcBorders>
              <w:top w:val="single" w:color="auto" w:sz="4" w:space="0"/>
              <w:left w:val="single" w:color="auto" w:sz="4" w:space="0"/>
              <w:bottom w:val="single" w:color="auto" w:sz="4" w:space="0"/>
              <w:right w:val="single" w:color="auto" w:sz="12" w:space="0"/>
            </w:tcBorders>
            <w:vAlign w:val="center"/>
          </w:tcPr>
          <w:p w14:paraId="3AA5C98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255.0</w:t>
            </w:r>
          </w:p>
        </w:tc>
      </w:tr>
      <w:tr w14:paraId="48214B4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068" w:type="pct"/>
            <w:tcBorders>
              <w:top w:val="single" w:color="auto" w:sz="4" w:space="0"/>
              <w:left w:val="single" w:color="auto" w:sz="12" w:space="0"/>
              <w:bottom w:val="single" w:color="auto" w:sz="12" w:space="0"/>
              <w:right w:val="single" w:color="auto" w:sz="4" w:space="0"/>
            </w:tcBorders>
            <w:vAlign w:val="center"/>
          </w:tcPr>
          <w:p w14:paraId="7944FCD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D10%最远距离</w:t>
            </w:r>
          </w:p>
        </w:tc>
        <w:tc>
          <w:tcPr>
            <w:tcW w:w="1021" w:type="pct"/>
            <w:tcBorders>
              <w:top w:val="single" w:color="auto" w:sz="4" w:space="0"/>
              <w:left w:val="single" w:color="auto" w:sz="4" w:space="0"/>
              <w:bottom w:val="single" w:color="auto" w:sz="12" w:space="0"/>
              <w:right w:val="single" w:color="auto" w:sz="4" w:space="0"/>
            </w:tcBorders>
            <w:vAlign w:val="center"/>
          </w:tcPr>
          <w:p w14:paraId="3AE005D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43" w:type="pct"/>
            <w:tcBorders>
              <w:top w:val="single" w:color="auto" w:sz="4" w:space="0"/>
              <w:left w:val="single" w:color="auto" w:sz="4" w:space="0"/>
              <w:bottom w:val="single" w:color="auto" w:sz="12" w:space="0"/>
              <w:right w:val="single" w:color="auto" w:sz="4" w:space="0"/>
            </w:tcBorders>
            <w:vAlign w:val="center"/>
          </w:tcPr>
          <w:p w14:paraId="23F2EA2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21" w:type="pct"/>
            <w:tcBorders>
              <w:top w:val="single" w:color="auto" w:sz="4" w:space="0"/>
              <w:left w:val="single" w:color="auto" w:sz="4" w:space="0"/>
              <w:bottom w:val="single" w:color="auto" w:sz="12" w:space="0"/>
              <w:right w:val="single" w:color="auto" w:sz="4" w:space="0"/>
            </w:tcBorders>
            <w:vAlign w:val="center"/>
          </w:tcPr>
          <w:p w14:paraId="1B2EE19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944" w:type="pct"/>
            <w:tcBorders>
              <w:top w:val="single" w:color="auto" w:sz="4" w:space="0"/>
              <w:left w:val="single" w:color="auto" w:sz="4" w:space="0"/>
              <w:bottom w:val="single" w:color="auto" w:sz="12" w:space="0"/>
              <w:right w:val="single" w:color="auto" w:sz="12" w:space="0"/>
            </w:tcBorders>
            <w:vAlign w:val="center"/>
          </w:tcPr>
          <w:p w14:paraId="446D7C8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638F980E">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表6.2-1</w:t>
      </w:r>
      <w:r>
        <w:rPr>
          <w:rFonts w:hint="eastAsia" w:cs="Times New Roman"/>
          <w:b/>
          <w:bCs/>
          <w:color w:val="auto"/>
          <w:u w:val="none"/>
          <w:lang w:val="en-US" w:eastAsia="zh-CN"/>
        </w:rPr>
        <w:t>1</w:t>
      </w:r>
      <w:r>
        <w:rPr>
          <w:rFonts w:hint="default" w:ascii="Times New Roman" w:hAnsi="Times New Roman" w:cs="Times New Roman"/>
          <w:b/>
          <w:bCs/>
          <w:color w:val="auto"/>
          <w:u w:val="none"/>
          <w:lang w:val="zh-CN"/>
        </w:rPr>
        <w:t xml:space="preserve">  ARESCREEN估算模型点源计算结果一览表</w:t>
      </w:r>
    </w:p>
    <w:tbl>
      <w:tblPr>
        <w:tblStyle w:val="30"/>
        <w:tblW w:w="4999"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3191"/>
        <w:gridCol w:w="3048"/>
        <w:gridCol w:w="2820"/>
      </w:tblGrid>
      <w:tr w14:paraId="37C649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vMerge w:val="restart"/>
            <w:tcBorders>
              <w:top w:val="single" w:color="auto" w:sz="12" w:space="0"/>
              <w:left w:val="single" w:color="auto" w:sz="12" w:space="0"/>
              <w:bottom w:val="single" w:color="auto" w:sz="4" w:space="0"/>
              <w:right w:val="single" w:color="auto" w:sz="4" w:space="0"/>
            </w:tcBorders>
            <w:vAlign w:val="center"/>
          </w:tcPr>
          <w:p w14:paraId="2E6FEA2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下风向距离</w:t>
            </w:r>
          </w:p>
        </w:tc>
        <w:tc>
          <w:tcPr>
            <w:tcW w:w="3238" w:type="pct"/>
            <w:gridSpan w:val="2"/>
            <w:tcBorders>
              <w:top w:val="single" w:color="auto" w:sz="12" w:space="0"/>
              <w:left w:val="single" w:color="auto" w:sz="4" w:space="0"/>
              <w:bottom w:val="single" w:color="auto" w:sz="4" w:space="0"/>
              <w:right w:val="single" w:color="auto" w:sz="12" w:space="0"/>
            </w:tcBorders>
            <w:vAlign w:val="center"/>
          </w:tcPr>
          <w:p w14:paraId="4FC452B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点源</w:t>
            </w:r>
          </w:p>
        </w:tc>
      </w:tr>
      <w:tr w14:paraId="12B205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vMerge w:val="continue"/>
            <w:tcBorders>
              <w:top w:val="single" w:color="auto" w:sz="4" w:space="0"/>
              <w:left w:val="single" w:color="auto" w:sz="12" w:space="0"/>
              <w:bottom w:val="single" w:color="auto" w:sz="4" w:space="0"/>
              <w:right w:val="single" w:color="auto" w:sz="4" w:space="0"/>
            </w:tcBorders>
            <w:vAlign w:val="center"/>
          </w:tcPr>
          <w:p w14:paraId="08ECA19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1682" w:type="pct"/>
            <w:tcBorders>
              <w:top w:val="single" w:color="auto" w:sz="4" w:space="0"/>
              <w:left w:val="single" w:color="auto" w:sz="4" w:space="0"/>
              <w:bottom w:val="single" w:color="auto" w:sz="4" w:space="0"/>
              <w:right w:val="single" w:color="auto" w:sz="4" w:space="0"/>
            </w:tcBorders>
            <w:vAlign w:val="center"/>
          </w:tcPr>
          <w:p w14:paraId="5D5076A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铬酸雾浓度(μg/m³)</w:t>
            </w:r>
          </w:p>
        </w:tc>
        <w:tc>
          <w:tcPr>
            <w:tcW w:w="1555" w:type="pct"/>
            <w:tcBorders>
              <w:top w:val="single" w:color="auto" w:sz="4" w:space="0"/>
              <w:left w:val="single" w:color="auto" w:sz="4" w:space="0"/>
              <w:bottom w:val="single" w:color="auto" w:sz="4" w:space="0"/>
              <w:right w:val="single" w:color="auto" w:sz="12" w:space="0"/>
            </w:tcBorders>
            <w:vAlign w:val="center"/>
          </w:tcPr>
          <w:p w14:paraId="10C522A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铬酸雾占标率(%)</w:t>
            </w:r>
          </w:p>
        </w:tc>
      </w:tr>
      <w:tr w14:paraId="672EC6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718C4CB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1682" w:type="pct"/>
            <w:tcBorders>
              <w:top w:val="single" w:color="auto" w:sz="4" w:space="0"/>
              <w:left w:val="single" w:color="auto" w:sz="4" w:space="0"/>
              <w:bottom w:val="single" w:color="auto" w:sz="4" w:space="0"/>
              <w:right w:val="single" w:color="auto" w:sz="4" w:space="0"/>
            </w:tcBorders>
            <w:vAlign w:val="center"/>
          </w:tcPr>
          <w:p w14:paraId="7FC0423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0.053</w:t>
            </w:r>
          </w:p>
        </w:tc>
        <w:tc>
          <w:tcPr>
            <w:tcW w:w="1555" w:type="pct"/>
            <w:tcBorders>
              <w:top w:val="single" w:color="auto" w:sz="4" w:space="0"/>
              <w:left w:val="single" w:color="auto" w:sz="4" w:space="0"/>
              <w:bottom w:val="single" w:color="auto" w:sz="4" w:space="0"/>
              <w:right w:val="single" w:color="auto" w:sz="12" w:space="0"/>
            </w:tcBorders>
            <w:vAlign w:val="center"/>
          </w:tcPr>
          <w:p w14:paraId="15EBFC8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3.5193</w:t>
            </w:r>
          </w:p>
        </w:tc>
      </w:tr>
      <w:tr w14:paraId="36FC4C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354D7CC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w:t>
            </w:r>
          </w:p>
        </w:tc>
        <w:tc>
          <w:tcPr>
            <w:tcW w:w="1682" w:type="pct"/>
            <w:tcBorders>
              <w:top w:val="single" w:color="auto" w:sz="4" w:space="0"/>
              <w:left w:val="single" w:color="auto" w:sz="4" w:space="0"/>
              <w:bottom w:val="single" w:color="auto" w:sz="4" w:space="0"/>
              <w:right w:val="single" w:color="auto" w:sz="4" w:space="0"/>
            </w:tcBorders>
            <w:vAlign w:val="center"/>
          </w:tcPr>
          <w:p w14:paraId="3A38A29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0.056</w:t>
            </w:r>
          </w:p>
        </w:tc>
        <w:tc>
          <w:tcPr>
            <w:tcW w:w="1555" w:type="pct"/>
            <w:tcBorders>
              <w:top w:val="single" w:color="auto" w:sz="4" w:space="0"/>
              <w:left w:val="single" w:color="auto" w:sz="4" w:space="0"/>
              <w:bottom w:val="single" w:color="auto" w:sz="4" w:space="0"/>
              <w:right w:val="single" w:color="auto" w:sz="12" w:space="0"/>
            </w:tcBorders>
            <w:vAlign w:val="center"/>
          </w:tcPr>
          <w:p w14:paraId="2FBB839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3.7299</w:t>
            </w:r>
          </w:p>
        </w:tc>
      </w:tr>
      <w:tr w14:paraId="1A40A17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609BBC5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w:t>
            </w:r>
          </w:p>
        </w:tc>
        <w:tc>
          <w:tcPr>
            <w:tcW w:w="1682" w:type="pct"/>
            <w:tcBorders>
              <w:top w:val="single" w:color="auto" w:sz="4" w:space="0"/>
              <w:left w:val="single" w:color="auto" w:sz="4" w:space="0"/>
              <w:bottom w:val="single" w:color="auto" w:sz="4" w:space="0"/>
              <w:right w:val="single" w:color="auto" w:sz="4" w:space="0"/>
            </w:tcBorders>
            <w:vAlign w:val="center"/>
          </w:tcPr>
          <w:p w14:paraId="495969A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0.048</w:t>
            </w:r>
          </w:p>
        </w:tc>
        <w:tc>
          <w:tcPr>
            <w:tcW w:w="1555" w:type="pct"/>
            <w:tcBorders>
              <w:top w:val="single" w:color="auto" w:sz="4" w:space="0"/>
              <w:left w:val="single" w:color="auto" w:sz="4" w:space="0"/>
              <w:bottom w:val="single" w:color="auto" w:sz="4" w:space="0"/>
              <w:right w:val="single" w:color="auto" w:sz="12" w:space="0"/>
            </w:tcBorders>
            <w:vAlign w:val="center"/>
          </w:tcPr>
          <w:p w14:paraId="2C6F0AE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3.2163</w:t>
            </w:r>
          </w:p>
        </w:tc>
      </w:tr>
      <w:tr w14:paraId="1467F1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344380C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300.0</w:t>
            </w:r>
          </w:p>
        </w:tc>
        <w:tc>
          <w:tcPr>
            <w:tcW w:w="1682" w:type="pct"/>
            <w:tcBorders>
              <w:top w:val="single" w:color="auto" w:sz="4" w:space="0"/>
              <w:left w:val="single" w:color="auto" w:sz="4" w:space="0"/>
              <w:bottom w:val="single" w:color="auto" w:sz="4" w:space="0"/>
              <w:right w:val="single" w:color="auto" w:sz="4" w:space="0"/>
            </w:tcBorders>
            <w:vAlign w:val="center"/>
          </w:tcPr>
          <w:p w14:paraId="6AD1B98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0.070</w:t>
            </w:r>
          </w:p>
        </w:tc>
        <w:tc>
          <w:tcPr>
            <w:tcW w:w="1555" w:type="pct"/>
            <w:tcBorders>
              <w:top w:val="single" w:color="auto" w:sz="4" w:space="0"/>
              <w:left w:val="single" w:color="auto" w:sz="4" w:space="0"/>
              <w:bottom w:val="single" w:color="auto" w:sz="4" w:space="0"/>
              <w:right w:val="single" w:color="auto" w:sz="12" w:space="0"/>
            </w:tcBorders>
            <w:vAlign w:val="center"/>
          </w:tcPr>
          <w:p w14:paraId="2A60BF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4.6354</w:t>
            </w:r>
          </w:p>
        </w:tc>
      </w:tr>
      <w:tr w14:paraId="6DA69B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5BE1B9C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400.0</w:t>
            </w:r>
          </w:p>
        </w:tc>
        <w:tc>
          <w:tcPr>
            <w:tcW w:w="1682" w:type="pct"/>
            <w:tcBorders>
              <w:top w:val="single" w:color="auto" w:sz="4" w:space="0"/>
              <w:left w:val="single" w:color="auto" w:sz="4" w:space="0"/>
              <w:bottom w:val="single" w:color="auto" w:sz="4" w:space="0"/>
              <w:right w:val="single" w:color="auto" w:sz="4" w:space="0"/>
            </w:tcBorders>
            <w:vAlign w:val="center"/>
          </w:tcPr>
          <w:p w14:paraId="6E2BD7A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0.126</w:t>
            </w:r>
          </w:p>
        </w:tc>
        <w:tc>
          <w:tcPr>
            <w:tcW w:w="1555" w:type="pct"/>
            <w:tcBorders>
              <w:top w:val="single" w:color="auto" w:sz="4" w:space="0"/>
              <w:left w:val="single" w:color="auto" w:sz="4" w:space="0"/>
              <w:bottom w:val="single" w:color="auto" w:sz="4" w:space="0"/>
              <w:right w:val="single" w:color="auto" w:sz="12" w:space="0"/>
            </w:tcBorders>
            <w:vAlign w:val="center"/>
          </w:tcPr>
          <w:p w14:paraId="20B416E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8.3667</w:t>
            </w:r>
          </w:p>
        </w:tc>
      </w:tr>
      <w:tr w14:paraId="45B57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4A574FE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500.0</w:t>
            </w:r>
          </w:p>
        </w:tc>
        <w:tc>
          <w:tcPr>
            <w:tcW w:w="1682" w:type="pct"/>
            <w:tcBorders>
              <w:top w:val="single" w:color="auto" w:sz="4" w:space="0"/>
              <w:left w:val="single" w:color="auto" w:sz="4" w:space="0"/>
              <w:bottom w:val="single" w:color="auto" w:sz="4" w:space="0"/>
              <w:right w:val="single" w:color="auto" w:sz="4" w:space="0"/>
            </w:tcBorders>
            <w:vAlign w:val="center"/>
          </w:tcPr>
          <w:p w14:paraId="5C86ED3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0.095</w:t>
            </w:r>
          </w:p>
        </w:tc>
        <w:tc>
          <w:tcPr>
            <w:tcW w:w="1555" w:type="pct"/>
            <w:tcBorders>
              <w:top w:val="single" w:color="auto" w:sz="4" w:space="0"/>
              <w:left w:val="single" w:color="auto" w:sz="4" w:space="0"/>
              <w:bottom w:val="single" w:color="auto" w:sz="4" w:space="0"/>
              <w:right w:val="single" w:color="auto" w:sz="12" w:space="0"/>
            </w:tcBorders>
            <w:vAlign w:val="center"/>
          </w:tcPr>
          <w:p w14:paraId="73A08E7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6.3300</w:t>
            </w:r>
          </w:p>
        </w:tc>
      </w:tr>
      <w:tr w14:paraId="0EFECF1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4353C08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600.0</w:t>
            </w:r>
          </w:p>
        </w:tc>
        <w:tc>
          <w:tcPr>
            <w:tcW w:w="1682" w:type="pct"/>
            <w:tcBorders>
              <w:top w:val="single" w:color="auto" w:sz="4" w:space="0"/>
              <w:left w:val="single" w:color="auto" w:sz="4" w:space="0"/>
              <w:bottom w:val="single" w:color="auto" w:sz="4" w:space="0"/>
              <w:right w:val="single" w:color="auto" w:sz="4" w:space="0"/>
            </w:tcBorders>
            <w:vAlign w:val="center"/>
          </w:tcPr>
          <w:p w14:paraId="28144A1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0.075</w:t>
            </w:r>
          </w:p>
        </w:tc>
        <w:tc>
          <w:tcPr>
            <w:tcW w:w="1555" w:type="pct"/>
            <w:tcBorders>
              <w:top w:val="single" w:color="auto" w:sz="4" w:space="0"/>
              <w:left w:val="single" w:color="auto" w:sz="4" w:space="0"/>
              <w:bottom w:val="single" w:color="auto" w:sz="4" w:space="0"/>
              <w:right w:val="single" w:color="auto" w:sz="12" w:space="0"/>
            </w:tcBorders>
            <w:vAlign w:val="center"/>
          </w:tcPr>
          <w:p w14:paraId="73BEF44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5.0172</w:t>
            </w:r>
          </w:p>
        </w:tc>
      </w:tr>
      <w:tr w14:paraId="287D87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073032F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700.0</w:t>
            </w:r>
          </w:p>
        </w:tc>
        <w:tc>
          <w:tcPr>
            <w:tcW w:w="1682" w:type="pct"/>
            <w:tcBorders>
              <w:top w:val="single" w:color="auto" w:sz="4" w:space="0"/>
              <w:left w:val="single" w:color="auto" w:sz="4" w:space="0"/>
              <w:bottom w:val="single" w:color="auto" w:sz="4" w:space="0"/>
              <w:right w:val="single" w:color="auto" w:sz="4" w:space="0"/>
            </w:tcBorders>
            <w:vAlign w:val="center"/>
          </w:tcPr>
          <w:p w14:paraId="022F998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0.068</w:t>
            </w:r>
          </w:p>
        </w:tc>
        <w:tc>
          <w:tcPr>
            <w:tcW w:w="1555" w:type="pct"/>
            <w:tcBorders>
              <w:top w:val="single" w:color="auto" w:sz="4" w:space="0"/>
              <w:left w:val="single" w:color="auto" w:sz="4" w:space="0"/>
              <w:bottom w:val="single" w:color="auto" w:sz="4" w:space="0"/>
              <w:right w:val="single" w:color="auto" w:sz="12" w:space="0"/>
            </w:tcBorders>
            <w:vAlign w:val="center"/>
          </w:tcPr>
          <w:p w14:paraId="260C923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4.5327</w:t>
            </w:r>
          </w:p>
        </w:tc>
      </w:tr>
      <w:tr w14:paraId="458E2C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2487483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800.0</w:t>
            </w:r>
          </w:p>
        </w:tc>
        <w:tc>
          <w:tcPr>
            <w:tcW w:w="1682" w:type="pct"/>
            <w:tcBorders>
              <w:top w:val="single" w:color="auto" w:sz="4" w:space="0"/>
              <w:left w:val="single" w:color="auto" w:sz="4" w:space="0"/>
              <w:bottom w:val="single" w:color="auto" w:sz="4" w:space="0"/>
              <w:right w:val="single" w:color="auto" w:sz="4" w:space="0"/>
            </w:tcBorders>
            <w:vAlign w:val="center"/>
          </w:tcPr>
          <w:p w14:paraId="5F9B4F9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0.062</w:t>
            </w:r>
          </w:p>
        </w:tc>
        <w:tc>
          <w:tcPr>
            <w:tcW w:w="1555" w:type="pct"/>
            <w:tcBorders>
              <w:top w:val="single" w:color="auto" w:sz="4" w:space="0"/>
              <w:left w:val="single" w:color="auto" w:sz="4" w:space="0"/>
              <w:bottom w:val="single" w:color="auto" w:sz="4" w:space="0"/>
              <w:right w:val="single" w:color="auto" w:sz="12" w:space="0"/>
            </w:tcBorders>
            <w:vAlign w:val="center"/>
          </w:tcPr>
          <w:p w14:paraId="47AD27C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4.1345</w:t>
            </w:r>
          </w:p>
        </w:tc>
      </w:tr>
      <w:tr w14:paraId="1E144C9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465B9AA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900.0</w:t>
            </w:r>
          </w:p>
        </w:tc>
        <w:tc>
          <w:tcPr>
            <w:tcW w:w="1682" w:type="pct"/>
            <w:tcBorders>
              <w:top w:val="single" w:color="auto" w:sz="4" w:space="0"/>
              <w:left w:val="single" w:color="auto" w:sz="4" w:space="0"/>
              <w:bottom w:val="single" w:color="auto" w:sz="4" w:space="0"/>
              <w:right w:val="single" w:color="auto" w:sz="4" w:space="0"/>
            </w:tcBorders>
            <w:vAlign w:val="center"/>
          </w:tcPr>
          <w:p w14:paraId="35BE4FD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0.058</w:t>
            </w:r>
          </w:p>
        </w:tc>
        <w:tc>
          <w:tcPr>
            <w:tcW w:w="1555" w:type="pct"/>
            <w:tcBorders>
              <w:top w:val="single" w:color="auto" w:sz="4" w:space="0"/>
              <w:left w:val="single" w:color="auto" w:sz="4" w:space="0"/>
              <w:bottom w:val="single" w:color="auto" w:sz="4" w:space="0"/>
              <w:right w:val="single" w:color="auto" w:sz="12" w:space="0"/>
            </w:tcBorders>
            <w:vAlign w:val="center"/>
          </w:tcPr>
          <w:p w14:paraId="48D252B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3.8347</w:t>
            </w:r>
          </w:p>
        </w:tc>
      </w:tr>
      <w:tr w14:paraId="79210C9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258A786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1000.0</w:t>
            </w:r>
          </w:p>
        </w:tc>
        <w:tc>
          <w:tcPr>
            <w:tcW w:w="1682" w:type="pct"/>
            <w:tcBorders>
              <w:top w:val="single" w:color="auto" w:sz="4" w:space="0"/>
              <w:left w:val="single" w:color="auto" w:sz="4" w:space="0"/>
              <w:bottom w:val="single" w:color="auto" w:sz="4" w:space="0"/>
              <w:right w:val="single" w:color="auto" w:sz="4" w:space="0"/>
            </w:tcBorders>
            <w:vAlign w:val="center"/>
          </w:tcPr>
          <w:p w14:paraId="122BF49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0.053</w:t>
            </w:r>
          </w:p>
        </w:tc>
        <w:tc>
          <w:tcPr>
            <w:tcW w:w="1555" w:type="pct"/>
            <w:tcBorders>
              <w:top w:val="single" w:color="auto" w:sz="4" w:space="0"/>
              <w:left w:val="single" w:color="auto" w:sz="4" w:space="0"/>
              <w:bottom w:val="single" w:color="auto" w:sz="4" w:space="0"/>
              <w:right w:val="single" w:color="auto" w:sz="12" w:space="0"/>
            </w:tcBorders>
            <w:vAlign w:val="center"/>
          </w:tcPr>
          <w:p w14:paraId="1331558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3.5277</w:t>
            </w:r>
          </w:p>
        </w:tc>
      </w:tr>
      <w:tr w14:paraId="0CB44E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2784730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1200.0</w:t>
            </w:r>
          </w:p>
        </w:tc>
        <w:tc>
          <w:tcPr>
            <w:tcW w:w="1682" w:type="pct"/>
            <w:tcBorders>
              <w:top w:val="single" w:color="auto" w:sz="4" w:space="0"/>
              <w:left w:val="single" w:color="auto" w:sz="4" w:space="0"/>
              <w:bottom w:val="single" w:color="auto" w:sz="4" w:space="0"/>
              <w:right w:val="single" w:color="auto" w:sz="4" w:space="0"/>
            </w:tcBorders>
            <w:vAlign w:val="center"/>
          </w:tcPr>
          <w:p w14:paraId="34904C0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0.046</w:t>
            </w:r>
          </w:p>
        </w:tc>
        <w:tc>
          <w:tcPr>
            <w:tcW w:w="1555" w:type="pct"/>
            <w:tcBorders>
              <w:top w:val="single" w:color="auto" w:sz="4" w:space="0"/>
              <w:left w:val="single" w:color="auto" w:sz="4" w:space="0"/>
              <w:bottom w:val="single" w:color="auto" w:sz="4" w:space="0"/>
              <w:right w:val="single" w:color="auto" w:sz="12" w:space="0"/>
            </w:tcBorders>
            <w:vAlign w:val="center"/>
          </w:tcPr>
          <w:p w14:paraId="3A37F98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3.0694</w:t>
            </w:r>
          </w:p>
        </w:tc>
      </w:tr>
      <w:tr w14:paraId="23D89B9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2290FAB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1400.0</w:t>
            </w:r>
          </w:p>
        </w:tc>
        <w:tc>
          <w:tcPr>
            <w:tcW w:w="1682" w:type="pct"/>
            <w:tcBorders>
              <w:top w:val="single" w:color="auto" w:sz="4" w:space="0"/>
              <w:left w:val="single" w:color="auto" w:sz="4" w:space="0"/>
              <w:bottom w:val="single" w:color="auto" w:sz="4" w:space="0"/>
              <w:right w:val="single" w:color="auto" w:sz="4" w:space="0"/>
            </w:tcBorders>
            <w:vAlign w:val="center"/>
          </w:tcPr>
          <w:p w14:paraId="0063D6B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0.041</w:t>
            </w:r>
          </w:p>
        </w:tc>
        <w:tc>
          <w:tcPr>
            <w:tcW w:w="1555" w:type="pct"/>
            <w:tcBorders>
              <w:top w:val="single" w:color="auto" w:sz="4" w:space="0"/>
              <w:left w:val="single" w:color="auto" w:sz="4" w:space="0"/>
              <w:bottom w:val="single" w:color="auto" w:sz="4" w:space="0"/>
              <w:right w:val="single" w:color="auto" w:sz="12" w:space="0"/>
            </w:tcBorders>
            <w:vAlign w:val="center"/>
          </w:tcPr>
          <w:p w14:paraId="1E51211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2.7397</w:t>
            </w:r>
          </w:p>
        </w:tc>
      </w:tr>
      <w:tr w14:paraId="78AB7C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5B4658E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1600.0</w:t>
            </w:r>
          </w:p>
        </w:tc>
        <w:tc>
          <w:tcPr>
            <w:tcW w:w="1682" w:type="pct"/>
            <w:tcBorders>
              <w:top w:val="single" w:color="auto" w:sz="4" w:space="0"/>
              <w:left w:val="single" w:color="auto" w:sz="4" w:space="0"/>
              <w:bottom w:val="single" w:color="auto" w:sz="4" w:space="0"/>
              <w:right w:val="single" w:color="auto" w:sz="4" w:space="0"/>
            </w:tcBorders>
            <w:vAlign w:val="center"/>
          </w:tcPr>
          <w:p w14:paraId="6A8B56A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0.037</w:t>
            </w:r>
          </w:p>
        </w:tc>
        <w:tc>
          <w:tcPr>
            <w:tcW w:w="1555" w:type="pct"/>
            <w:tcBorders>
              <w:top w:val="single" w:color="auto" w:sz="4" w:space="0"/>
              <w:left w:val="single" w:color="auto" w:sz="4" w:space="0"/>
              <w:bottom w:val="single" w:color="auto" w:sz="4" w:space="0"/>
              <w:right w:val="single" w:color="auto" w:sz="12" w:space="0"/>
            </w:tcBorders>
            <w:vAlign w:val="center"/>
          </w:tcPr>
          <w:p w14:paraId="088114B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2.4721</w:t>
            </w:r>
          </w:p>
        </w:tc>
      </w:tr>
      <w:tr w14:paraId="4AEC49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723466E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1682" w:type="pct"/>
            <w:tcBorders>
              <w:top w:val="single" w:color="auto" w:sz="4" w:space="0"/>
              <w:left w:val="single" w:color="auto" w:sz="4" w:space="0"/>
              <w:bottom w:val="single" w:color="auto" w:sz="4" w:space="0"/>
              <w:right w:val="single" w:color="auto" w:sz="4" w:space="0"/>
            </w:tcBorders>
            <w:vAlign w:val="center"/>
          </w:tcPr>
          <w:p w14:paraId="0364C95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0.034</w:t>
            </w:r>
          </w:p>
        </w:tc>
        <w:tc>
          <w:tcPr>
            <w:tcW w:w="1555" w:type="pct"/>
            <w:tcBorders>
              <w:top w:val="single" w:color="auto" w:sz="4" w:space="0"/>
              <w:left w:val="single" w:color="auto" w:sz="4" w:space="0"/>
              <w:bottom w:val="single" w:color="auto" w:sz="4" w:space="0"/>
              <w:right w:val="single" w:color="auto" w:sz="12" w:space="0"/>
            </w:tcBorders>
            <w:vAlign w:val="center"/>
          </w:tcPr>
          <w:p w14:paraId="6C834C8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2.2402</w:t>
            </w:r>
          </w:p>
        </w:tc>
      </w:tr>
      <w:tr w14:paraId="7948FC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559D87D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2000.0</w:t>
            </w:r>
          </w:p>
        </w:tc>
        <w:tc>
          <w:tcPr>
            <w:tcW w:w="1682" w:type="pct"/>
            <w:tcBorders>
              <w:top w:val="single" w:color="auto" w:sz="4" w:space="0"/>
              <w:left w:val="single" w:color="auto" w:sz="4" w:space="0"/>
              <w:bottom w:val="single" w:color="auto" w:sz="4" w:space="0"/>
              <w:right w:val="single" w:color="auto" w:sz="4" w:space="0"/>
            </w:tcBorders>
            <w:vAlign w:val="center"/>
          </w:tcPr>
          <w:p w14:paraId="7474A93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0.031</w:t>
            </w:r>
          </w:p>
        </w:tc>
        <w:tc>
          <w:tcPr>
            <w:tcW w:w="1555" w:type="pct"/>
            <w:tcBorders>
              <w:top w:val="single" w:color="auto" w:sz="4" w:space="0"/>
              <w:left w:val="single" w:color="auto" w:sz="4" w:space="0"/>
              <w:bottom w:val="single" w:color="auto" w:sz="4" w:space="0"/>
              <w:right w:val="single" w:color="auto" w:sz="12" w:space="0"/>
            </w:tcBorders>
            <w:vAlign w:val="center"/>
          </w:tcPr>
          <w:p w14:paraId="4CF894F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2.0379</w:t>
            </w:r>
          </w:p>
        </w:tc>
      </w:tr>
      <w:tr w14:paraId="677097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1A4BC5C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2500.0</w:t>
            </w:r>
          </w:p>
        </w:tc>
        <w:tc>
          <w:tcPr>
            <w:tcW w:w="1682" w:type="pct"/>
            <w:tcBorders>
              <w:top w:val="single" w:color="auto" w:sz="4" w:space="0"/>
              <w:left w:val="single" w:color="auto" w:sz="4" w:space="0"/>
              <w:bottom w:val="single" w:color="auto" w:sz="4" w:space="0"/>
              <w:right w:val="single" w:color="auto" w:sz="4" w:space="0"/>
            </w:tcBorders>
            <w:vAlign w:val="center"/>
          </w:tcPr>
          <w:p w14:paraId="72DA502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0.025</w:t>
            </w:r>
          </w:p>
        </w:tc>
        <w:tc>
          <w:tcPr>
            <w:tcW w:w="1555" w:type="pct"/>
            <w:tcBorders>
              <w:top w:val="single" w:color="auto" w:sz="4" w:space="0"/>
              <w:left w:val="single" w:color="auto" w:sz="4" w:space="0"/>
              <w:bottom w:val="single" w:color="auto" w:sz="4" w:space="0"/>
              <w:right w:val="single" w:color="auto" w:sz="12" w:space="0"/>
            </w:tcBorders>
            <w:vAlign w:val="center"/>
          </w:tcPr>
          <w:p w14:paraId="086B540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1.6383</w:t>
            </w:r>
          </w:p>
        </w:tc>
      </w:tr>
      <w:tr w14:paraId="47ED6E3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662B836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3000.0</w:t>
            </w:r>
          </w:p>
        </w:tc>
        <w:tc>
          <w:tcPr>
            <w:tcW w:w="1682" w:type="pct"/>
            <w:tcBorders>
              <w:top w:val="single" w:color="auto" w:sz="4" w:space="0"/>
              <w:left w:val="single" w:color="auto" w:sz="4" w:space="0"/>
              <w:bottom w:val="single" w:color="auto" w:sz="4" w:space="0"/>
              <w:right w:val="single" w:color="auto" w:sz="4" w:space="0"/>
            </w:tcBorders>
            <w:vAlign w:val="center"/>
          </w:tcPr>
          <w:p w14:paraId="5D563F0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0.020</w:t>
            </w:r>
          </w:p>
        </w:tc>
        <w:tc>
          <w:tcPr>
            <w:tcW w:w="1555" w:type="pct"/>
            <w:tcBorders>
              <w:top w:val="single" w:color="auto" w:sz="4" w:space="0"/>
              <w:left w:val="single" w:color="auto" w:sz="4" w:space="0"/>
              <w:bottom w:val="single" w:color="auto" w:sz="4" w:space="0"/>
              <w:right w:val="single" w:color="auto" w:sz="12" w:space="0"/>
            </w:tcBorders>
            <w:vAlign w:val="center"/>
          </w:tcPr>
          <w:p w14:paraId="06DA3AE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1.3511</w:t>
            </w:r>
          </w:p>
        </w:tc>
      </w:tr>
      <w:tr w14:paraId="781138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599BBAF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3500.0</w:t>
            </w:r>
          </w:p>
        </w:tc>
        <w:tc>
          <w:tcPr>
            <w:tcW w:w="1682" w:type="pct"/>
            <w:tcBorders>
              <w:top w:val="single" w:color="auto" w:sz="4" w:space="0"/>
              <w:left w:val="single" w:color="auto" w:sz="4" w:space="0"/>
              <w:bottom w:val="single" w:color="auto" w:sz="4" w:space="0"/>
              <w:right w:val="single" w:color="auto" w:sz="4" w:space="0"/>
            </w:tcBorders>
            <w:vAlign w:val="center"/>
          </w:tcPr>
          <w:p w14:paraId="182ECBE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0.017</w:t>
            </w:r>
          </w:p>
        </w:tc>
        <w:tc>
          <w:tcPr>
            <w:tcW w:w="1555" w:type="pct"/>
            <w:tcBorders>
              <w:top w:val="single" w:color="auto" w:sz="4" w:space="0"/>
              <w:left w:val="single" w:color="auto" w:sz="4" w:space="0"/>
              <w:bottom w:val="single" w:color="auto" w:sz="4" w:space="0"/>
              <w:right w:val="single" w:color="auto" w:sz="12" w:space="0"/>
            </w:tcBorders>
            <w:vAlign w:val="center"/>
          </w:tcPr>
          <w:p w14:paraId="5530129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1.1513</w:t>
            </w:r>
          </w:p>
        </w:tc>
      </w:tr>
      <w:tr w14:paraId="05BEE3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66E9BAA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4000.0</w:t>
            </w:r>
          </w:p>
        </w:tc>
        <w:tc>
          <w:tcPr>
            <w:tcW w:w="1682" w:type="pct"/>
            <w:tcBorders>
              <w:top w:val="single" w:color="auto" w:sz="4" w:space="0"/>
              <w:left w:val="single" w:color="auto" w:sz="4" w:space="0"/>
              <w:bottom w:val="single" w:color="auto" w:sz="4" w:space="0"/>
              <w:right w:val="single" w:color="auto" w:sz="4" w:space="0"/>
            </w:tcBorders>
            <w:vAlign w:val="center"/>
          </w:tcPr>
          <w:p w14:paraId="0AF24E1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0.015</w:t>
            </w:r>
          </w:p>
        </w:tc>
        <w:tc>
          <w:tcPr>
            <w:tcW w:w="1555" w:type="pct"/>
            <w:tcBorders>
              <w:top w:val="single" w:color="auto" w:sz="4" w:space="0"/>
              <w:left w:val="single" w:color="auto" w:sz="4" w:space="0"/>
              <w:bottom w:val="single" w:color="auto" w:sz="4" w:space="0"/>
              <w:right w:val="single" w:color="auto" w:sz="12" w:space="0"/>
            </w:tcBorders>
            <w:vAlign w:val="center"/>
          </w:tcPr>
          <w:p w14:paraId="0B0BBD6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1.0081</w:t>
            </w:r>
          </w:p>
        </w:tc>
      </w:tr>
      <w:tr w14:paraId="7695AF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5D81B24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4500.0</w:t>
            </w:r>
          </w:p>
        </w:tc>
        <w:tc>
          <w:tcPr>
            <w:tcW w:w="1682" w:type="pct"/>
            <w:tcBorders>
              <w:top w:val="single" w:color="auto" w:sz="4" w:space="0"/>
              <w:left w:val="single" w:color="auto" w:sz="4" w:space="0"/>
              <w:bottom w:val="single" w:color="auto" w:sz="4" w:space="0"/>
              <w:right w:val="single" w:color="auto" w:sz="4" w:space="0"/>
            </w:tcBorders>
            <w:vAlign w:val="center"/>
          </w:tcPr>
          <w:p w14:paraId="0A5E1E4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0.013</w:t>
            </w:r>
          </w:p>
        </w:tc>
        <w:tc>
          <w:tcPr>
            <w:tcW w:w="1555" w:type="pct"/>
            <w:tcBorders>
              <w:top w:val="single" w:color="auto" w:sz="4" w:space="0"/>
              <w:left w:val="single" w:color="auto" w:sz="4" w:space="0"/>
              <w:bottom w:val="single" w:color="auto" w:sz="4" w:space="0"/>
              <w:right w:val="single" w:color="auto" w:sz="12" w:space="0"/>
            </w:tcBorders>
            <w:vAlign w:val="center"/>
          </w:tcPr>
          <w:p w14:paraId="0166F92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0.8921</w:t>
            </w:r>
          </w:p>
        </w:tc>
      </w:tr>
      <w:tr w14:paraId="1F8662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7730AB1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5000.0</w:t>
            </w:r>
          </w:p>
        </w:tc>
        <w:tc>
          <w:tcPr>
            <w:tcW w:w="1682" w:type="pct"/>
            <w:tcBorders>
              <w:top w:val="single" w:color="auto" w:sz="4" w:space="0"/>
              <w:left w:val="single" w:color="auto" w:sz="4" w:space="0"/>
              <w:bottom w:val="single" w:color="auto" w:sz="4" w:space="0"/>
              <w:right w:val="single" w:color="auto" w:sz="4" w:space="0"/>
            </w:tcBorders>
            <w:vAlign w:val="center"/>
          </w:tcPr>
          <w:p w14:paraId="5299665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0.012</w:t>
            </w:r>
          </w:p>
        </w:tc>
        <w:tc>
          <w:tcPr>
            <w:tcW w:w="1555" w:type="pct"/>
            <w:tcBorders>
              <w:top w:val="single" w:color="auto" w:sz="4" w:space="0"/>
              <w:left w:val="single" w:color="auto" w:sz="4" w:space="0"/>
              <w:bottom w:val="single" w:color="auto" w:sz="4" w:space="0"/>
              <w:right w:val="single" w:color="auto" w:sz="12" w:space="0"/>
            </w:tcBorders>
            <w:vAlign w:val="center"/>
          </w:tcPr>
          <w:p w14:paraId="7D6A090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0.7966</w:t>
            </w:r>
          </w:p>
        </w:tc>
      </w:tr>
      <w:tr w14:paraId="7803E30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4E2FDBA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10000.0</w:t>
            </w:r>
          </w:p>
        </w:tc>
        <w:tc>
          <w:tcPr>
            <w:tcW w:w="1682" w:type="pct"/>
            <w:tcBorders>
              <w:top w:val="single" w:color="auto" w:sz="4" w:space="0"/>
              <w:left w:val="single" w:color="auto" w:sz="4" w:space="0"/>
              <w:bottom w:val="single" w:color="auto" w:sz="4" w:space="0"/>
              <w:right w:val="single" w:color="auto" w:sz="4" w:space="0"/>
            </w:tcBorders>
            <w:vAlign w:val="center"/>
          </w:tcPr>
          <w:p w14:paraId="3AF8215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0.005</w:t>
            </w:r>
          </w:p>
        </w:tc>
        <w:tc>
          <w:tcPr>
            <w:tcW w:w="1555" w:type="pct"/>
            <w:tcBorders>
              <w:top w:val="single" w:color="auto" w:sz="4" w:space="0"/>
              <w:left w:val="single" w:color="auto" w:sz="4" w:space="0"/>
              <w:bottom w:val="single" w:color="auto" w:sz="4" w:space="0"/>
              <w:right w:val="single" w:color="auto" w:sz="12" w:space="0"/>
            </w:tcBorders>
            <w:vAlign w:val="center"/>
          </w:tcPr>
          <w:p w14:paraId="2848EA4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0.3521</w:t>
            </w:r>
          </w:p>
        </w:tc>
      </w:tr>
      <w:tr w14:paraId="0D9FF6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0F76B75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11000.0</w:t>
            </w:r>
          </w:p>
        </w:tc>
        <w:tc>
          <w:tcPr>
            <w:tcW w:w="1682" w:type="pct"/>
            <w:tcBorders>
              <w:top w:val="single" w:color="auto" w:sz="4" w:space="0"/>
              <w:left w:val="single" w:color="auto" w:sz="4" w:space="0"/>
              <w:bottom w:val="single" w:color="auto" w:sz="4" w:space="0"/>
              <w:right w:val="single" w:color="auto" w:sz="4" w:space="0"/>
            </w:tcBorders>
            <w:vAlign w:val="center"/>
          </w:tcPr>
          <w:p w14:paraId="178A455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0.005</w:t>
            </w:r>
          </w:p>
        </w:tc>
        <w:tc>
          <w:tcPr>
            <w:tcW w:w="1555" w:type="pct"/>
            <w:tcBorders>
              <w:top w:val="single" w:color="auto" w:sz="4" w:space="0"/>
              <w:left w:val="single" w:color="auto" w:sz="4" w:space="0"/>
              <w:bottom w:val="single" w:color="auto" w:sz="4" w:space="0"/>
              <w:right w:val="single" w:color="auto" w:sz="12" w:space="0"/>
            </w:tcBorders>
            <w:vAlign w:val="center"/>
          </w:tcPr>
          <w:p w14:paraId="312C7AE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0.3124</w:t>
            </w:r>
          </w:p>
        </w:tc>
      </w:tr>
      <w:tr w14:paraId="5F396D9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48FB035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12000.0</w:t>
            </w:r>
          </w:p>
        </w:tc>
        <w:tc>
          <w:tcPr>
            <w:tcW w:w="1682" w:type="pct"/>
            <w:tcBorders>
              <w:top w:val="single" w:color="auto" w:sz="4" w:space="0"/>
              <w:left w:val="single" w:color="auto" w:sz="4" w:space="0"/>
              <w:bottom w:val="single" w:color="auto" w:sz="4" w:space="0"/>
              <w:right w:val="single" w:color="auto" w:sz="4" w:space="0"/>
            </w:tcBorders>
            <w:vAlign w:val="center"/>
          </w:tcPr>
          <w:p w14:paraId="7600CF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0.004</w:t>
            </w:r>
          </w:p>
        </w:tc>
        <w:tc>
          <w:tcPr>
            <w:tcW w:w="1555" w:type="pct"/>
            <w:tcBorders>
              <w:top w:val="single" w:color="auto" w:sz="4" w:space="0"/>
              <w:left w:val="single" w:color="auto" w:sz="4" w:space="0"/>
              <w:bottom w:val="single" w:color="auto" w:sz="4" w:space="0"/>
              <w:right w:val="single" w:color="auto" w:sz="12" w:space="0"/>
            </w:tcBorders>
            <w:vAlign w:val="center"/>
          </w:tcPr>
          <w:p w14:paraId="08E2D37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0.2794</w:t>
            </w:r>
          </w:p>
        </w:tc>
      </w:tr>
      <w:tr w14:paraId="7A0D30A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7099193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13000.0</w:t>
            </w:r>
          </w:p>
        </w:tc>
        <w:tc>
          <w:tcPr>
            <w:tcW w:w="1682" w:type="pct"/>
            <w:tcBorders>
              <w:top w:val="single" w:color="auto" w:sz="4" w:space="0"/>
              <w:left w:val="single" w:color="auto" w:sz="4" w:space="0"/>
              <w:bottom w:val="single" w:color="auto" w:sz="4" w:space="0"/>
              <w:right w:val="single" w:color="auto" w:sz="4" w:space="0"/>
            </w:tcBorders>
            <w:vAlign w:val="center"/>
          </w:tcPr>
          <w:p w14:paraId="2188E10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0.004</w:t>
            </w:r>
          </w:p>
        </w:tc>
        <w:tc>
          <w:tcPr>
            <w:tcW w:w="1555" w:type="pct"/>
            <w:tcBorders>
              <w:top w:val="single" w:color="auto" w:sz="4" w:space="0"/>
              <w:left w:val="single" w:color="auto" w:sz="4" w:space="0"/>
              <w:bottom w:val="single" w:color="auto" w:sz="4" w:space="0"/>
              <w:right w:val="single" w:color="auto" w:sz="12" w:space="0"/>
            </w:tcBorders>
            <w:vAlign w:val="center"/>
          </w:tcPr>
          <w:p w14:paraId="03F0226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0.2519</w:t>
            </w:r>
          </w:p>
        </w:tc>
      </w:tr>
      <w:tr w14:paraId="341A15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trPr>
        <w:tc>
          <w:tcPr>
            <w:tcW w:w="1761" w:type="pct"/>
            <w:tcBorders>
              <w:top w:val="single" w:color="auto" w:sz="4" w:space="0"/>
              <w:left w:val="single" w:color="auto" w:sz="12" w:space="0"/>
              <w:bottom w:val="single" w:color="auto" w:sz="4" w:space="0"/>
              <w:right w:val="single" w:color="auto" w:sz="4" w:space="0"/>
            </w:tcBorders>
            <w:vAlign w:val="center"/>
          </w:tcPr>
          <w:p w14:paraId="3CC5D9D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14000.0</w:t>
            </w:r>
          </w:p>
        </w:tc>
        <w:tc>
          <w:tcPr>
            <w:tcW w:w="1682" w:type="pct"/>
            <w:tcBorders>
              <w:top w:val="single" w:color="auto" w:sz="4" w:space="0"/>
              <w:left w:val="single" w:color="auto" w:sz="4" w:space="0"/>
              <w:bottom w:val="single" w:color="auto" w:sz="4" w:space="0"/>
              <w:right w:val="single" w:color="auto" w:sz="4" w:space="0"/>
            </w:tcBorders>
            <w:vAlign w:val="center"/>
          </w:tcPr>
          <w:p w14:paraId="7551052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0.003</w:t>
            </w:r>
          </w:p>
        </w:tc>
        <w:tc>
          <w:tcPr>
            <w:tcW w:w="1555" w:type="pct"/>
            <w:tcBorders>
              <w:top w:val="single" w:color="auto" w:sz="4" w:space="0"/>
              <w:left w:val="single" w:color="auto" w:sz="4" w:space="0"/>
              <w:bottom w:val="single" w:color="auto" w:sz="4" w:space="0"/>
              <w:right w:val="single" w:color="auto" w:sz="12" w:space="0"/>
            </w:tcBorders>
            <w:vAlign w:val="center"/>
          </w:tcPr>
          <w:p w14:paraId="6AE63E1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0.2288</w:t>
            </w:r>
          </w:p>
        </w:tc>
      </w:tr>
      <w:tr w14:paraId="230340B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19BF690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15000.0</w:t>
            </w:r>
          </w:p>
        </w:tc>
        <w:tc>
          <w:tcPr>
            <w:tcW w:w="1682" w:type="pct"/>
            <w:tcBorders>
              <w:top w:val="single" w:color="auto" w:sz="4" w:space="0"/>
              <w:left w:val="single" w:color="auto" w:sz="4" w:space="0"/>
              <w:bottom w:val="single" w:color="auto" w:sz="4" w:space="0"/>
              <w:right w:val="single" w:color="auto" w:sz="4" w:space="0"/>
            </w:tcBorders>
            <w:vAlign w:val="center"/>
          </w:tcPr>
          <w:p w14:paraId="04DCD2A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0.003</w:t>
            </w:r>
          </w:p>
        </w:tc>
        <w:tc>
          <w:tcPr>
            <w:tcW w:w="1555" w:type="pct"/>
            <w:tcBorders>
              <w:top w:val="single" w:color="auto" w:sz="4" w:space="0"/>
              <w:left w:val="single" w:color="auto" w:sz="4" w:space="0"/>
              <w:bottom w:val="single" w:color="auto" w:sz="4" w:space="0"/>
              <w:right w:val="single" w:color="auto" w:sz="12" w:space="0"/>
            </w:tcBorders>
            <w:vAlign w:val="center"/>
          </w:tcPr>
          <w:p w14:paraId="3D96875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0.2089</w:t>
            </w:r>
          </w:p>
        </w:tc>
      </w:tr>
      <w:tr w14:paraId="333CED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690534F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20000.0</w:t>
            </w:r>
          </w:p>
        </w:tc>
        <w:tc>
          <w:tcPr>
            <w:tcW w:w="1682" w:type="pct"/>
            <w:tcBorders>
              <w:top w:val="single" w:color="auto" w:sz="4" w:space="0"/>
              <w:left w:val="single" w:color="auto" w:sz="4" w:space="0"/>
              <w:bottom w:val="single" w:color="auto" w:sz="4" w:space="0"/>
              <w:right w:val="single" w:color="auto" w:sz="4" w:space="0"/>
            </w:tcBorders>
            <w:vAlign w:val="center"/>
          </w:tcPr>
          <w:p w14:paraId="263EBC3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0.002</w:t>
            </w:r>
          </w:p>
        </w:tc>
        <w:tc>
          <w:tcPr>
            <w:tcW w:w="1555" w:type="pct"/>
            <w:tcBorders>
              <w:top w:val="single" w:color="auto" w:sz="4" w:space="0"/>
              <w:left w:val="single" w:color="auto" w:sz="4" w:space="0"/>
              <w:bottom w:val="single" w:color="auto" w:sz="4" w:space="0"/>
              <w:right w:val="single" w:color="auto" w:sz="12" w:space="0"/>
            </w:tcBorders>
            <w:vAlign w:val="center"/>
          </w:tcPr>
          <w:p w14:paraId="71D2A9B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0.1449</w:t>
            </w:r>
          </w:p>
        </w:tc>
      </w:tr>
      <w:tr w14:paraId="3F7B4B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0C6546E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25000.0</w:t>
            </w:r>
          </w:p>
        </w:tc>
        <w:tc>
          <w:tcPr>
            <w:tcW w:w="1682" w:type="pct"/>
            <w:tcBorders>
              <w:top w:val="single" w:color="auto" w:sz="4" w:space="0"/>
              <w:left w:val="single" w:color="auto" w:sz="4" w:space="0"/>
              <w:bottom w:val="single" w:color="auto" w:sz="4" w:space="0"/>
              <w:right w:val="single" w:color="auto" w:sz="4" w:space="0"/>
            </w:tcBorders>
            <w:vAlign w:val="center"/>
          </w:tcPr>
          <w:p w14:paraId="1F59A0E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0.002</w:t>
            </w:r>
          </w:p>
        </w:tc>
        <w:tc>
          <w:tcPr>
            <w:tcW w:w="1555" w:type="pct"/>
            <w:tcBorders>
              <w:top w:val="single" w:color="auto" w:sz="4" w:space="0"/>
              <w:left w:val="single" w:color="auto" w:sz="4" w:space="0"/>
              <w:bottom w:val="single" w:color="auto" w:sz="4" w:space="0"/>
              <w:right w:val="single" w:color="auto" w:sz="12" w:space="0"/>
            </w:tcBorders>
            <w:vAlign w:val="center"/>
          </w:tcPr>
          <w:p w14:paraId="1D033D5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0.1084</w:t>
            </w:r>
          </w:p>
        </w:tc>
      </w:tr>
      <w:tr w14:paraId="67DFABF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47BD547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下风向最大浓度</w:t>
            </w:r>
          </w:p>
        </w:tc>
        <w:tc>
          <w:tcPr>
            <w:tcW w:w="1682" w:type="pct"/>
            <w:tcBorders>
              <w:top w:val="single" w:color="auto" w:sz="4" w:space="0"/>
              <w:left w:val="single" w:color="auto" w:sz="4" w:space="0"/>
              <w:bottom w:val="single" w:color="auto" w:sz="4" w:space="0"/>
              <w:right w:val="single" w:color="auto" w:sz="4" w:space="0"/>
            </w:tcBorders>
            <w:vAlign w:val="center"/>
          </w:tcPr>
          <w:p w14:paraId="425F769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0.126</w:t>
            </w:r>
          </w:p>
        </w:tc>
        <w:tc>
          <w:tcPr>
            <w:tcW w:w="1555" w:type="pct"/>
            <w:tcBorders>
              <w:top w:val="single" w:color="auto" w:sz="4" w:space="0"/>
              <w:left w:val="single" w:color="auto" w:sz="4" w:space="0"/>
              <w:bottom w:val="single" w:color="auto" w:sz="4" w:space="0"/>
              <w:right w:val="single" w:color="auto" w:sz="12" w:space="0"/>
            </w:tcBorders>
            <w:vAlign w:val="center"/>
          </w:tcPr>
          <w:p w14:paraId="6868815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8.4140</w:t>
            </w:r>
          </w:p>
        </w:tc>
      </w:tr>
      <w:tr w14:paraId="0B4DDE1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4" w:space="0"/>
              <w:right w:val="single" w:color="auto" w:sz="4" w:space="0"/>
            </w:tcBorders>
            <w:vAlign w:val="center"/>
          </w:tcPr>
          <w:p w14:paraId="7E19C7C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下风向最大浓度出现距离</w:t>
            </w:r>
          </w:p>
        </w:tc>
        <w:tc>
          <w:tcPr>
            <w:tcW w:w="1682" w:type="pct"/>
            <w:tcBorders>
              <w:top w:val="single" w:color="auto" w:sz="4" w:space="0"/>
              <w:left w:val="single" w:color="auto" w:sz="4" w:space="0"/>
              <w:bottom w:val="single" w:color="auto" w:sz="4" w:space="0"/>
              <w:right w:val="single" w:color="auto" w:sz="4" w:space="0"/>
            </w:tcBorders>
            <w:vAlign w:val="center"/>
          </w:tcPr>
          <w:p w14:paraId="571738C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407.0</w:t>
            </w:r>
          </w:p>
        </w:tc>
        <w:tc>
          <w:tcPr>
            <w:tcW w:w="1555" w:type="pct"/>
            <w:tcBorders>
              <w:top w:val="single" w:color="auto" w:sz="4" w:space="0"/>
              <w:left w:val="single" w:color="auto" w:sz="4" w:space="0"/>
              <w:bottom w:val="single" w:color="auto" w:sz="4" w:space="0"/>
              <w:right w:val="single" w:color="auto" w:sz="12" w:space="0"/>
            </w:tcBorders>
            <w:vAlign w:val="center"/>
          </w:tcPr>
          <w:p w14:paraId="4DFF336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407.0</w:t>
            </w:r>
          </w:p>
        </w:tc>
      </w:tr>
      <w:tr w14:paraId="6A75AB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40" w:hRule="atLeast"/>
        </w:trPr>
        <w:tc>
          <w:tcPr>
            <w:tcW w:w="1761" w:type="pct"/>
            <w:tcBorders>
              <w:top w:val="single" w:color="auto" w:sz="4" w:space="0"/>
              <w:left w:val="single" w:color="auto" w:sz="12" w:space="0"/>
              <w:bottom w:val="single" w:color="auto" w:sz="12" w:space="0"/>
              <w:right w:val="single" w:color="auto" w:sz="4" w:space="0"/>
            </w:tcBorders>
            <w:vAlign w:val="center"/>
          </w:tcPr>
          <w:p w14:paraId="1BFE116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D10%最远距离</w:t>
            </w:r>
          </w:p>
        </w:tc>
        <w:tc>
          <w:tcPr>
            <w:tcW w:w="1682" w:type="pct"/>
            <w:tcBorders>
              <w:top w:val="single" w:color="auto" w:sz="4" w:space="0"/>
              <w:left w:val="single" w:color="auto" w:sz="4" w:space="0"/>
              <w:bottom w:val="single" w:color="auto" w:sz="12" w:space="0"/>
              <w:right w:val="single" w:color="auto" w:sz="4" w:space="0"/>
            </w:tcBorders>
            <w:vAlign w:val="center"/>
          </w:tcPr>
          <w:p w14:paraId="45A3862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555" w:type="pct"/>
            <w:tcBorders>
              <w:top w:val="single" w:color="auto" w:sz="4" w:space="0"/>
              <w:left w:val="single" w:color="auto" w:sz="4" w:space="0"/>
              <w:bottom w:val="single" w:color="auto" w:sz="12" w:space="0"/>
              <w:right w:val="single" w:color="auto" w:sz="12" w:space="0"/>
            </w:tcBorders>
            <w:vAlign w:val="center"/>
          </w:tcPr>
          <w:p w14:paraId="13314EE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251FAE8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w:t>
      </w:r>
      <w:r>
        <w:rPr>
          <w:rFonts w:hint="eastAsia" w:ascii="Times New Roman" w:hAnsi="Times New Roman" w:cs="Times New Roman"/>
          <w:b/>
          <w:bCs/>
          <w:color w:val="auto"/>
          <w:u w:val="none"/>
          <w:lang w:val="en-US" w:eastAsia="zh-CN"/>
        </w:rPr>
        <w:t>1</w:t>
      </w:r>
      <w:r>
        <w:rPr>
          <w:rFonts w:hint="eastAsia" w:cs="Times New Roman"/>
          <w:b/>
          <w:bCs/>
          <w:color w:val="auto"/>
          <w:u w:val="none"/>
          <w:lang w:val="en-US" w:eastAsia="zh-CN"/>
        </w:rPr>
        <w:t>2</w:t>
      </w:r>
      <w:r>
        <w:rPr>
          <w:rFonts w:hint="default" w:ascii="Times New Roman" w:hAnsi="Times New Roman" w:cs="Times New Roman"/>
          <w:b/>
          <w:bCs/>
          <w:color w:val="auto"/>
          <w:u w:val="none"/>
          <w:lang w:val="zh-CN"/>
        </w:rPr>
        <w:t xml:space="preserve">  ARESCREEN估算模型面源计算结果一览表</w:t>
      </w:r>
    </w:p>
    <w:tbl>
      <w:tblPr>
        <w:tblStyle w:val="30"/>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9"/>
        <w:gridCol w:w="1326"/>
        <w:gridCol w:w="1227"/>
        <w:gridCol w:w="1327"/>
        <w:gridCol w:w="1227"/>
        <w:gridCol w:w="1327"/>
        <w:gridCol w:w="1236"/>
      </w:tblGrid>
      <w:tr w14:paraId="0ED1B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trPr>
        <w:tc>
          <w:tcPr>
            <w:tcW w:w="767" w:type="pct"/>
            <w:vMerge w:val="restart"/>
            <w:tcBorders>
              <w:tl2br w:val="nil"/>
              <w:tr2bl w:val="nil"/>
            </w:tcBorders>
            <w:vAlign w:val="center"/>
          </w:tcPr>
          <w:p w14:paraId="1790272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下风向距离</w:t>
            </w:r>
          </w:p>
        </w:tc>
        <w:tc>
          <w:tcPr>
            <w:tcW w:w="4232" w:type="pct"/>
            <w:gridSpan w:val="6"/>
            <w:tcBorders>
              <w:tl2br w:val="nil"/>
              <w:tr2bl w:val="nil"/>
            </w:tcBorders>
            <w:vAlign w:val="center"/>
          </w:tcPr>
          <w:p w14:paraId="76888D2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矩形面源</w:t>
            </w:r>
          </w:p>
        </w:tc>
      </w:tr>
      <w:tr w14:paraId="17337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vMerge w:val="continue"/>
            <w:tcBorders>
              <w:tl2br w:val="nil"/>
              <w:tr2bl w:val="nil"/>
            </w:tcBorders>
            <w:vAlign w:val="center"/>
          </w:tcPr>
          <w:p w14:paraId="65CF013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p>
        </w:tc>
        <w:tc>
          <w:tcPr>
            <w:tcW w:w="732" w:type="pct"/>
            <w:tcBorders>
              <w:tl2br w:val="nil"/>
              <w:tr2bl w:val="nil"/>
            </w:tcBorders>
            <w:vAlign w:val="center"/>
          </w:tcPr>
          <w:p w14:paraId="204C8AB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硫酸浓度(μg/m³)</w:t>
            </w:r>
          </w:p>
        </w:tc>
        <w:tc>
          <w:tcPr>
            <w:tcW w:w="677" w:type="pct"/>
            <w:tcBorders>
              <w:tl2br w:val="nil"/>
              <w:tr2bl w:val="nil"/>
            </w:tcBorders>
            <w:vAlign w:val="center"/>
          </w:tcPr>
          <w:p w14:paraId="5F5943D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硫酸占标率(%)</w:t>
            </w:r>
          </w:p>
        </w:tc>
        <w:tc>
          <w:tcPr>
            <w:tcW w:w="732" w:type="pct"/>
            <w:tcBorders>
              <w:tl2br w:val="nil"/>
              <w:tr2bl w:val="nil"/>
            </w:tcBorders>
            <w:vAlign w:val="center"/>
          </w:tcPr>
          <w:p w14:paraId="3008699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NOx浓度(μg/m³)</w:t>
            </w:r>
          </w:p>
        </w:tc>
        <w:tc>
          <w:tcPr>
            <w:tcW w:w="677" w:type="pct"/>
            <w:tcBorders>
              <w:tl2br w:val="nil"/>
              <w:tr2bl w:val="nil"/>
            </w:tcBorders>
            <w:vAlign w:val="center"/>
          </w:tcPr>
          <w:p w14:paraId="4E2F58C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NOx占标率(%)</w:t>
            </w:r>
          </w:p>
        </w:tc>
        <w:tc>
          <w:tcPr>
            <w:tcW w:w="732" w:type="pct"/>
            <w:tcBorders>
              <w:tl2br w:val="nil"/>
              <w:tr2bl w:val="nil"/>
            </w:tcBorders>
            <w:vAlign w:val="center"/>
          </w:tcPr>
          <w:p w14:paraId="55BACB4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铬酸雾浓度(μg/m³)</w:t>
            </w:r>
          </w:p>
        </w:tc>
        <w:tc>
          <w:tcPr>
            <w:tcW w:w="678" w:type="pct"/>
            <w:tcBorders>
              <w:tl2br w:val="nil"/>
              <w:tr2bl w:val="nil"/>
            </w:tcBorders>
            <w:vAlign w:val="center"/>
          </w:tcPr>
          <w:p w14:paraId="79B98AC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铬酸雾占标率(%)</w:t>
            </w:r>
          </w:p>
        </w:tc>
      </w:tr>
      <w:tr w14:paraId="0C945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4B83B31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w:t>
            </w:r>
          </w:p>
        </w:tc>
        <w:tc>
          <w:tcPr>
            <w:tcW w:w="732" w:type="pct"/>
            <w:tcBorders>
              <w:tl2br w:val="nil"/>
              <w:tr2bl w:val="nil"/>
            </w:tcBorders>
            <w:vAlign w:val="center"/>
          </w:tcPr>
          <w:p w14:paraId="020676E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16.055</w:t>
            </w:r>
          </w:p>
        </w:tc>
        <w:tc>
          <w:tcPr>
            <w:tcW w:w="677" w:type="pct"/>
            <w:tcBorders>
              <w:tl2br w:val="nil"/>
              <w:tr2bl w:val="nil"/>
            </w:tcBorders>
            <w:vAlign w:val="center"/>
          </w:tcPr>
          <w:p w14:paraId="5F03798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5.3517</w:t>
            </w:r>
          </w:p>
        </w:tc>
        <w:tc>
          <w:tcPr>
            <w:tcW w:w="732" w:type="pct"/>
            <w:tcBorders>
              <w:tl2br w:val="nil"/>
              <w:tr2bl w:val="nil"/>
            </w:tcBorders>
            <w:vAlign w:val="center"/>
          </w:tcPr>
          <w:p w14:paraId="700B623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6.879</w:t>
            </w:r>
          </w:p>
        </w:tc>
        <w:tc>
          <w:tcPr>
            <w:tcW w:w="677" w:type="pct"/>
            <w:tcBorders>
              <w:tl2br w:val="nil"/>
              <w:tr2bl w:val="nil"/>
            </w:tcBorders>
            <w:vAlign w:val="center"/>
          </w:tcPr>
          <w:p w14:paraId="4D384F4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2.7515</w:t>
            </w:r>
          </w:p>
        </w:tc>
        <w:tc>
          <w:tcPr>
            <w:tcW w:w="732" w:type="pct"/>
            <w:tcBorders>
              <w:tl2br w:val="nil"/>
              <w:tr2bl w:val="nil"/>
            </w:tcBorders>
            <w:vAlign w:val="center"/>
          </w:tcPr>
          <w:p w14:paraId="391AD37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0.074</w:t>
            </w:r>
          </w:p>
        </w:tc>
        <w:tc>
          <w:tcPr>
            <w:tcW w:w="678" w:type="pct"/>
            <w:tcBorders>
              <w:tl2br w:val="nil"/>
              <w:tr2bl w:val="nil"/>
            </w:tcBorders>
            <w:vAlign w:val="center"/>
          </w:tcPr>
          <w:p w14:paraId="412A4FC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4.9150</w:t>
            </w:r>
          </w:p>
        </w:tc>
      </w:tr>
      <w:tr w14:paraId="29AB80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693F28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w:t>
            </w:r>
          </w:p>
        </w:tc>
        <w:tc>
          <w:tcPr>
            <w:tcW w:w="732" w:type="pct"/>
            <w:tcBorders>
              <w:tl2br w:val="nil"/>
              <w:tr2bl w:val="nil"/>
            </w:tcBorders>
            <w:vAlign w:val="center"/>
          </w:tcPr>
          <w:p w14:paraId="5249EB9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13.506</w:t>
            </w:r>
          </w:p>
        </w:tc>
        <w:tc>
          <w:tcPr>
            <w:tcW w:w="677" w:type="pct"/>
            <w:tcBorders>
              <w:tl2br w:val="nil"/>
              <w:tr2bl w:val="nil"/>
            </w:tcBorders>
            <w:vAlign w:val="center"/>
          </w:tcPr>
          <w:p w14:paraId="7C704F3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4.5020</w:t>
            </w:r>
          </w:p>
        </w:tc>
        <w:tc>
          <w:tcPr>
            <w:tcW w:w="732" w:type="pct"/>
            <w:tcBorders>
              <w:tl2br w:val="nil"/>
              <w:tr2bl w:val="nil"/>
            </w:tcBorders>
            <w:vAlign w:val="center"/>
          </w:tcPr>
          <w:p w14:paraId="1A5F7ED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5.787</w:t>
            </w:r>
          </w:p>
        </w:tc>
        <w:tc>
          <w:tcPr>
            <w:tcW w:w="677" w:type="pct"/>
            <w:tcBorders>
              <w:tl2br w:val="nil"/>
              <w:tr2bl w:val="nil"/>
            </w:tcBorders>
            <w:vAlign w:val="center"/>
          </w:tcPr>
          <w:p w14:paraId="25A51B5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2.3147</w:t>
            </w:r>
          </w:p>
        </w:tc>
        <w:tc>
          <w:tcPr>
            <w:tcW w:w="732" w:type="pct"/>
            <w:tcBorders>
              <w:tl2br w:val="nil"/>
              <w:tr2bl w:val="nil"/>
            </w:tcBorders>
            <w:vAlign w:val="center"/>
          </w:tcPr>
          <w:p w14:paraId="02555ED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0.062</w:t>
            </w:r>
          </w:p>
        </w:tc>
        <w:tc>
          <w:tcPr>
            <w:tcW w:w="678" w:type="pct"/>
            <w:tcBorders>
              <w:tl2br w:val="nil"/>
              <w:tr2bl w:val="nil"/>
            </w:tcBorders>
            <w:vAlign w:val="center"/>
          </w:tcPr>
          <w:p w14:paraId="3725E3A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4.1347</w:t>
            </w:r>
          </w:p>
        </w:tc>
      </w:tr>
      <w:tr w14:paraId="2E62AD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419BAA9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w:t>
            </w:r>
          </w:p>
        </w:tc>
        <w:tc>
          <w:tcPr>
            <w:tcW w:w="732" w:type="pct"/>
            <w:tcBorders>
              <w:tl2br w:val="nil"/>
              <w:tr2bl w:val="nil"/>
            </w:tcBorders>
            <w:vAlign w:val="center"/>
          </w:tcPr>
          <w:p w14:paraId="63F769A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8.185</w:t>
            </w:r>
          </w:p>
        </w:tc>
        <w:tc>
          <w:tcPr>
            <w:tcW w:w="677" w:type="pct"/>
            <w:tcBorders>
              <w:tl2br w:val="nil"/>
              <w:tr2bl w:val="nil"/>
            </w:tcBorders>
            <w:vAlign w:val="center"/>
          </w:tcPr>
          <w:p w14:paraId="566A464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2.7285</w:t>
            </w:r>
          </w:p>
        </w:tc>
        <w:tc>
          <w:tcPr>
            <w:tcW w:w="732" w:type="pct"/>
            <w:tcBorders>
              <w:tl2br w:val="nil"/>
              <w:tr2bl w:val="nil"/>
            </w:tcBorders>
            <w:vAlign w:val="center"/>
          </w:tcPr>
          <w:p w14:paraId="08B2987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3.507</w:t>
            </w:r>
          </w:p>
        </w:tc>
        <w:tc>
          <w:tcPr>
            <w:tcW w:w="677" w:type="pct"/>
            <w:tcBorders>
              <w:tl2br w:val="nil"/>
              <w:tr2bl w:val="nil"/>
            </w:tcBorders>
            <w:vAlign w:val="center"/>
          </w:tcPr>
          <w:p w14:paraId="3FCA13C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1.4028</w:t>
            </w:r>
          </w:p>
        </w:tc>
        <w:tc>
          <w:tcPr>
            <w:tcW w:w="732" w:type="pct"/>
            <w:tcBorders>
              <w:tl2br w:val="nil"/>
              <w:tr2bl w:val="nil"/>
            </w:tcBorders>
            <w:vAlign w:val="center"/>
          </w:tcPr>
          <w:p w14:paraId="698CA01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0.038</w:t>
            </w:r>
          </w:p>
        </w:tc>
        <w:tc>
          <w:tcPr>
            <w:tcW w:w="678" w:type="pct"/>
            <w:tcBorders>
              <w:tl2br w:val="nil"/>
              <w:tr2bl w:val="nil"/>
            </w:tcBorders>
            <w:vAlign w:val="center"/>
          </w:tcPr>
          <w:p w14:paraId="55EF668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2.5059</w:t>
            </w:r>
          </w:p>
        </w:tc>
      </w:tr>
      <w:tr w14:paraId="768FC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35255F9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300.0</w:t>
            </w:r>
          </w:p>
        </w:tc>
        <w:tc>
          <w:tcPr>
            <w:tcW w:w="732" w:type="pct"/>
            <w:tcBorders>
              <w:tl2br w:val="nil"/>
              <w:tr2bl w:val="nil"/>
            </w:tcBorders>
            <w:vAlign w:val="center"/>
          </w:tcPr>
          <w:p w14:paraId="4C961F5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5.667</w:t>
            </w:r>
          </w:p>
        </w:tc>
        <w:tc>
          <w:tcPr>
            <w:tcW w:w="677" w:type="pct"/>
            <w:tcBorders>
              <w:tl2br w:val="nil"/>
              <w:tr2bl w:val="nil"/>
            </w:tcBorders>
            <w:vAlign w:val="center"/>
          </w:tcPr>
          <w:p w14:paraId="22C2320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1.8889</w:t>
            </w:r>
          </w:p>
        </w:tc>
        <w:tc>
          <w:tcPr>
            <w:tcW w:w="732" w:type="pct"/>
            <w:tcBorders>
              <w:tl2br w:val="nil"/>
              <w:tr2bl w:val="nil"/>
            </w:tcBorders>
            <w:vAlign w:val="center"/>
          </w:tcPr>
          <w:p w14:paraId="36CD038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2.428</w:t>
            </w:r>
          </w:p>
        </w:tc>
        <w:tc>
          <w:tcPr>
            <w:tcW w:w="677" w:type="pct"/>
            <w:tcBorders>
              <w:tl2br w:val="nil"/>
              <w:tr2bl w:val="nil"/>
            </w:tcBorders>
            <w:vAlign w:val="center"/>
          </w:tcPr>
          <w:p w14:paraId="5090239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0.9712</w:t>
            </w:r>
          </w:p>
        </w:tc>
        <w:tc>
          <w:tcPr>
            <w:tcW w:w="732" w:type="pct"/>
            <w:tcBorders>
              <w:tl2br w:val="nil"/>
              <w:tr2bl w:val="nil"/>
            </w:tcBorders>
            <w:vAlign w:val="center"/>
          </w:tcPr>
          <w:p w14:paraId="449AF97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0.026</w:t>
            </w:r>
          </w:p>
        </w:tc>
        <w:tc>
          <w:tcPr>
            <w:tcW w:w="678" w:type="pct"/>
            <w:tcBorders>
              <w:tl2br w:val="nil"/>
              <w:tr2bl w:val="nil"/>
            </w:tcBorders>
            <w:vAlign w:val="center"/>
          </w:tcPr>
          <w:p w14:paraId="2844827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1.7348</w:t>
            </w:r>
          </w:p>
        </w:tc>
      </w:tr>
      <w:tr w14:paraId="02E50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51704D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400.0</w:t>
            </w:r>
          </w:p>
        </w:tc>
        <w:tc>
          <w:tcPr>
            <w:tcW w:w="732" w:type="pct"/>
            <w:tcBorders>
              <w:tl2br w:val="nil"/>
              <w:tr2bl w:val="nil"/>
            </w:tcBorders>
            <w:vAlign w:val="center"/>
          </w:tcPr>
          <w:p w14:paraId="0E37130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4.174</w:t>
            </w:r>
          </w:p>
        </w:tc>
        <w:tc>
          <w:tcPr>
            <w:tcW w:w="677" w:type="pct"/>
            <w:tcBorders>
              <w:tl2br w:val="nil"/>
              <w:tr2bl w:val="nil"/>
            </w:tcBorders>
            <w:vAlign w:val="center"/>
          </w:tcPr>
          <w:p w14:paraId="315A6FF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1.3912</w:t>
            </w:r>
          </w:p>
        </w:tc>
        <w:tc>
          <w:tcPr>
            <w:tcW w:w="732" w:type="pct"/>
            <w:tcBorders>
              <w:tl2br w:val="nil"/>
              <w:tr2bl w:val="nil"/>
            </w:tcBorders>
            <w:vAlign w:val="center"/>
          </w:tcPr>
          <w:p w14:paraId="6AFA252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1.788</w:t>
            </w:r>
          </w:p>
        </w:tc>
        <w:tc>
          <w:tcPr>
            <w:tcW w:w="677" w:type="pct"/>
            <w:tcBorders>
              <w:tl2br w:val="nil"/>
              <w:tr2bl w:val="nil"/>
            </w:tcBorders>
            <w:vAlign w:val="center"/>
          </w:tcPr>
          <w:p w14:paraId="1E67CFE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0.7153</w:t>
            </w:r>
          </w:p>
        </w:tc>
        <w:tc>
          <w:tcPr>
            <w:tcW w:w="732" w:type="pct"/>
            <w:tcBorders>
              <w:tl2br w:val="nil"/>
              <w:tr2bl w:val="nil"/>
            </w:tcBorders>
            <w:vAlign w:val="center"/>
          </w:tcPr>
          <w:p w14:paraId="523493C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0.019</w:t>
            </w:r>
          </w:p>
        </w:tc>
        <w:tc>
          <w:tcPr>
            <w:tcW w:w="678" w:type="pct"/>
            <w:tcBorders>
              <w:tl2br w:val="nil"/>
              <w:tr2bl w:val="nil"/>
            </w:tcBorders>
            <w:vAlign w:val="center"/>
          </w:tcPr>
          <w:p w14:paraId="1E48039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1.2777</w:t>
            </w:r>
          </w:p>
        </w:tc>
      </w:tr>
      <w:tr w14:paraId="1ED91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4A0AD91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500.0</w:t>
            </w:r>
          </w:p>
        </w:tc>
        <w:tc>
          <w:tcPr>
            <w:tcW w:w="732" w:type="pct"/>
            <w:tcBorders>
              <w:tl2br w:val="nil"/>
              <w:tr2bl w:val="nil"/>
            </w:tcBorders>
            <w:vAlign w:val="center"/>
          </w:tcPr>
          <w:p w14:paraId="24111CA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3.231</w:t>
            </w:r>
          </w:p>
        </w:tc>
        <w:tc>
          <w:tcPr>
            <w:tcW w:w="677" w:type="pct"/>
            <w:tcBorders>
              <w:tl2br w:val="nil"/>
              <w:tr2bl w:val="nil"/>
            </w:tcBorders>
            <w:vAlign w:val="center"/>
          </w:tcPr>
          <w:p w14:paraId="04BA56A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1.0768</w:t>
            </w:r>
          </w:p>
        </w:tc>
        <w:tc>
          <w:tcPr>
            <w:tcW w:w="732" w:type="pct"/>
            <w:tcBorders>
              <w:tl2br w:val="nil"/>
              <w:tr2bl w:val="nil"/>
            </w:tcBorders>
            <w:vAlign w:val="center"/>
          </w:tcPr>
          <w:p w14:paraId="03D5810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1.384</w:t>
            </w:r>
          </w:p>
        </w:tc>
        <w:tc>
          <w:tcPr>
            <w:tcW w:w="677" w:type="pct"/>
            <w:tcBorders>
              <w:tl2br w:val="nil"/>
              <w:tr2bl w:val="nil"/>
            </w:tcBorders>
            <w:vAlign w:val="center"/>
          </w:tcPr>
          <w:p w14:paraId="59B1012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0.5536</w:t>
            </w:r>
          </w:p>
        </w:tc>
        <w:tc>
          <w:tcPr>
            <w:tcW w:w="732" w:type="pct"/>
            <w:tcBorders>
              <w:tl2br w:val="nil"/>
              <w:tr2bl w:val="nil"/>
            </w:tcBorders>
            <w:vAlign w:val="center"/>
          </w:tcPr>
          <w:p w14:paraId="7DB8B2E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0.015</w:t>
            </w:r>
          </w:p>
        </w:tc>
        <w:tc>
          <w:tcPr>
            <w:tcW w:w="678" w:type="pct"/>
            <w:tcBorders>
              <w:tl2br w:val="nil"/>
              <w:tr2bl w:val="nil"/>
            </w:tcBorders>
            <w:vAlign w:val="center"/>
          </w:tcPr>
          <w:p w14:paraId="4DDB6FD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0.9890</w:t>
            </w:r>
          </w:p>
        </w:tc>
      </w:tr>
      <w:tr w14:paraId="41632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5773200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600.0</w:t>
            </w:r>
          </w:p>
        </w:tc>
        <w:tc>
          <w:tcPr>
            <w:tcW w:w="732" w:type="pct"/>
            <w:tcBorders>
              <w:tl2br w:val="nil"/>
              <w:tr2bl w:val="nil"/>
            </w:tcBorders>
            <w:vAlign w:val="center"/>
          </w:tcPr>
          <w:p w14:paraId="280F9BC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2.598</w:t>
            </w:r>
          </w:p>
        </w:tc>
        <w:tc>
          <w:tcPr>
            <w:tcW w:w="677" w:type="pct"/>
            <w:tcBorders>
              <w:tl2br w:val="nil"/>
              <w:tr2bl w:val="nil"/>
            </w:tcBorders>
            <w:vAlign w:val="center"/>
          </w:tcPr>
          <w:p w14:paraId="58496F6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0.8659</w:t>
            </w:r>
          </w:p>
        </w:tc>
        <w:tc>
          <w:tcPr>
            <w:tcW w:w="732" w:type="pct"/>
            <w:tcBorders>
              <w:tl2br w:val="nil"/>
              <w:tr2bl w:val="nil"/>
            </w:tcBorders>
            <w:vAlign w:val="center"/>
          </w:tcPr>
          <w:p w14:paraId="09A8506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1.113</w:t>
            </w:r>
          </w:p>
        </w:tc>
        <w:tc>
          <w:tcPr>
            <w:tcW w:w="677" w:type="pct"/>
            <w:tcBorders>
              <w:tl2br w:val="nil"/>
              <w:tr2bl w:val="nil"/>
            </w:tcBorders>
            <w:vAlign w:val="center"/>
          </w:tcPr>
          <w:p w14:paraId="2421A54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0.4452</w:t>
            </w:r>
          </w:p>
        </w:tc>
        <w:tc>
          <w:tcPr>
            <w:tcW w:w="732" w:type="pct"/>
            <w:tcBorders>
              <w:tl2br w:val="nil"/>
              <w:tr2bl w:val="nil"/>
            </w:tcBorders>
            <w:vAlign w:val="center"/>
          </w:tcPr>
          <w:p w14:paraId="083592D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0.012</w:t>
            </w:r>
          </w:p>
        </w:tc>
        <w:tc>
          <w:tcPr>
            <w:tcW w:w="678" w:type="pct"/>
            <w:tcBorders>
              <w:tl2br w:val="nil"/>
              <w:tr2bl w:val="nil"/>
            </w:tcBorders>
            <w:vAlign w:val="center"/>
          </w:tcPr>
          <w:p w14:paraId="1B4EA8C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0.7952</w:t>
            </w:r>
          </w:p>
        </w:tc>
      </w:tr>
      <w:tr w14:paraId="2F122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1FA7442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700.0</w:t>
            </w:r>
          </w:p>
        </w:tc>
        <w:tc>
          <w:tcPr>
            <w:tcW w:w="732" w:type="pct"/>
            <w:tcBorders>
              <w:tl2br w:val="nil"/>
              <w:tr2bl w:val="nil"/>
            </w:tcBorders>
            <w:vAlign w:val="center"/>
          </w:tcPr>
          <w:p w14:paraId="00F8CA9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2.147</w:t>
            </w:r>
          </w:p>
        </w:tc>
        <w:tc>
          <w:tcPr>
            <w:tcW w:w="677" w:type="pct"/>
            <w:tcBorders>
              <w:tl2br w:val="nil"/>
              <w:tr2bl w:val="nil"/>
            </w:tcBorders>
            <w:vAlign w:val="center"/>
          </w:tcPr>
          <w:p w14:paraId="6551D76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0.7158</w:t>
            </w:r>
          </w:p>
        </w:tc>
        <w:tc>
          <w:tcPr>
            <w:tcW w:w="732" w:type="pct"/>
            <w:tcBorders>
              <w:tl2br w:val="nil"/>
              <w:tr2bl w:val="nil"/>
            </w:tcBorders>
            <w:vAlign w:val="center"/>
          </w:tcPr>
          <w:p w14:paraId="6D0625B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0.920</w:t>
            </w:r>
          </w:p>
        </w:tc>
        <w:tc>
          <w:tcPr>
            <w:tcW w:w="677" w:type="pct"/>
            <w:tcBorders>
              <w:tl2br w:val="nil"/>
              <w:tr2bl w:val="nil"/>
            </w:tcBorders>
            <w:vAlign w:val="center"/>
          </w:tcPr>
          <w:p w14:paraId="34CEA43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0.3680</w:t>
            </w:r>
          </w:p>
        </w:tc>
        <w:tc>
          <w:tcPr>
            <w:tcW w:w="732" w:type="pct"/>
            <w:tcBorders>
              <w:tl2br w:val="nil"/>
              <w:tr2bl w:val="nil"/>
            </w:tcBorders>
            <w:vAlign w:val="center"/>
          </w:tcPr>
          <w:p w14:paraId="6DA4BCC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0.010</w:t>
            </w:r>
          </w:p>
        </w:tc>
        <w:tc>
          <w:tcPr>
            <w:tcW w:w="678" w:type="pct"/>
            <w:tcBorders>
              <w:tl2br w:val="nil"/>
              <w:tr2bl w:val="nil"/>
            </w:tcBorders>
            <w:vAlign w:val="center"/>
          </w:tcPr>
          <w:p w14:paraId="7A8BD08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0.6574</w:t>
            </w:r>
          </w:p>
        </w:tc>
      </w:tr>
      <w:tr w14:paraId="50764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5C9C380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800.0</w:t>
            </w:r>
          </w:p>
        </w:tc>
        <w:tc>
          <w:tcPr>
            <w:tcW w:w="732" w:type="pct"/>
            <w:tcBorders>
              <w:tl2br w:val="nil"/>
              <w:tr2bl w:val="nil"/>
            </w:tcBorders>
            <w:vAlign w:val="center"/>
          </w:tcPr>
          <w:p w14:paraId="6C439C1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1.816</w:t>
            </w:r>
          </w:p>
        </w:tc>
        <w:tc>
          <w:tcPr>
            <w:tcW w:w="677" w:type="pct"/>
            <w:tcBorders>
              <w:tl2br w:val="nil"/>
              <w:tr2bl w:val="nil"/>
            </w:tcBorders>
            <w:vAlign w:val="center"/>
          </w:tcPr>
          <w:p w14:paraId="5D8ADD8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0.6054</w:t>
            </w:r>
          </w:p>
        </w:tc>
        <w:tc>
          <w:tcPr>
            <w:tcW w:w="732" w:type="pct"/>
            <w:tcBorders>
              <w:tl2br w:val="nil"/>
              <w:tr2bl w:val="nil"/>
            </w:tcBorders>
            <w:vAlign w:val="center"/>
          </w:tcPr>
          <w:p w14:paraId="6B034FA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0.778</w:t>
            </w:r>
          </w:p>
        </w:tc>
        <w:tc>
          <w:tcPr>
            <w:tcW w:w="677" w:type="pct"/>
            <w:tcBorders>
              <w:tl2br w:val="nil"/>
              <w:tr2bl w:val="nil"/>
            </w:tcBorders>
            <w:vAlign w:val="center"/>
          </w:tcPr>
          <w:p w14:paraId="45F09A9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0.3113</w:t>
            </w:r>
          </w:p>
        </w:tc>
        <w:tc>
          <w:tcPr>
            <w:tcW w:w="732" w:type="pct"/>
            <w:tcBorders>
              <w:tl2br w:val="nil"/>
              <w:tr2bl w:val="nil"/>
            </w:tcBorders>
            <w:vAlign w:val="center"/>
          </w:tcPr>
          <w:p w14:paraId="4FF20F3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0.008</w:t>
            </w:r>
          </w:p>
        </w:tc>
        <w:tc>
          <w:tcPr>
            <w:tcW w:w="678" w:type="pct"/>
            <w:tcBorders>
              <w:tl2br w:val="nil"/>
              <w:tr2bl w:val="nil"/>
            </w:tcBorders>
            <w:vAlign w:val="center"/>
          </w:tcPr>
          <w:p w14:paraId="343736A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0.5560</w:t>
            </w:r>
          </w:p>
        </w:tc>
      </w:tr>
      <w:tr w14:paraId="31B50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3CDEC76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900.0</w:t>
            </w:r>
          </w:p>
        </w:tc>
        <w:tc>
          <w:tcPr>
            <w:tcW w:w="732" w:type="pct"/>
            <w:tcBorders>
              <w:tl2br w:val="nil"/>
              <w:tr2bl w:val="nil"/>
            </w:tcBorders>
            <w:vAlign w:val="center"/>
          </w:tcPr>
          <w:p w14:paraId="4D65B0C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1.564</w:t>
            </w:r>
          </w:p>
        </w:tc>
        <w:tc>
          <w:tcPr>
            <w:tcW w:w="677" w:type="pct"/>
            <w:tcBorders>
              <w:tl2br w:val="nil"/>
              <w:tr2bl w:val="nil"/>
            </w:tcBorders>
            <w:vAlign w:val="center"/>
          </w:tcPr>
          <w:p w14:paraId="3570F58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0.5212</w:t>
            </w:r>
          </w:p>
        </w:tc>
        <w:tc>
          <w:tcPr>
            <w:tcW w:w="732" w:type="pct"/>
            <w:tcBorders>
              <w:tl2br w:val="nil"/>
              <w:tr2bl w:val="nil"/>
            </w:tcBorders>
            <w:vAlign w:val="center"/>
          </w:tcPr>
          <w:p w14:paraId="582A33D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0.670</w:t>
            </w:r>
          </w:p>
        </w:tc>
        <w:tc>
          <w:tcPr>
            <w:tcW w:w="677" w:type="pct"/>
            <w:tcBorders>
              <w:tl2br w:val="nil"/>
              <w:tr2bl w:val="nil"/>
            </w:tcBorders>
            <w:vAlign w:val="center"/>
          </w:tcPr>
          <w:p w14:paraId="09CD986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0.2680</w:t>
            </w:r>
          </w:p>
        </w:tc>
        <w:tc>
          <w:tcPr>
            <w:tcW w:w="732" w:type="pct"/>
            <w:tcBorders>
              <w:tl2br w:val="nil"/>
              <w:tr2bl w:val="nil"/>
            </w:tcBorders>
            <w:vAlign w:val="center"/>
          </w:tcPr>
          <w:p w14:paraId="3E9013B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0.007</w:t>
            </w:r>
          </w:p>
        </w:tc>
        <w:tc>
          <w:tcPr>
            <w:tcW w:w="678" w:type="pct"/>
            <w:tcBorders>
              <w:tl2br w:val="nil"/>
              <w:tr2bl w:val="nil"/>
            </w:tcBorders>
            <w:vAlign w:val="center"/>
          </w:tcPr>
          <w:p w14:paraId="7A06415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0.4787</w:t>
            </w:r>
          </w:p>
        </w:tc>
      </w:tr>
      <w:tr w14:paraId="188D0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32323A2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1000.0</w:t>
            </w:r>
          </w:p>
        </w:tc>
        <w:tc>
          <w:tcPr>
            <w:tcW w:w="732" w:type="pct"/>
            <w:tcBorders>
              <w:tl2br w:val="nil"/>
              <w:tr2bl w:val="nil"/>
            </w:tcBorders>
            <w:vAlign w:val="center"/>
          </w:tcPr>
          <w:p w14:paraId="3A9C929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1.404</w:t>
            </w:r>
          </w:p>
        </w:tc>
        <w:tc>
          <w:tcPr>
            <w:tcW w:w="677" w:type="pct"/>
            <w:tcBorders>
              <w:tl2br w:val="nil"/>
              <w:tr2bl w:val="nil"/>
            </w:tcBorders>
            <w:vAlign w:val="center"/>
          </w:tcPr>
          <w:p w14:paraId="5E6F4C7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0.4680</w:t>
            </w:r>
          </w:p>
        </w:tc>
        <w:tc>
          <w:tcPr>
            <w:tcW w:w="732" w:type="pct"/>
            <w:tcBorders>
              <w:tl2br w:val="nil"/>
              <w:tr2bl w:val="nil"/>
            </w:tcBorders>
            <w:vAlign w:val="center"/>
          </w:tcPr>
          <w:p w14:paraId="138514B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0.602</w:t>
            </w:r>
          </w:p>
        </w:tc>
        <w:tc>
          <w:tcPr>
            <w:tcW w:w="677" w:type="pct"/>
            <w:tcBorders>
              <w:tl2br w:val="nil"/>
              <w:tr2bl w:val="nil"/>
            </w:tcBorders>
            <w:vAlign w:val="center"/>
          </w:tcPr>
          <w:p w14:paraId="1D865A4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0.2406</w:t>
            </w:r>
          </w:p>
        </w:tc>
        <w:tc>
          <w:tcPr>
            <w:tcW w:w="732" w:type="pct"/>
            <w:tcBorders>
              <w:tl2br w:val="nil"/>
              <w:tr2bl w:val="nil"/>
            </w:tcBorders>
            <w:vAlign w:val="center"/>
          </w:tcPr>
          <w:p w14:paraId="475FB98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0.006</w:t>
            </w:r>
          </w:p>
        </w:tc>
        <w:tc>
          <w:tcPr>
            <w:tcW w:w="678" w:type="pct"/>
            <w:tcBorders>
              <w:tl2br w:val="nil"/>
              <w:tr2bl w:val="nil"/>
            </w:tcBorders>
            <w:vAlign w:val="center"/>
          </w:tcPr>
          <w:p w14:paraId="6DA7657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0.4298</w:t>
            </w:r>
          </w:p>
        </w:tc>
      </w:tr>
      <w:tr w14:paraId="10A10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05AA4D0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1200.0</w:t>
            </w:r>
          </w:p>
        </w:tc>
        <w:tc>
          <w:tcPr>
            <w:tcW w:w="732" w:type="pct"/>
            <w:tcBorders>
              <w:tl2br w:val="nil"/>
              <w:tr2bl w:val="nil"/>
            </w:tcBorders>
            <w:vAlign w:val="center"/>
          </w:tcPr>
          <w:p w14:paraId="5EB0639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1.101</w:t>
            </w:r>
          </w:p>
        </w:tc>
        <w:tc>
          <w:tcPr>
            <w:tcW w:w="677" w:type="pct"/>
            <w:tcBorders>
              <w:tl2br w:val="nil"/>
              <w:tr2bl w:val="nil"/>
            </w:tcBorders>
            <w:vAlign w:val="center"/>
          </w:tcPr>
          <w:p w14:paraId="4969B32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0.3671</w:t>
            </w:r>
          </w:p>
        </w:tc>
        <w:tc>
          <w:tcPr>
            <w:tcW w:w="732" w:type="pct"/>
            <w:tcBorders>
              <w:tl2br w:val="nil"/>
              <w:tr2bl w:val="nil"/>
            </w:tcBorders>
            <w:vAlign w:val="center"/>
          </w:tcPr>
          <w:p w14:paraId="7DC0D61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0.472</w:t>
            </w:r>
          </w:p>
        </w:tc>
        <w:tc>
          <w:tcPr>
            <w:tcW w:w="677" w:type="pct"/>
            <w:tcBorders>
              <w:tl2br w:val="nil"/>
              <w:tr2bl w:val="nil"/>
            </w:tcBorders>
            <w:vAlign w:val="center"/>
          </w:tcPr>
          <w:p w14:paraId="4F970F6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0.1887</w:t>
            </w:r>
          </w:p>
        </w:tc>
        <w:tc>
          <w:tcPr>
            <w:tcW w:w="732" w:type="pct"/>
            <w:tcBorders>
              <w:tl2br w:val="nil"/>
              <w:tr2bl w:val="nil"/>
            </w:tcBorders>
            <w:vAlign w:val="center"/>
          </w:tcPr>
          <w:p w14:paraId="11717C8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0.005</w:t>
            </w:r>
          </w:p>
        </w:tc>
        <w:tc>
          <w:tcPr>
            <w:tcW w:w="678" w:type="pct"/>
            <w:tcBorders>
              <w:tl2br w:val="nil"/>
              <w:tr2bl w:val="nil"/>
            </w:tcBorders>
            <w:vAlign w:val="center"/>
          </w:tcPr>
          <w:p w14:paraId="3C267E0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0.3371</w:t>
            </w:r>
          </w:p>
        </w:tc>
      </w:tr>
      <w:tr w14:paraId="764593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68DA26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1400.0</w:t>
            </w:r>
          </w:p>
        </w:tc>
        <w:tc>
          <w:tcPr>
            <w:tcW w:w="732" w:type="pct"/>
            <w:tcBorders>
              <w:tl2br w:val="nil"/>
              <w:tr2bl w:val="nil"/>
            </w:tcBorders>
            <w:vAlign w:val="center"/>
          </w:tcPr>
          <w:p w14:paraId="0A6BFB0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0.896</w:t>
            </w:r>
          </w:p>
        </w:tc>
        <w:tc>
          <w:tcPr>
            <w:tcW w:w="677" w:type="pct"/>
            <w:tcBorders>
              <w:tl2br w:val="nil"/>
              <w:tr2bl w:val="nil"/>
            </w:tcBorders>
            <w:vAlign w:val="center"/>
          </w:tcPr>
          <w:p w14:paraId="5DACE4C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0.2987</w:t>
            </w:r>
          </w:p>
        </w:tc>
        <w:tc>
          <w:tcPr>
            <w:tcW w:w="732" w:type="pct"/>
            <w:tcBorders>
              <w:tl2br w:val="nil"/>
              <w:tr2bl w:val="nil"/>
            </w:tcBorders>
            <w:vAlign w:val="center"/>
          </w:tcPr>
          <w:p w14:paraId="348471E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0.384</w:t>
            </w:r>
          </w:p>
        </w:tc>
        <w:tc>
          <w:tcPr>
            <w:tcW w:w="677" w:type="pct"/>
            <w:tcBorders>
              <w:tl2br w:val="nil"/>
              <w:tr2bl w:val="nil"/>
            </w:tcBorders>
            <w:vAlign w:val="center"/>
          </w:tcPr>
          <w:p w14:paraId="4ADE2FD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0.1536</w:t>
            </w:r>
          </w:p>
        </w:tc>
        <w:tc>
          <w:tcPr>
            <w:tcW w:w="732" w:type="pct"/>
            <w:tcBorders>
              <w:tl2br w:val="nil"/>
              <w:tr2bl w:val="nil"/>
            </w:tcBorders>
            <w:vAlign w:val="center"/>
          </w:tcPr>
          <w:p w14:paraId="68A96F2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0.004</w:t>
            </w:r>
          </w:p>
        </w:tc>
        <w:tc>
          <w:tcPr>
            <w:tcW w:w="678" w:type="pct"/>
            <w:tcBorders>
              <w:tl2br w:val="nil"/>
              <w:tr2bl w:val="nil"/>
            </w:tcBorders>
            <w:vAlign w:val="center"/>
          </w:tcPr>
          <w:p w14:paraId="719FD1C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0.2743</w:t>
            </w:r>
          </w:p>
        </w:tc>
      </w:tr>
      <w:tr w14:paraId="0ABCB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54C02BB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1600.0</w:t>
            </w:r>
          </w:p>
        </w:tc>
        <w:tc>
          <w:tcPr>
            <w:tcW w:w="732" w:type="pct"/>
            <w:tcBorders>
              <w:tl2br w:val="nil"/>
              <w:tr2bl w:val="nil"/>
            </w:tcBorders>
            <w:vAlign w:val="center"/>
          </w:tcPr>
          <w:p w14:paraId="23CC8C7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0.749</w:t>
            </w:r>
          </w:p>
        </w:tc>
        <w:tc>
          <w:tcPr>
            <w:tcW w:w="677" w:type="pct"/>
            <w:tcBorders>
              <w:tl2br w:val="nil"/>
              <w:tr2bl w:val="nil"/>
            </w:tcBorders>
            <w:vAlign w:val="center"/>
          </w:tcPr>
          <w:p w14:paraId="3507333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0.2497</w:t>
            </w:r>
          </w:p>
        </w:tc>
        <w:tc>
          <w:tcPr>
            <w:tcW w:w="732" w:type="pct"/>
            <w:tcBorders>
              <w:tl2br w:val="nil"/>
              <w:tr2bl w:val="nil"/>
            </w:tcBorders>
            <w:vAlign w:val="center"/>
          </w:tcPr>
          <w:p w14:paraId="1B7C6D2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0.321</w:t>
            </w:r>
          </w:p>
        </w:tc>
        <w:tc>
          <w:tcPr>
            <w:tcW w:w="677" w:type="pct"/>
            <w:tcBorders>
              <w:tl2br w:val="nil"/>
              <w:tr2bl w:val="nil"/>
            </w:tcBorders>
            <w:vAlign w:val="center"/>
          </w:tcPr>
          <w:p w14:paraId="2E2DAAD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0.1284</w:t>
            </w:r>
          </w:p>
        </w:tc>
        <w:tc>
          <w:tcPr>
            <w:tcW w:w="732" w:type="pct"/>
            <w:tcBorders>
              <w:tl2br w:val="nil"/>
              <w:tr2bl w:val="nil"/>
            </w:tcBorders>
            <w:vAlign w:val="center"/>
          </w:tcPr>
          <w:p w14:paraId="75353CB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0.003</w:t>
            </w:r>
          </w:p>
        </w:tc>
        <w:tc>
          <w:tcPr>
            <w:tcW w:w="678" w:type="pct"/>
            <w:tcBorders>
              <w:tl2br w:val="nil"/>
              <w:tr2bl w:val="nil"/>
            </w:tcBorders>
            <w:vAlign w:val="center"/>
          </w:tcPr>
          <w:p w14:paraId="59773C2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0.2293</w:t>
            </w:r>
          </w:p>
        </w:tc>
      </w:tr>
      <w:tr w14:paraId="1B3AC8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4F4E0B5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1800.0</w:t>
            </w:r>
          </w:p>
        </w:tc>
        <w:tc>
          <w:tcPr>
            <w:tcW w:w="732" w:type="pct"/>
            <w:tcBorders>
              <w:tl2br w:val="nil"/>
              <w:tr2bl w:val="nil"/>
            </w:tcBorders>
            <w:vAlign w:val="center"/>
          </w:tcPr>
          <w:p w14:paraId="27BA198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0.639</w:t>
            </w:r>
          </w:p>
        </w:tc>
        <w:tc>
          <w:tcPr>
            <w:tcW w:w="677" w:type="pct"/>
            <w:tcBorders>
              <w:tl2br w:val="nil"/>
              <w:tr2bl w:val="nil"/>
            </w:tcBorders>
            <w:vAlign w:val="center"/>
          </w:tcPr>
          <w:p w14:paraId="4409FDC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0.2131</w:t>
            </w:r>
          </w:p>
        </w:tc>
        <w:tc>
          <w:tcPr>
            <w:tcW w:w="732" w:type="pct"/>
            <w:tcBorders>
              <w:tl2br w:val="nil"/>
              <w:tr2bl w:val="nil"/>
            </w:tcBorders>
            <w:vAlign w:val="center"/>
          </w:tcPr>
          <w:p w14:paraId="634692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0.274</w:t>
            </w:r>
          </w:p>
        </w:tc>
        <w:tc>
          <w:tcPr>
            <w:tcW w:w="677" w:type="pct"/>
            <w:tcBorders>
              <w:tl2br w:val="nil"/>
              <w:tr2bl w:val="nil"/>
            </w:tcBorders>
            <w:vAlign w:val="center"/>
          </w:tcPr>
          <w:p w14:paraId="5A8CDB0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0.1096</w:t>
            </w:r>
          </w:p>
        </w:tc>
        <w:tc>
          <w:tcPr>
            <w:tcW w:w="732" w:type="pct"/>
            <w:tcBorders>
              <w:tl2br w:val="nil"/>
              <w:tr2bl w:val="nil"/>
            </w:tcBorders>
            <w:vAlign w:val="center"/>
          </w:tcPr>
          <w:p w14:paraId="1F701AB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0.003</w:t>
            </w:r>
          </w:p>
        </w:tc>
        <w:tc>
          <w:tcPr>
            <w:tcW w:w="678" w:type="pct"/>
            <w:tcBorders>
              <w:tl2br w:val="nil"/>
              <w:tr2bl w:val="nil"/>
            </w:tcBorders>
            <w:vAlign w:val="center"/>
          </w:tcPr>
          <w:p w14:paraId="3006860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0.1957</w:t>
            </w:r>
          </w:p>
        </w:tc>
      </w:tr>
      <w:tr w14:paraId="47CAD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20FBBE0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2000.0</w:t>
            </w:r>
          </w:p>
        </w:tc>
        <w:tc>
          <w:tcPr>
            <w:tcW w:w="732" w:type="pct"/>
            <w:tcBorders>
              <w:tl2br w:val="nil"/>
              <w:tr2bl w:val="nil"/>
            </w:tcBorders>
            <w:vAlign w:val="center"/>
          </w:tcPr>
          <w:p w14:paraId="202FCEA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0.555</w:t>
            </w:r>
          </w:p>
        </w:tc>
        <w:tc>
          <w:tcPr>
            <w:tcW w:w="677" w:type="pct"/>
            <w:tcBorders>
              <w:tl2br w:val="nil"/>
              <w:tr2bl w:val="nil"/>
            </w:tcBorders>
            <w:vAlign w:val="center"/>
          </w:tcPr>
          <w:p w14:paraId="7829337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0.1849</w:t>
            </w:r>
          </w:p>
        </w:tc>
        <w:tc>
          <w:tcPr>
            <w:tcW w:w="732" w:type="pct"/>
            <w:tcBorders>
              <w:tl2br w:val="nil"/>
              <w:tr2bl w:val="nil"/>
            </w:tcBorders>
            <w:vAlign w:val="center"/>
          </w:tcPr>
          <w:p w14:paraId="1735FA1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0.238</w:t>
            </w:r>
          </w:p>
        </w:tc>
        <w:tc>
          <w:tcPr>
            <w:tcW w:w="677" w:type="pct"/>
            <w:tcBorders>
              <w:tl2br w:val="nil"/>
              <w:tr2bl w:val="nil"/>
            </w:tcBorders>
            <w:vAlign w:val="center"/>
          </w:tcPr>
          <w:p w14:paraId="3CBE620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0.0951</w:t>
            </w:r>
          </w:p>
        </w:tc>
        <w:tc>
          <w:tcPr>
            <w:tcW w:w="732" w:type="pct"/>
            <w:tcBorders>
              <w:tl2br w:val="nil"/>
              <w:tr2bl w:val="nil"/>
            </w:tcBorders>
            <w:vAlign w:val="center"/>
          </w:tcPr>
          <w:p w14:paraId="7EBEB3F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0.003</w:t>
            </w:r>
          </w:p>
        </w:tc>
        <w:tc>
          <w:tcPr>
            <w:tcW w:w="678" w:type="pct"/>
            <w:tcBorders>
              <w:tl2br w:val="nil"/>
              <w:tr2bl w:val="nil"/>
            </w:tcBorders>
            <w:vAlign w:val="center"/>
          </w:tcPr>
          <w:p w14:paraId="0F1375E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0.1698</w:t>
            </w:r>
          </w:p>
        </w:tc>
      </w:tr>
      <w:tr w14:paraId="28428C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0002B14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2500.0</w:t>
            </w:r>
          </w:p>
        </w:tc>
        <w:tc>
          <w:tcPr>
            <w:tcW w:w="732" w:type="pct"/>
            <w:tcBorders>
              <w:tl2br w:val="nil"/>
              <w:tr2bl w:val="nil"/>
            </w:tcBorders>
            <w:vAlign w:val="center"/>
          </w:tcPr>
          <w:p w14:paraId="7A23F83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0.410</w:t>
            </w:r>
          </w:p>
        </w:tc>
        <w:tc>
          <w:tcPr>
            <w:tcW w:w="677" w:type="pct"/>
            <w:tcBorders>
              <w:tl2br w:val="nil"/>
              <w:tr2bl w:val="nil"/>
            </w:tcBorders>
            <w:vAlign w:val="center"/>
          </w:tcPr>
          <w:p w14:paraId="355ABE3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0.1368</w:t>
            </w:r>
          </w:p>
        </w:tc>
        <w:tc>
          <w:tcPr>
            <w:tcW w:w="732" w:type="pct"/>
            <w:tcBorders>
              <w:tl2br w:val="nil"/>
              <w:tr2bl w:val="nil"/>
            </w:tcBorders>
            <w:vAlign w:val="center"/>
          </w:tcPr>
          <w:p w14:paraId="62409A0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0.176</w:t>
            </w:r>
          </w:p>
        </w:tc>
        <w:tc>
          <w:tcPr>
            <w:tcW w:w="677" w:type="pct"/>
            <w:tcBorders>
              <w:tl2br w:val="nil"/>
              <w:tr2bl w:val="nil"/>
            </w:tcBorders>
            <w:vAlign w:val="center"/>
          </w:tcPr>
          <w:p w14:paraId="5A7266C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0.0703</w:t>
            </w:r>
          </w:p>
        </w:tc>
        <w:tc>
          <w:tcPr>
            <w:tcW w:w="732" w:type="pct"/>
            <w:tcBorders>
              <w:tl2br w:val="nil"/>
              <w:tr2bl w:val="nil"/>
            </w:tcBorders>
            <w:vAlign w:val="center"/>
          </w:tcPr>
          <w:p w14:paraId="237F62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0.002</w:t>
            </w:r>
          </w:p>
        </w:tc>
        <w:tc>
          <w:tcPr>
            <w:tcW w:w="678" w:type="pct"/>
            <w:tcBorders>
              <w:tl2br w:val="nil"/>
              <w:tr2bl w:val="nil"/>
            </w:tcBorders>
            <w:vAlign w:val="center"/>
          </w:tcPr>
          <w:p w14:paraId="13C3ECD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0.1256</w:t>
            </w:r>
          </w:p>
        </w:tc>
      </w:tr>
      <w:tr w14:paraId="44C48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F654CB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3000.0</w:t>
            </w:r>
          </w:p>
        </w:tc>
        <w:tc>
          <w:tcPr>
            <w:tcW w:w="732" w:type="pct"/>
            <w:tcBorders>
              <w:tl2br w:val="nil"/>
              <w:tr2bl w:val="nil"/>
            </w:tcBorders>
            <w:vAlign w:val="center"/>
          </w:tcPr>
          <w:p w14:paraId="6BC1C0A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0.321</w:t>
            </w:r>
          </w:p>
        </w:tc>
        <w:tc>
          <w:tcPr>
            <w:tcW w:w="677" w:type="pct"/>
            <w:tcBorders>
              <w:tl2br w:val="nil"/>
              <w:tr2bl w:val="nil"/>
            </w:tcBorders>
            <w:vAlign w:val="center"/>
          </w:tcPr>
          <w:p w14:paraId="1CABEB0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0.1069</w:t>
            </w:r>
          </w:p>
        </w:tc>
        <w:tc>
          <w:tcPr>
            <w:tcW w:w="732" w:type="pct"/>
            <w:tcBorders>
              <w:tl2br w:val="nil"/>
              <w:tr2bl w:val="nil"/>
            </w:tcBorders>
            <w:vAlign w:val="center"/>
          </w:tcPr>
          <w:p w14:paraId="31ED660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0.137</w:t>
            </w:r>
          </w:p>
        </w:tc>
        <w:tc>
          <w:tcPr>
            <w:tcW w:w="677" w:type="pct"/>
            <w:tcBorders>
              <w:tl2br w:val="nil"/>
              <w:tr2bl w:val="nil"/>
            </w:tcBorders>
            <w:vAlign w:val="center"/>
          </w:tcPr>
          <w:p w14:paraId="259A4BB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0.0549</w:t>
            </w:r>
          </w:p>
        </w:tc>
        <w:tc>
          <w:tcPr>
            <w:tcW w:w="732" w:type="pct"/>
            <w:tcBorders>
              <w:tl2br w:val="nil"/>
              <w:tr2bl w:val="nil"/>
            </w:tcBorders>
            <w:vAlign w:val="center"/>
          </w:tcPr>
          <w:p w14:paraId="585C374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0.001</w:t>
            </w:r>
          </w:p>
        </w:tc>
        <w:tc>
          <w:tcPr>
            <w:tcW w:w="678" w:type="pct"/>
            <w:tcBorders>
              <w:tl2br w:val="nil"/>
              <w:tr2bl w:val="nil"/>
            </w:tcBorders>
            <w:vAlign w:val="center"/>
          </w:tcPr>
          <w:p w14:paraId="082A64B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0.0981</w:t>
            </w:r>
          </w:p>
        </w:tc>
      </w:tr>
      <w:tr w14:paraId="06713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626BB3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3500.0</w:t>
            </w:r>
          </w:p>
        </w:tc>
        <w:tc>
          <w:tcPr>
            <w:tcW w:w="732" w:type="pct"/>
            <w:tcBorders>
              <w:tl2br w:val="nil"/>
              <w:tr2bl w:val="nil"/>
            </w:tcBorders>
            <w:vAlign w:val="center"/>
          </w:tcPr>
          <w:p w14:paraId="6B6A7D3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0.260</w:t>
            </w:r>
          </w:p>
        </w:tc>
        <w:tc>
          <w:tcPr>
            <w:tcW w:w="677" w:type="pct"/>
            <w:tcBorders>
              <w:tl2br w:val="nil"/>
              <w:tr2bl w:val="nil"/>
            </w:tcBorders>
            <w:vAlign w:val="center"/>
          </w:tcPr>
          <w:p w14:paraId="495232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0.0867</w:t>
            </w:r>
          </w:p>
        </w:tc>
        <w:tc>
          <w:tcPr>
            <w:tcW w:w="732" w:type="pct"/>
            <w:tcBorders>
              <w:tl2br w:val="nil"/>
              <w:tr2bl w:val="nil"/>
            </w:tcBorders>
            <w:vAlign w:val="center"/>
          </w:tcPr>
          <w:p w14:paraId="1354D3E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0.111</w:t>
            </w:r>
          </w:p>
        </w:tc>
        <w:tc>
          <w:tcPr>
            <w:tcW w:w="677" w:type="pct"/>
            <w:tcBorders>
              <w:tl2br w:val="nil"/>
              <w:tr2bl w:val="nil"/>
            </w:tcBorders>
            <w:vAlign w:val="center"/>
          </w:tcPr>
          <w:p w14:paraId="0468E96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0.0446</w:t>
            </w:r>
          </w:p>
        </w:tc>
        <w:tc>
          <w:tcPr>
            <w:tcW w:w="732" w:type="pct"/>
            <w:tcBorders>
              <w:tl2br w:val="nil"/>
              <w:tr2bl w:val="nil"/>
            </w:tcBorders>
            <w:vAlign w:val="center"/>
          </w:tcPr>
          <w:p w14:paraId="5B7B4CA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0.001</w:t>
            </w:r>
          </w:p>
        </w:tc>
        <w:tc>
          <w:tcPr>
            <w:tcW w:w="678" w:type="pct"/>
            <w:tcBorders>
              <w:tl2br w:val="nil"/>
              <w:tr2bl w:val="nil"/>
            </w:tcBorders>
            <w:vAlign w:val="center"/>
          </w:tcPr>
          <w:p w14:paraId="1793E5D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0.0797</w:t>
            </w:r>
          </w:p>
        </w:tc>
      </w:tr>
      <w:tr w14:paraId="5FAB80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4AE04B5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4000.0</w:t>
            </w:r>
          </w:p>
        </w:tc>
        <w:tc>
          <w:tcPr>
            <w:tcW w:w="732" w:type="pct"/>
            <w:tcBorders>
              <w:tl2br w:val="nil"/>
              <w:tr2bl w:val="nil"/>
            </w:tcBorders>
            <w:vAlign w:val="center"/>
          </w:tcPr>
          <w:p w14:paraId="7D2A8E7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0.217</w:t>
            </w:r>
          </w:p>
        </w:tc>
        <w:tc>
          <w:tcPr>
            <w:tcW w:w="677" w:type="pct"/>
            <w:tcBorders>
              <w:tl2br w:val="nil"/>
              <w:tr2bl w:val="nil"/>
            </w:tcBorders>
            <w:vAlign w:val="center"/>
          </w:tcPr>
          <w:p w14:paraId="439E34B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0.0724</w:t>
            </w:r>
          </w:p>
        </w:tc>
        <w:tc>
          <w:tcPr>
            <w:tcW w:w="732" w:type="pct"/>
            <w:tcBorders>
              <w:tl2br w:val="nil"/>
              <w:tr2bl w:val="nil"/>
            </w:tcBorders>
            <w:vAlign w:val="center"/>
          </w:tcPr>
          <w:p w14:paraId="2AB0D89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0.093</w:t>
            </w:r>
          </w:p>
        </w:tc>
        <w:tc>
          <w:tcPr>
            <w:tcW w:w="677" w:type="pct"/>
            <w:tcBorders>
              <w:tl2br w:val="nil"/>
              <w:tr2bl w:val="nil"/>
            </w:tcBorders>
            <w:vAlign w:val="center"/>
          </w:tcPr>
          <w:p w14:paraId="504FFC0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0.0372</w:t>
            </w:r>
          </w:p>
        </w:tc>
        <w:tc>
          <w:tcPr>
            <w:tcW w:w="732" w:type="pct"/>
            <w:tcBorders>
              <w:tl2br w:val="nil"/>
              <w:tr2bl w:val="nil"/>
            </w:tcBorders>
            <w:vAlign w:val="center"/>
          </w:tcPr>
          <w:p w14:paraId="1682720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0.001</w:t>
            </w:r>
          </w:p>
        </w:tc>
        <w:tc>
          <w:tcPr>
            <w:tcW w:w="678" w:type="pct"/>
            <w:tcBorders>
              <w:tl2br w:val="nil"/>
              <w:tr2bl w:val="nil"/>
            </w:tcBorders>
            <w:vAlign w:val="center"/>
          </w:tcPr>
          <w:p w14:paraId="1FBB308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0.0665</w:t>
            </w:r>
          </w:p>
        </w:tc>
      </w:tr>
      <w:tr w14:paraId="3F083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3B550D0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4500.0</w:t>
            </w:r>
          </w:p>
        </w:tc>
        <w:tc>
          <w:tcPr>
            <w:tcW w:w="732" w:type="pct"/>
            <w:tcBorders>
              <w:tl2br w:val="nil"/>
              <w:tr2bl w:val="nil"/>
            </w:tcBorders>
            <w:vAlign w:val="center"/>
          </w:tcPr>
          <w:p w14:paraId="651462A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0.185</w:t>
            </w:r>
          </w:p>
        </w:tc>
        <w:tc>
          <w:tcPr>
            <w:tcW w:w="677" w:type="pct"/>
            <w:tcBorders>
              <w:tl2br w:val="nil"/>
              <w:tr2bl w:val="nil"/>
            </w:tcBorders>
            <w:vAlign w:val="center"/>
          </w:tcPr>
          <w:p w14:paraId="2778EFA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0.0617</w:t>
            </w:r>
          </w:p>
        </w:tc>
        <w:tc>
          <w:tcPr>
            <w:tcW w:w="732" w:type="pct"/>
            <w:tcBorders>
              <w:tl2br w:val="nil"/>
              <w:tr2bl w:val="nil"/>
            </w:tcBorders>
            <w:vAlign w:val="center"/>
          </w:tcPr>
          <w:p w14:paraId="20BBB74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0.079</w:t>
            </w:r>
          </w:p>
        </w:tc>
        <w:tc>
          <w:tcPr>
            <w:tcW w:w="677" w:type="pct"/>
            <w:tcBorders>
              <w:tl2br w:val="nil"/>
              <w:tr2bl w:val="nil"/>
            </w:tcBorders>
            <w:vAlign w:val="center"/>
          </w:tcPr>
          <w:p w14:paraId="2074C4A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0.0317</w:t>
            </w:r>
          </w:p>
        </w:tc>
        <w:tc>
          <w:tcPr>
            <w:tcW w:w="732" w:type="pct"/>
            <w:tcBorders>
              <w:tl2br w:val="nil"/>
              <w:tr2bl w:val="nil"/>
            </w:tcBorders>
            <w:vAlign w:val="center"/>
          </w:tcPr>
          <w:p w14:paraId="7FB18F0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0.001</w:t>
            </w:r>
          </w:p>
        </w:tc>
        <w:tc>
          <w:tcPr>
            <w:tcW w:w="678" w:type="pct"/>
            <w:tcBorders>
              <w:tl2br w:val="nil"/>
              <w:tr2bl w:val="nil"/>
            </w:tcBorders>
            <w:vAlign w:val="center"/>
          </w:tcPr>
          <w:p w14:paraId="4968958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0.0566</w:t>
            </w:r>
          </w:p>
        </w:tc>
      </w:tr>
      <w:tr w14:paraId="25C69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337F29F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5000.0</w:t>
            </w:r>
          </w:p>
        </w:tc>
        <w:tc>
          <w:tcPr>
            <w:tcW w:w="732" w:type="pct"/>
            <w:tcBorders>
              <w:tl2br w:val="nil"/>
              <w:tr2bl w:val="nil"/>
            </w:tcBorders>
            <w:vAlign w:val="center"/>
          </w:tcPr>
          <w:p w14:paraId="1B1A059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0.160</w:t>
            </w:r>
          </w:p>
        </w:tc>
        <w:tc>
          <w:tcPr>
            <w:tcW w:w="677" w:type="pct"/>
            <w:tcBorders>
              <w:tl2br w:val="nil"/>
              <w:tr2bl w:val="nil"/>
            </w:tcBorders>
            <w:vAlign w:val="center"/>
          </w:tcPr>
          <w:p w14:paraId="6BABA87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0.0534</w:t>
            </w:r>
          </w:p>
        </w:tc>
        <w:tc>
          <w:tcPr>
            <w:tcW w:w="732" w:type="pct"/>
            <w:tcBorders>
              <w:tl2br w:val="nil"/>
              <w:tr2bl w:val="nil"/>
            </w:tcBorders>
            <w:vAlign w:val="center"/>
          </w:tcPr>
          <w:p w14:paraId="328A7A9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0.069</w:t>
            </w:r>
          </w:p>
        </w:tc>
        <w:tc>
          <w:tcPr>
            <w:tcW w:w="677" w:type="pct"/>
            <w:tcBorders>
              <w:tl2br w:val="nil"/>
              <w:tr2bl w:val="nil"/>
            </w:tcBorders>
            <w:vAlign w:val="center"/>
          </w:tcPr>
          <w:p w14:paraId="0E6F22D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0.0275</w:t>
            </w:r>
          </w:p>
        </w:tc>
        <w:tc>
          <w:tcPr>
            <w:tcW w:w="732" w:type="pct"/>
            <w:tcBorders>
              <w:tl2br w:val="nil"/>
              <w:tr2bl w:val="nil"/>
            </w:tcBorders>
            <w:vAlign w:val="center"/>
          </w:tcPr>
          <w:p w14:paraId="0959DE3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0.001</w:t>
            </w:r>
          </w:p>
        </w:tc>
        <w:tc>
          <w:tcPr>
            <w:tcW w:w="678" w:type="pct"/>
            <w:tcBorders>
              <w:tl2br w:val="nil"/>
              <w:tr2bl w:val="nil"/>
            </w:tcBorders>
            <w:vAlign w:val="center"/>
          </w:tcPr>
          <w:p w14:paraId="7F879FA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0.0491</w:t>
            </w:r>
          </w:p>
        </w:tc>
      </w:tr>
      <w:tr w14:paraId="3883DE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562A07E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10000.0</w:t>
            </w:r>
          </w:p>
        </w:tc>
        <w:tc>
          <w:tcPr>
            <w:tcW w:w="732" w:type="pct"/>
            <w:tcBorders>
              <w:tl2br w:val="nil"/>
              <w:tr2bl w:val="nil"/>
            </w:tcBorders>
            <w:vAlign w:val="center"/>
          </w:tcPr>
          <w:p w14:paraId="588035EC">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0.062</w:t>
            </w:r>
          </w:p>
        </w:tc>
        <w:tc>
          <w:tcPr>
            <w:tcW w:w="677" w:type="pct"/>
            <w:tcBorders>
              <w:tl2br w:val="nil"/>
              <w:tr2bl w:val="nil"/>
            </w:tcBorders>
            <w:vAlign w:val="center"/>
          </w:tcPr>
          <w:p w14:paraId="5C0C638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0.0208</w:t>
            </w:r>
          </w:p>
        </w:tc>
        <w:tc>
          <w:tcPr>
            <w:tcW w:w="732" w:type="pct"/>
            <w:tcBorders>
              <w:tl2br w:val="nil"/>
              <w:tr2bl w:val="nil"/>
            </w:tcBorders>
            <w:vAlign w:val="center"/>
          </w:tcPr>
          <w:p w14:paraId="48F0498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0.027</w:t>
            </w:r>
          </w:p>
        </w:tc>
        <w:tc>
          <w:tcPr>
            <w:tcW w:w="677" w:type="pct"/>
            <w:tcBorders>
              <w:tl2br w:val="nil"/>
              <w:tr2bl w:val="nil"/>
            </w:tcBorders>
            <w:vAlign w:val="center"/>
          </w:tcPr>
          <w:p w14:paraId="21F2519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0.0107</w:t>
            </w:r>
          </w:p>
        </w:tc>
        <w:tc>
          <w:tcPr>
            <w:tcW w:w="732" w:type="pct"/>
            <w:tcBorders>
              <w:tl2br w:val="nil"/>
              <w:tr2bl w:val="nil"/>
            </w:tcBorders>
            <w:vAlign w:val="center"/>
          </w:tcPr>
          <w:p w14:paraId="4611617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269BEDA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0.0191</w:t>
            </w:r>
          </w:p>
        </w:tc>
      </w:tr>
      <w:tr w14:paraId="7917E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CCB10D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11000.0</w:t>
            </w:r>
          </w:p>
        </w:tc>
        <w:tc>
          <w:tcPr>
            <w:tcW w:w="732" w:type="pct"/>
            <w:tcBorders>
              <w:tl2br w:val="nil"/>
              <w:tr2bl w:val="nil"/>
            </w:tcBorders>
            <w:vAlign w:val="center"/>
          </w:tcPr>
          <w:p w14:paraId="7EC3673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0.055</w:t>
            </w:r>
          </w:p>
        </w:tc>
        <w:tc>
          <w:tcPr>
            <w:tcW w:w="677" w:type="pct"/>
            <w:tcBorders>
              <w:tl2br w:val="nil"/>
              <w:tr2bl w:val="nil"/>
            </w:tcBorders>
            <w:vAlign w:val="center"/>
          </w:tcPr>
          <w:p w14:paraId="71A70A9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0.0183</w:t>
            </w:r>
          </w:p>
        </w:tc>
        <w:tc>
          <w:tcPr>
            <w:tcW w:w="732" w:type="pct"/>
            <w:tcBorders>
              <w:tl2br w:val="nil"/>
              <w:tr2bl w:val="nil"/>
            </w:tcBorders>
            <w:vAlign w:val="center"/>
          </w:tcPr>
          <w:p w14:paraId="7B3D75C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0.024</w:t>
            </w:r>
          </w:p>
        </w:tc>
        <w:tc>
          <w:tcPr>
            <w:tcW w:w="677" w:type="pct"/>
            <w:tcBorders>
              <w:tl2br w:val="nil"/>
              <w:tr2bl w:val="nil"/>
            </w:tcBorders>
            <w:vAlign w:val="center"/>
          </w:tcPr>
          <w:p w14:paraId="3E36423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0.0094</w:t>
            </w:r>
          </w:p>
        </w:tc>
        <w:tc>
          <w:tcPr>
            <w:tcW w:w="732" w:type="pct"/>
            <w:tcBorders>
              <w:tl2br w:val="nil"/>
              <w:tr2bl w:val="nil"/>
            </w:tcBorders>
            <w:vAlign w:val="center"/>
          </w:tcPr>
          <w:p w14:paraId="1E40B1C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510D836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0.0168</w:t>
            </w:r>
          </w:p>
        </w:tc>
      </w:tr>
      <w:tr w14:paraId="03A9C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6103313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12000.0</w:t>
            </w:r>
          </w:p>
        </w:tc>
        <w:tc>
          <w:tcPr>
            <w:tcW w:w="732" w:type="pct"/>
            <w:tcBorders>
              <w:tl2br w:val="nil"/>
              <w:tr2bl w:val="nil"/>
            </w:tcBorders>
            <w:vAlign w:val="center"/>
          </w:tcPr>
          <w:p w14:paraId="73C3405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0.049</w:t>
            </w:r>
          </w:p>
        </w:tc>
        <w:tc>
          <w:tcPr>
            <w:tcW w:w="677" w:type="pct"/>
            <w:tcBorders>
              <w:tl2br w:val="nil"/>
              <w:tr2bl w:val="nil"/>
            </w:tcBorders>
            <w:vAlign w:val="center"/>
          </w:tcPr>
          <w:p w14:paraId="7EA60C4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0.0162</w:t>
            </w:r>
          </w:p>
        </w:tc>
        <w:tc>
          <w:tcPr>
            <w:tcW w:w="732" w:type="pct"/>
            <w:tcBorders>
              <w:tl2br w:val="nil"/>
              <w:tr2bl w:val="nil"/>
            </w:tcBorders>
            <w:vAlign w:val="center"/>
          </w:tcPr>
          <w:p w14:paraId="1DC67EB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0.021</w:t>
            </w:r>
          </w:p>
        </w:tc>
        <w:tc>
          <w:tcPr>
            <w:tcW w:w="677" w:type="pct"/>
            <w:tcBorders>
              <w:tl2br w:val="nil"/>
              <w:tr2bl w:val="nil"/>
            </w:tcBorders>
            <w:vAlign w:val="center"/>
          </w:tcPr>
          <w:p w14:paraId="1039102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0.0084</w:t>
            </w:r>
          </w:p>
        </w:tc>
        <w:tc>
          <w:tcPr>
            <w:tcW w:w="732" w:type="pct"/>
            <w:tcBorders>
              <w:tl2br w:val="nil"/>
              <w:tr2bl w:val="nil"/>
            </w:tcBorders>
            <w:vAlign w:val="center"/>
          </w:tcPr>
          <w:p w14:paraId="5D44266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52FA7C2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0.0149</w:t>
            </w:r>
          </w:p>
        </w:tc>
      </w:tr>
      <w:tr w14:paraId="7305C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6D7BB27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13000.0</w:t>
            </w:r>
          </w:p>
        </w:tc>
        <w:tc>
          <w:tcPr>
            <w:tcW w:w="732" w:type="pct"/>
            <w:tcBorders>
              <w:tl2br w:val="nil"/>
              <w:tr2bl w:val="nil"/>
            </w:tcBorders>
            <w:vAlign w:val="center"/>
          </w:tcPr>
          <w:p w14:paraId="16CCB7E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0.044</w:t>
            </w:r>
          </w:p>
        </w:tc>
        <w:tc>
          <w:tcPr>
            <w:tcW w:w="677" w:type="pct"/>
            <w:tcBorders>
              <w:tl2br w:val="nil"/>
              <w:tr2bl w:val="nil"/>
            </w:tcBorders>
            <w:vAlign w:val="center"/>
          </w:tcPr>
          <w:p w14:paraId="49BEB4E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0.0146</w:t>
            </w:r>
          </w:p>
        </w:tc>
        <w:tc>
          <w:tcPr>
            <w:tcW w:w="732" w:type="pct"/>
            <w:tcBorders>
              <w:tl2br w:val="nil"/>
              <w:tr2bl w:val="nil"/>
            </w:tcBorders>
            <w:vAlign w:val="center"/>
          </w:tcPr>
          <w:p w14:paraId="6A484F1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0.019</w:t>
            </w:r>
          </w:p>
        </w:tc>
        <w:tc>
          <w:tcPr>
            <w:tcW w:w="677" w:type="pct"/>
            <w:tcBorders>
              <w:tl2br w:val="nil"/>
              <w:tr2bl w:val="nil"/>
            </w:tcBorders>
            <w:vAlign w:val="center"/>
          </w:tcPr>
          <w:p w14:paraId="5B78EC2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0.0075</w:t>
            </w:r>
          </w:p>
        </w:tc>
        <w:tc>
          <w:tcPr>
            <w:tcW w:w="732" w:type="pct"/>
            <w:tcBorders>
              <w:tl2br w:val="nil"/>
              <w:tr2bl w:val="nil"/>
            </w:tcBorders>
            <w:vAlign w:val="center"/>
          </w:tcPr>
          <w:p w14:paraId="2FE0844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17E9CB2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0.0134</w:t>
            </w:r>
          </w:p>
        </w:tc>
      </w:tr>
      <w:tr w14:paraId="5DBE3E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6D4806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14000.0</w:t>
            </w:r>
          </w:p>
        </w:tc>
        <w:tc>
          <w:tcPr>
            <w:tcW w:w="732" w:type="pct"/>
            <w:tcBorders>
              <w:tl2br w:val="nil"/>
              <w:tr2bl w:val="nil"/>
            </w:tcBorders>
            <w:vAlign w:val="center"/>
          </w:tcPr>
          <w:p w14:paraId="1046B52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0.040</w:t>
            </w:r>
          </w:p>
        </w:tc>
        <w:tc>
          <w:tcPr>
            <w:tcW w:w="677" w:type="pct"/>
            <w:tcBorders>
              <w:tl2br w:val="nil"/>
              <w:tr2bl w:val="nil"/>
            </w:tcBorders>
            <w:vAlign w:val="center"/>
          </w:tcPr>
          <w:p w14:paraId="0FFCC96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0.0132</w:t>
            </w:r>
          </w:p>
        </w:tc>
        <w:tc>
          <w:tcPr>
            <w:tcW w:w="732" w:type="pct"/>
            <w:tcBorders>
              <w:tl2br w:val="nil"/>
              <w:tr2bl w:val="nil"/>
            </w:tcBorders>
            <w:vAlign w:val="center"/>
          </w:tcPr>
          <w:p w14:paraId="47C1831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0.017</w:t>
            </w:r>
          </w:p>
        </w:tc>
        <w:tc>
          <w:tcPr>
            <w:tcW w:w="677" w:type="pct"/>
            <w:tcBorders>
              <w:tl2br w:val="nil"/>
              <w:tr2bl w:val="nil"/>
            </w:tcBorders>
            <w:vAlign w:val="center"/>
          </w:tcPr>
          <w:p w14:paraId="60599AF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0.0068</w:t>
            </w:r>
          </w:p>
        </w:tc>
        <w:tc>
          <w:tcPr>
            <w:tcW w:w="732" w:type="pct"/>
            <w:tcBorders>
              <w:tl2br w:val="nil"/>
              <w:tr2bl w:val="nil"/>
            </w:tcBorders>
            <w:vAlign w:val="center"/>
          </w:tcPr>
          <w:p w14:paraId="345C2B2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6F74CC0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0.0121</w:t>
            </w:r>
          </w:p>
        </w:tc>
      </w:tr>
      <w:tr w14:paraId="236F1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5D354D4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15000.0</w:t>
            </w:r>
          </w:p>
        </w:tc>
        <w:tc>
          <w:tcPr>
            <w:tcW w:w="732" w:type="pct"/>
            <w:tcBorders>
              <w:tl2br w:val="nil"/>
              <w:tr2bl w:val="nil"/>
            </w:tcBorders>
            <w:vAlign w:val="center"/>
          </w:tcPr>
          <w:p w14:paraId="5937F39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0.036</w:t>
            </w:r>
          </w:p>
        </w:tc>
        <w:tc>
          <w:tcPr>
            <w:tcW w:w="677" w:type="pct"/>
            <w:tcBorders>
              <w:tl2br w:val="nil"/>
              <w:tr2bl w:val="nil"/>
            </w:tcBorders>
            <w:vAlign w:val="center"/>
          </w:tcPr>
          <w:p w14:paraId="1DF2E4D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0.0120</w:t>
            </w:r>
          </w:p>
        </w:tc>
        <w:tc>
          <w:tcPr>
            <w:tcW w:w="732" w:type="pct"/>
            <w:tcBorders>
              <w:tl2br w:val="nil"/>
              <w:tr2bl w:val="nil"/>
            </w:tcBorders>
            <w:vAlign w:val="center"/>
          </w:tcPr>
          <w:p w14:paraId="72146D4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0.015</w:t>
            </w:r>
          </w:p>
        </w:tc>
        <w:tc>
          <w:tcPr>
            <w:tcW w:w="677" w:type="pct"/>
            <w:tcBorders>
              <w:tl2br w:val="nil"/>
              <w:tr2bl w:val="nil"/>
            </w:tcBorders>
            <w:vAlign w:val="center"/>
          </w:tcPr>
          <w:p w14:paraId="5196661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0.0062</w:t>
            </w:r>
          </w:p>
        </w:tc>
        <w:tc>
          <w:tcPr>
            <w:tcW w:w="732" w:type="pct"/>
            <w:tcBorders>
              <w:tl2br w:val="nil"/>
              <w:tr2bl w:val="nil"/>
            </w:tcBorders>
            <w:vAlign w:val="center"/>
          </w:tcPr>
          <w:p w14:paraId="56B4DC4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4A87AD4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0.0110</w:t>
            </w:r>
          </w:p>
        </w:tc>
      </w:tr>
      <w:tr w14:paraId="3C1763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53E2236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20000.0</w:t>
            </w:r>
          </w:p>
        </w:tc>
        <w:tc>
          <w:tcPr>
            <w:tcW w:w="732" w:type="pct"/>
            <w:tcBorders>
              <w:tl2br w:val="nil"/>
              <w:tr2bl w:val="nil"/>
            </w:tcBorders>
            <w:vAlign w:val="center"/>
          </w:tcPr>
          <w:p w14:paraId="3622234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0.024</w:t>
            </w:r>
          </w:p>
        </w:tc>
        <w:tc>
          <w:tcPr>
            <w:tcW w:w="677" w:type="pct"/>
            <w:tcBorders>
              <w:tl2br w:val="nil"/>
              <w:tr2bl w:val="nil"/>
            </w:tcBorders>
            <w:vAlign w:val="center"/>
          </w:tcPr>
          <w:p w14:paraId="308BB9F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0.0081</w:t>
            </w:r>
          </w:p>
        </w:tc>
        <w:tc>
          <w:tcPr>
            <w:tcW w:w="732" w:type="pct"/>
            <w:tcBorders>
              <w:tl2br w:val="nil"/>
              <w:tr2bl w:val="nil"/>
            </w:tcBorders>
            <w:vAlign w:val="center"/>
          </w:tcPr>
          <w:p w14:paraId="34EB31E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0.010</w:t>
            </w:r>
          </w:p>
        </w:tc>
        <w:tc>
          <w:tcPr>
            <w:tcW w:w="677" w:type="pct"/>
            <w:tcBorders>
              <w:tl2br w:val="nil"/>
              <w:tr2bl w:val="nil"/>
            </w:tcBorders>
            <w:vAlign w:val="center"/>
          </w:tcPr>
          <w:p w14:paraId="679B9DC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0.0042</w:t>
            </w:r>
          </w:p>
        </w:tc>
        <w:tc>
          <w:tcPr>
            <w:tcW w:w="732" w:type="pct"/>
            <w:tcBorders>
              <w:tl2br w:val="nil"/>
              <w:tr2bl w:val="nil"/>
            </w:tcBorders>
            <w:vAlign w:val="center"/>
          </w:tcPr>
          <w:p w14:paraId="229586A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026EF68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0.0074</w:t>
            </w:r>
          </w:p>
        </w:tc>
      </w:tr>
      <w:tr w14:paraId="72DCB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026130F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25000.0</w:t>
            </w:r>
          </w:p>
        </w:tc>
        <w:tc>
          <w:tcPr>
            <w:tcW w:w="732" w:type="pct"/>
            <w:tcBorders>
              <w:tl2br w:val="nil"/>
              <w:tr2bl w:val="nil"/>
            </w:tcBorders>
            <w:vAlign w:val="center"/>
          </w:tcPr>
          <w:p w14:paraId="65BEC46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0.018</w:t>
            </w:r>
          </w:p>
        </w:tc>
        <w:tc>
          <w:tcPr>
            <w:tcW w:w="677" w:type="pct"/>
            <w:tcBorders>
              <w:tl2br w:val="nil"/>
              <w:tr2bl w:val="nil"/>
            </w:tcBorders>
            <w:vAlign w:val="center"/>
          </w:tcPr>
          <w:p w14:paraId="7DA7F32F">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0.0060</w:t>
            </w:r>
          </w:p>
        </w:tc>
        <w:tc>
          <w:tcPr>
            <w:tcW w:w="732" w:type="pct"/>
            <w:tcBorders>
              <w:tl2br w:val="nil"/>
              <w:tr2bl w:val="nil"/>
            </w:tcBorders>
            <w:vAlign w:val="center"/>
          </w:tcPr>
          <w:p w14:paraId="18BFAA8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0.008</w:t>
            </w:r>
          </w:p>
        </w:tc>
        <w:tc>
          <w:tcPr>
            <w:tcW w:w="677" w:type="pct"/>
            <w:tcBorders>
              <w:tl2br w:val="nil"/>
              <w:tr2bl w:val="nil"/>
            </w:tcBorders>
            <w:vAlign w:val="center"/>
          </w:tcPr>
          <w:p w14:paraId="487F8E8B">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0.0031</w:t>
            </w:r>
          </w:p>
        </w:tc>
        <w:tc>
          <w:tcPr>
            <w:tcW w:w="732" w:type="pct"/>
            <w:tcBorders>
              <w:tl2br w:val="nil"/>
              <w:tr2bl w:val="nil"/>
            </w:tcBorders>
            <w:vAlign w:val="center"/>
          </w:tcPr>
          <w:p w14:paraId="35CC682D">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0.000</w:t>
            </w:r>
          </w:p>
        </w:tc>
        <w:tc>
          <w:tcPr>
            <w:tcW w:w="678" w:type="pct"/>
            <w:tcBorders>
              <w:tl2br w:val="nil"/>
              <w:tr2bl w:val="nil"/>
            </w:tcBorders>
            <w:vAlign w:val="center"/>
          </w:tcPr>
          <w:p w14:paraId="31C7C5DA">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0.0055</w:t>
            </w:r>
          </w:p>
        </w:tc>
      </w:tr>
      <w:tr w14:paraId="09F7D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49390C3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下风向最大浓度</w:t>
            </w:r>
          </w:p>
        </w:tc>
        <w:tc>
          <w:tcPr>
            <w:tcW w:w="732" w:type="pct"/>
            <w:tcBorders>
              <w:tl2br w:val="nil"/>
              <w:tr2bl w:val="nil"/>
            </w:tcBorders>
            <w:vAlign w:val="center"/>
          </w:tcPr>
          <w:p w14:paraId="0FC4F74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16.094</w:t>
            </w:r>
          </w:p>
        </w:tc>
        <w:tc>
          <w:tcPr>
            <w:tcW w:w="677" w:type="pct"/>
            <w:tcBorders>
              <w:tl2br w:val="nil"/>
              <w:tr2bl w:val="nil"/>
            </w:tcBorders>
            <w:vAlign w:val="center"/>
          </w:tcPr>
          <w:p w14:paraId="357998D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5.3647</w:t>
            </w:r>
          </w:p>
        </w:tc>
        <w:tc>
          <w:tcPr>
            <w:tcW w:w="732" w:type="pct"/>
            <w:tcBorders>
              <w:tl2br w:val="nil"/>
              <w:tr2bl w:val="nil"/>
            </w:tcBorders>
            <w:vAlign w:val="center"/>
          </w:tcPr>
          <w:p w14:paraId="3F31362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6.896</w:t>
            </w:r>
          </w:p>
        </w:tc>
        <w:tc>
          <w:tcPr>
            <w:tcW w:w="677" w:type="pct"/>
            <w:tcBorders>
              <w:tl2br w:val="nil"/>
              <w:tr2bl w:val="nil"/>
            </w:tcBorders>
            <w:vAlign w:val="center"/>
          </w:tcPr>
          <w:p w14:paraId="14278667">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2.7582</w:t>
            </w:r>
          </w:p>
        </w:tc>
        <w:tc>
          <w:tcPr>
            <w:tcW w:w="732" w:type="pct"/>
            <w:tcBorders>
              <w:tl2br w:val="nil"/>
              <w:tr2bl w:val="nil"/>
            </w:tcBorders>
            <w:vAlign w:val="center"/>
          </w:tcPr>
          <w:p w14:paraId="0883E0C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0.074</w:t>
            </w:r>
          </w:p>
        </w:tc>
        <w:tc>
          <w:tcPr>
            <w:tcW w:w="678" w:type="pct"/>
            <w:tcBorders>
              <w:tl2br w:val="nil"/>
              <w:tr2bl w:val="nil"/>
            </w:tcBorders>
            <w:vAlign w:val="center"/>
          </w:tcPr>
          <w:p w14:paraId="297FD2D0">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4.9270</w:t>
            </w:r>
          </w:p>
        </w:tc>
      </w:tr>
      <w:tr w14:paraId="2B6F73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E79B966">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下风向最大浓度出现距离</w:t>
            </w:r>
          </w:p>
        </w:tc>
        <w:tc>
          <w:tcPr>
            <w:tcW w:w="732" w:type="pct"/>
            <w:tcBorders>
              <w:tl2br w:val="nil"/>
              <w:tr2bl w:val="nil"/>
            </w:tcBorders>
            <w:vAlign w:val="center"/>
          </w:tcPr>
          <w:p w14:paraId="11BCBE1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677" w:type="pct"/>
            <w:tcBorders>
              <w:tl2br w:val="nil"/>
              <w:tr2bl w:val="nil"/>
            </w:tcBorders>
            <w:vAlign w:val="center"/>
          </w:tcPr>
          <w:p w14:paraId="2152509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732" w:type="pct"/>
            <w:tcBorders>
              <w:tl2br w:val="nil"/>
              <w:tr2bl w:val="nil"/>
            </w:tcBorders>
            <w:vAlign w:val="center"/>
          </w:tcPr>
          <w:p w14:paraId="4F3349F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677" w:type="pct"/>
            <w:tcBorders>
              <w:tl2br w:val="nil"/>
              <w:tr2bl w:val="nil"/>
            </w:tcBorders>
            <w:vAlign w:val="center"/>
          </w:tcPr>
          <w:p w14:paraId="63900BE5">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732" w:type="pct"/>
            <w:tcBorders>
              <w:tl2br w:val="nil"/>
              <w:tr2bl w:val="nil"/>
            </w:tcBorders>
            <w:vAlign w:val="center"/>
          </w:tcPr>
          <w:p w14:paraId="6160EB5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46.0</w:t>
            </w:r>
          </w:p>
        </w:tc>
        <w:tc>
          <w:tcPr>
            <w:tcW w:w="678" w:type="pct"/>
            <w:tcBorders>
              <w:tl2br w:val="nil"/>
              <w:tr2bl w:val="nil"/>
            </w:tcBorders>
            <w:vAlign w:val="center"/>
          </w:tcPr>
          <w:p w14:paraId="6D6A6748">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46.0</w:t>
            </w:r>
          </w:p>
        </w:tc>
      </w:tr>
      <w:tr w14:paraId="6063D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67" w:type="pct"/>
            <w:tcBorders>
              <w:tl2br w:val="nil"/>
              <w:tr2bl w:val="nil"/>
            </w:tcBorders>
            <w:vAlign w:val="center"/>
          </w:tcPr>
          <w:p w14:paraId="722E2F9E">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D10%最远距离</w:t>
            </w:r>
          </w:p>
        </w:tc>
        <w:tc>
          <w:tcPr>
            <w:tcW w:w="732" w:type="pct"/>
            <w:tcBorders>
              <w:tl2br w:val="nil"/>
              <w:tr2bl w:val="nil"/>
            </w:tcBorders>
            <w:vAlign w:val="center"/>
          </w:tcPr>
          <w:p w14:paraId="2E846DB9">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77" w:type="pct"/>
            <w:tcBorders>
              <w:tl2br w:val="nil"/>
              <w:tr2bl w:val="nil"/>
            </w:tcBorders>
            <w:vAlign w:val="center"/>
          </w:tcPr>
          <w:p w14:paraId="01F5618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32" w:type="pct"/>
            <w:tcBorders>
              <w:tl2br w:val="nil"/>
              <w:tr2bl w:val="nil"/>
            </w:tcBorders>
            <w:vAlign w:val="center"/>
          </w:tcPr>
          <w:p w14:paraId="5CD44451">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77" w:type="pct"/>
            <w:tcBorders>
              <w:tl2br w:val="nil"/>
              <w:tr2bl w:val="nil"/>
            </w:tcBorders>
            <w:vAlign w:val="center"/>
          </w:tcPr>
          <w:p w14:paraId="739218A4">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732" w:type="pct"/>
            <w:tcBorders>
              <w:tl2br w:val="nil"/>
              <w:tr2bl w:val="nil"/>
            </w:tcBorders>
            <w:vAlign w:val="center"/>
          </w:tcPr>
          <w:p w14:paraId="38DD65C3">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78" w:type="pct"/>
            <w:tcBorders>
              <w:tl2br w:val="nil"/>
              <w:tr2bl w:val="nil"/>
            </w:tcBorders>
            <w:vAlign w:val="center"/>
          </w:tcPr>
          <w:p w14:paraId="7C98DB92">
            <w:pPr>
              <w:pStyle w:val="41"/>
              <w:keepNext w:val="0"/>
              <w:keepLines w:val="0"/>
              <w:pageBreakBefore w:val="0"/>
              <w:widowControl w:val="0"/>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28AE11C5">
      <w:pPr>
        <w:pStyle w:val="13"/>
        <w:spacing w:line="240" w:lineRule="auto"/>
        <w:ind w:firstLine="480"/>
        <w:jc w:val="center"/>
        <w:rPr>
          <w:rFonts w:hint="default" w:ascii="Times New Roman" w:hAnsi="Times New Roman" w:eastAsia="黑体" w:cs="Times New Roman"/>
          <w:b w:val="0"/>
          <w:bCs w:val="0"/>
          <w:color w:val="FF0000"/>
          <w:szCs w:val="20"/>
          <w:u w:val="none"/>
        </w:rPr>
        <w:sectPr>
          <w:pgSz w:w="11907" w:h="16840"/>
          <w:pgMar w:top="1361" w:right="1474" w:bottom="1588" w:left="1588" w:header="851" w:footer="992" w:gutter="0"/>
          <w:pgBorders>
            <w:top w:val="none" w:sz="0" w:space="0"/>
            <w:left w:val="none" w:sz="0" w:space="0"/>
            <w:bottom w:val="none" w:sz="0" w:space="0"/>
            <w:right w:val="none" w:sz="0" w:space="0"/>
          </w:pgBorders>
          <w:pgNumType w:fmt="decimal"/>
          <w:cols w:space="720" w:num="1"/>
          <w:docGrid w:linePitch="312" w:charSpace="0"/>
        </w:sectPr>
      </w:pPr>
    </w:p>
    <w:p w14:paraId="6B004F72">
      <w:pPr>
        <w:spacing w:line="520" w:lineRule="exact"/>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估算模式已考虑了最不利的气象条件，根据结果，各污染物下风向预测最大地面浓度、占标率见</w:t>
      </w:r>
      <w:r>
        <w:rPr>
          <w:rFonts w:hint="eastAsia" w:ascii="Times New Roman" w:hAnsi="Times New Roman" w:cs="Times New Roman"/>
          <w:color w:val="auto"/>
          <w:u w:val="none"/>
          <w:lang w:val="en-US" w:eastAsia="zh-CN"/>
        </w:rPr>
        <w:t>下</w:t>
      </w:r>
      <w:r>
        <w:rPr>
          <w:rFonts w:hint="default" w:ascii="Times New Roman" w:hAnsi="Times New Roman" w:cs="Times New Roman"/>
          <w:color w:val="auto"/>
          <w:u w:val="none"/>
        </w:rPr>
        <w:t>表。</w:t>
      </w:r>
    </w:p>
    <w:p w14:paraId="7C2B6E6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表6.2-1</w:t>
      </w:r>
      <w:r>
        <w:rPr>
          <w:rFonts w:hint="eastAsia" w:ascii="Times New Roman" w:hAnsi="Times New Roman" w:cs="Times New Roman"/>
          <w:b/>
          <w:bCs/>
          <w:color w:val="auto"/>
          <w:u w:val="none"/>
          <w:lang w:val="en-US" w:eastAsia="zh-CN"/>
        </w:rPr>
        <w:t xml:space="preserve">2  </w:t>
      </w:r>
      <w:r>
        <w:rPr>
          <w:rFonts w:hint="default" w:ascii="Times New Roman" w:hAnsi="Times New Roman" w:cs="Times New Roman"/>
          <w:b/>
          <w:bCs/>
          <w:color w:val="auto"/>
          <w:u w:val="none"/>
          <w:lang w:val="zh-CN"/>
        </w:rPr>
        <w:t>污染物下风向预测最大地面浓度、占标率一览表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090"/>
        <w:gridCol w:w="1155"/>
        <w:gridCol w:w="1876"/>
        <w:gridCol w:w="1876"/>
        <w:gridCol w:w="1765"/>
      </w:tblGrid>
      <w:tr w14:paraId="624106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58" w:type="dxa"/>
            <w:tcBorders>
              <w:tl2br w:val="nil"/>
              <w:tr2bl w:val="nil"/>
            </w:tcBorders>
            <w:vAlign w:val="center"/>
          </w:tcPr>
          <w:p w14:paraId="355194D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类别</w:t>
            </w:r>
          </w:p>
        </w:tc>
        <w:tc>
          <w:tcPr>
            <w:tcW w:w="1090" w:type="dxa"/>
            <w:tcBorders>
              <w:tl2br w:val="nil"/>
              <w:tr2bl w:val="nil"/>
            </w:tcBorders>
            <w:vAlign w:val="center"/>
          </w:tcPr>
          <w:p w14:paraId="148C1DB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污染源</w:t>
            </w:r>
          </w:p>
        </w:tc>
        <w:tc>
          <w:tcPr>
            <w:tcW w:w="1155" w:type="dxa"/>
            <w:tcBorders>
              <w:tl2br w:val="nil"/>
              <w:tr2bl w:val="nil"/>
            </w:tcBorders>
            <w:vAlign w:val="center"/>
          </w:tcPr>
          <w:p w14:paraId="00721B5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1876" w:type="dxa"/>
            <w:tcBorders>
              <w:tl2br w:val="nil"/>
              <w:tr2bl w:val="nil"/>
            </w:tcBorders>
            <w:vAlign w:val="center"/>
          </w:tcPr>
          <w:p w14:paraId="732257A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下风向最大落地浓度(μg/m³)</w:t>
            </w:r>
          </w:p>
        </w:tc>
        <w:tc>
          <w:tcPr>
            <w:tcW w:w="1876" w:type="dxa"/>
            <w:tcBorders>
              <w:tl2br w:val="nil"/>
              <w:tr2bl w:val="nil"/>
            </w:tcBorders>
            <w:vAlign w:val="center"/>
          </w:tcPr>
          <w:p w14:paraId="0B1DEB2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最大落地浓度占标率Pmax（%）</w:t>
            </w:r>
          </w:p>
        </w:tc>
        <w:tc>
          <w:tcPr>
            <w:tcW w:w="1765" w:type="dxa"/>
            <w:tcBorders>
              <w:tl2br w:val="nil"/>
              <w:tr2bl w:val="nil"/>
            </w:tcBorders>
            <w:vAlign w:val="center"/>
          </w:tcPr>
          <w:p w14:paraId="5083D9C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下风向最大浓度出现距离m</w:t>
            </w:r>
          </w:p>
        </w:tc>
      </w:tr>
      <w:tr w14:paraId="432C9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restart"/>
            <w:tcBorders>
              <w:tl2br w:val="nil"/>
              <w:tr2bl w:val="nil"/>
            </w:tcBorders>
            <w:vAlign w:val="center"/>
          </w:tcPr>
          <w:p w14:paraId="48552DBB">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有组织</w:t>
            </w:r>
          </w:p>
        </w:tc>
        <w:tc>
          <w:tcPr>
            <w:tcW w:w="1090" w:type="dxa"/>
            <w:vMerge w:val="restart"/>
            <w:tcBorders>
              <w:tl2br w:val="nil"/>
              <w:tr2bl w:val="nil"/>
            </w:tcBorders>
            <w:vAlign w:val="center"/>
          </w:tcPr>
          <w:p w14:paraId="107B24EC">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1155" w:type="dxa"/>
            <w:tcBorders>
              <w:tl2br w:val="nil"/>
              <w:tr2bl w:val="nil"/>
            </w:tcBorders>
            <w:vAlign w:val="center"/>
          </w:tcPr>
          <w:p w14:paraId="62142E37">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w:t>
            </w:r>
            <w:r>
              <w:rPr>
                <w:rFonts w:hint="eastAsia" w:cs="Times New Roman"/>
                <w:color w:val="auto"/>
                <w:u w:val="none"/>
                <w:lang w:val="en-US" w:eastAsia="zh-CN"/>
              </w:rPr>
              <w:t>雾</w:t>
            </w:r>
          </w:p>
        </w:tc>
        <w:tc>
          <w:tcPr>
            <w:tcW w:w="1876" w:type="dxa"/>
            <w:tcBorders>
              <w:tl2br w:val="nil"/>
              <w:tr2bl w:val="nil"/>
            </w:tcBorders>
            <w:vAlign w:val="center"/>
          </w:tcPr>
          <w:p w14:paraId="51AEED29">
            <w:pPr>
              <w:pStyle w:val="41"/>
              <w:widowControl w:val="0"/>
              <w:rPr>
                <w:rFonts w:hint="default" w:cs="Times New Roman"/>
                <w:color w:val="auto"/>
                <w:u w:val="none"/>
                <w:lang w:val="en-US" w:eastAsia="zh-CN"/>
              </w:rPr>
            </w:pPr>
            <w:r>
              <w:rPr>
                <w:rFonts w:hint="eastAsia" w:cs="Times New Roman"/>
                <w:color w:val="auto"/>
                <w:u w:val="none"/>
                <w:lang w:val="en-US" w:eastAsia="zh-CN"/>
              </w:rPr>
              <w:t>3.702</w:t>
            </w:r>
          </w:p>
        </w:tc>
        <w:tc>
          <w:tcPr>
            <w:tcW w:w="1876" w:type="dxa"/>
            <w:tcBorders>
              <w:tl2br w:val="nil"/>
              <w:tr2bl w:val="nil"/>
            </w:tcBorders>
            <w:vAlign w:val="center"/>
          </w:tcPr>
          <w:p w14:paraId="1DBB21E8">
            <w:pPr>
              <w:pStyle w:val="41"/>
              <w:widowControl w:val="0"/>
              <w:rPr>
                <w:rFonts w:hint="default" w:cs="Times New Roman"/>
                <w:color w:val="auto"/>
                <w:u w:val="none"/>
                <w:lang w:val="en-US" w:eastAsia="zh-CN"/>
              </w:rPr>
            </w:pPr>
            <w:r>
              <w:rPr>
                <w:rFonts w:hint="eastAsia" w:cs="Times New Roman"/>
                <w:color w:val="auto"/>
                <w:u w:val="none"/>
                <w:lang w:val="en-US" w:eastAsia="zh-CN"/>
              </w:rPr>
              <w:t>1.234</w:t>
            </w:r>
          </w:p>
        </w:tc>
        <w:tc>
          <w:tcPr>
            <w:tcW w:w="1765" w:type="dxa"/>
            <w:tcBorders>
              <w:tl2br w:val="nil"/>
              <w:tr2bl w:val="nil"/>
            </w:tcBorders>
            <w:vAlign w:val="center"/>
          </w:tcPr>
          <w:p w14:paraId="124D1CAF">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255</w:t>
            </w:r>
          </w:p>
        </w:tc>
      </w:tr>
      <w:tr w14:paraId="37FABB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5FA4E985">
            <w:pPr>
              <w:pStyle w:val="41"/>
              <w:rPr>
                <w:rFonts w:hint="eastAsia" w:cs="Times New Roman"/>
                <w:color w:val="auto"/>
                <w:u w:val="none"/>
                <w:lang w:val="en-US" w:eastAsia="zh-CN"/>
              </w:rPr>
            </w:pPr>
          </w:p>
        </w:tc>
        <w:tc>
          <w:tcPr>
            <w:tcW w:w="1090" w:type="dxa"/>
            <w:vMerge w:val="continue"/>
            <w:tcBorders>
              <w:tl2br w:val="nil"/>
              <w:tr2bl w:val="nil"/>
            </w:tcBorders>
            <w:vAlign w:val="center"/>
          </w:tcPr>
          <w:p w14:paraId="1DB64B36">
            <w:pPr>
              <w:pStyle w:val="41"/>
              <w:rPr>
                <w:rFonts w:hint="default" w:ascii="Times New Roman" w:hAnsi="Times New Roman" w:cs="Times New Roman"/>
                <w:color w:val="auto"/>
                <w:u w:val="none"/>
              </w:rPr>
            </w:pPr>
          </w:p>
        </w:tc>
        <w:tc>
          <w:tcPr>
            <w:tcW w:w="1155" w:type="dxa"/>
            <w:tcBorders>
              <w:tl2br w:val="nil"/>
              <w:tr2bl w:val="nil"/>
            </w:tcBorders>
            <w:vAlign w:val="center"/>
          </w:tcPr>
          <w:p w14:paraId="275F0C06">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 xml:space="preserve"> </w:t>
            </w:r>
            <w:r>
              <w:rPr>
                <w:rFonts w:hint="default" w:ascii="Times New Roman" w:hAnsi="Times New Roman" w:cs="Times New Roman"/>
                <w:color w:val="auto"/>
                <w:u w:val="none"/>
              </w:rPr>
              <w:t>x</w:t>
            </w:r>
          </w:p>
        </w:tc>
        <w:tc>
          <w:tcPr>
            <w:tcW w:w="1876" w:type="dxa"/>
            <w:tcBorders>
              <w:tl2br w:val="nil"/>
              <w:tr2bl w:val="nil"/>
            </w:tcBorders>
            <w:vAlign w:val="center"/>
          </w:tcPr>
          <w:p w14:paraId="1B91A113">
            <w:pPr>
              <w:pStyle w:val="41"/>
              <w:widowControl w:val="0"/>
              <w:rPr>
                <w:rFonts w:hint="eastAsia" w:cs="Times New Roman"/>
                <w:color w:val="auto"/>
                <w:u w:val="none"/>
                <w:lang w:val="en-US" w:eastAsia="zh-CN"/>
              </w:rPr>
            </w:pPr>
            <w:r>
              <w:rPr>
                <w:rFonts w:hint="eastAsia" w:cs="Times New Roman"/>
                <w:color w:val="auto"/>
                <w:u w:val="none"/>
                <w:lang w:val="en-US" w:eastAsia="zh-CN"/>
              </w:rPr>
              <w:t>2.380</w:t>
            </w:r>
          </w:p>
        </w:tc>
        <w:tc>
          <w:tcPr>
            <w:tcW w:w="1876" w:type="dxa"/>
            <w:tcBorders>
              <w:tl2br w:val="nil"/>
              <w:tr2bl w:val="nil"/>
            </w:tcBorders>
            <w:vAlign w:val="center"/>
          </w:tcPr>
          <w:p w14:paraId="3F695897">
            <w:pPr>
              <w:pStyle w:val="41"/>
              <w:widowControl w:val="0"/>
              <w:rPr>
                <w:rFonts w:hint="eastAsia" w:cs="Times New Roman"/>
                <w:color w:val="auto"/>
                <w:u w:val="none"/>
                <w:lang w:val="en-US" w:eastAsia="zh-CN"/>
              </w:rPr>
            </w:pPr>
            <w:r>
              <w:rPr>
                <w:rFonts w:hint="eastAsia" w:cs="Times New Roman"/>
                <w:color w:val="auto"/>
                <w:u w:val="none"/>
                <w:lang w:val="en-US" w:eastAsia="zh-CN"/>
              </w:rPr>
              <w:t>0.952</w:t>
            </w:r>
          </w:p>
        </w:tc>
        <w:tc>
          <w:tcPr>
            <w:tcW w:w="1765" w:type="dxa"/>
            <w:tcBorders>
              <w:tl2br w:val="nil"/>
              <w:tr2bl w:val="nil"/>
            </w:tcBorders>
            <w:vAlign w:val="center"/>
          </w:tcPr>
          <w:p w14:paraId="1D764308">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255</w:t>
            </w:r>
          </w:p>
        </w:tc>
      </w:tr>
      <w:tr w14:paraId="41BC2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720F14AF">
            <w:pPr>
              <w:pStyle w:val="41"/>
              <w:rPr>
                <w:rFonts w:hint="eastAsia" w:cs="Times New Roman"/>
                <w:color w:val="auto"/>
                <w:u w:val="none"/>
                <w:lang w:val="en-US" w:eastAsia="zh-CN"/>
              </w:rPr>
            </w:pPr>
          </w:p>
        </w:tc>
        <w:tc>
          <w:tcPr>
            <w:tcW w:w="1090" w:type="dxa"/>
            <w:tcBorders>
              <w:tl2br w:val="nil"/>
              <w:tr2bl w:val="nil"/>
            </w:tcBorders>
            <w:vAlign w:val="center"/>
          </w:tcPr>
          <w:p w14:paraId="33F23AB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DA002</w:t>
            </w:r>
          </w:p>
        </w:tc>
        <w:tc>
          <w:tcPr>
            <w:tcW w:w="1155" w:type="dxa"/>
            <w:tcBorders>
              <w:tl2br w:val="nil"/>
              <w:tr2bl w:val="nil"/>
            </w:tcBorders>
            <w:vAlign w:val="center"/>
          </w:tcPr>
          <w:p w14:paraId="7C8A264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铬酸雾</w:t>
            </w:r>
          </w:p>
        </w:tc>
        <w:tc>
          <w:tcPr>
            <w:tcW w:w="1876" w:type="dxa"/>
            <w:tcBorders>
              <w:tl2br w:val="nil"/>
              <w:tr2bl w:val="nil"/>
            </w:tcBorders>
            <w:vAlign w:val="center"/>
          </w:tcPr>
          <w:p w14:paraId="4129A2F6">
            <w:pPr>
              <w:pStyle w:val="41"/>
              <w:widowControl w:val="0"/>
              <w:rPr>
                <w:rFonts w:hint="eastAsia" w:cs="Times New Roman"/>
                <w:color w:val="auto"/>
                <w:u w:val="none"/>
                <w:lang w:val="en-US" w:eastAsia="zh-CN"/>
              </w:rPr>
            </w:pPr>
            <w:r>
              <w:rPr>
                <w:rFonts w:hint="eastAsia" w:cs="Times New Roman"/>
                <w:color w:val="auto"/>
                <w:u w:val="none"/>
                <w:lang w:val="en-US" w:eastAsia="zh-CN"/>
              </w:rPr>
              <w:t>0.126</w:t>
            </w:r>
          </w:p>
        </w:tc>
        <w:tc>
          <w:tcPr>
            <w:tcW w:w="1876" w:type="dxa"/>
            <w:tcBorders>
              <w:tl2br w:val="nil"/>
              <w:tr2bl w:val="nil"/>
            </w:tcBorders>
            <w:vAlign w:val="center"/>
          </w:tcPr>
          <w:p w14:paraId="6668C638">
            <w:pPr>
              <w:pStyle w:val="41"/>
              <w:widowControl w:val="0"/>
              <w:rPr>
                <w:rFonts w:hint="eastAsia" w:cs="Times New Roman"/>
                <w:color w:val="auto"/>
                <w:u w:val="none"/>
                <w:lang w:val="en-US" w:eastAsia="zh-CN"/>
              </w:rPr>
            </w:pPr>
            <w:r>
              <w:rPr>
                <w:rFonts w:hint="eastAsia" w:cs="Times New Roman"/>
                <w:color w:val="auto"/>
                <w:u w:val="none"/>
                <w:lang w:val="en-US" w:eastAsia="zh-CN"/>
              </w:rPr>
              <w:t>8.414</w:t>
            </w:r>
          </w:p>
        </w:tc>
        <w:tc>
          <w:tcPr>
            <w:tcW w:w="1765" w:type="dxa"/>
            <w:tcBorders>
              <w:tl2br w:val="nil"/>
              <w:tr2bl w:val="nil"/>
            </w:tcBorders>
            <w:vAlign w:val="center"/>
          </w:tcPr>
          <w:p w14:paraId="0A089267">
            <w:pPr>
              <w:pStyle w:val="41"/>
              <w:rPr>
                <w:rFonts w:hint="default" w:ascii="Times New Roman" w:hAnsi="Times New Roman" w:cs="Times New Roman"/>
                <w:color w:val="auto"/>
                <w:u w:val="none"/>
                <w:lang w:val="en-US" w:eastAsia="zh-CN"/>
              </w:rPr>
            </w:pPr>
            <w:r>
              <w:rPr>
                <w:rFonts w:hint="eastAsia" w:cs="Times New Roman"/>
                <w:color w:val="auto"/>
                <w:u w:val="none"/>
                <w:lang w:val="en-US" w:eastAsia="zh-CN"/>
              </w:rPr>
              <w:t>407</w:t>
            </w:r>
          </w:p>
        </w:tc>
      </w:tr>
      <w:tr w14:paraId="0C93F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restart"/>
            <w:tcBorders>
              <w:tl2br w:val="nil"/>
              <w:tr2bl w:val="nil"/>
            </w:tcBorders>
            <w:vAlign w:val="center"/>
          </w:tcPr>
          <w:p w14:paraId="7A40619B">
            <w:pPr>
              <w:pStyle w:val="41"/>
              <w:rPr>
                <w:rFonts w:hint="default" w:ascii="Times New Roman" w:hAnsi="Times New Roman" w:cs="Times New Roman"/>
                <w:color w:val="auto"/>
                <w:u w:val="none"/>
              </w:rPr>
            </w:pPr>
            <w:r>
              <w:rPr>
                <w:rFonts w:hint="default" w:ascii="Times New Roman" w:hAnsi="Times New Roman" w:cs="Times New Roman"/>
                <w:color w:val="auto"/>
                <w:u w:val="none"/>
              </w:rPr>
              <w:t>无组织</w:t>
            </w:r>
          </w:p>
        </w:tc>
        <w:tc>
          <w:tcPr>
            <w:tcW w:w="1090" w:type="dxa"/>
            <w:vMerge w:val="restart"/>
            <w:tcBorders>
              <w:tl2br w:val="nil"/>
              <w:tr2bl w:val="nil"/>
            </w:tcBorders>
            <w:vAlign w:val="center"/>
          </w:tcPr>
          <w:p w14:paraId="256CED1A">
            <w:pPr>
              <w:pStyle w:val="41"/>
              <w:rPr>
                <w:rFonts w:hint="default" w:ascii="Times New Roman" w:hAnsi="Times New Roman" w:cs="Times New Roman"/>
                <w:color w:val="auto"/>
                <w:u w:val="none"/>
              </w:rPr>
            </w:pPr>
            <w:r>
              <w:rPr>
                <w:rFonts w:hint="default" w:ascii="Times New Roman" w:hAnsi="Times New Roman" w:cs="Times New Roman"/>
                <w:color w:val="auto"/>
                <w:u w:val="none"/>
              </w:rPr>
              <w:t>生产车间</w:t>
            </w:r>
          </w:p>
        </w:tc>
        <w:tc>
          <w:tcPr>
            <w:tcW w:w="1155" w:type="dxa"/>
            <w:tcBorders>
              <w:tl2br w:val="nil"/>
              <w:tr2bl w:val="nil"/>
            </w:tcBorders>
            <w:vAlign w:val="center"/>
          </w:tcPr>
          <w:p w14:paraId="39E4247E">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w:t>
            </w:r>
            <w:r>
              <w:rPr>
                <w:rFonts w:hint="eastAsia" w:cs="Times New Roman"/>
                <w:color w:val="auto"/>
                <w:u w:val="none"/>
                <w:lang w:val="en-US" w:eastAsia="zh-CN"/>
              </w:rPr>
              <w:t>雾</w:t>
            </w:r>
          </w:p>
        </w:tc>
        <w:tc>
          <w:tcPr>
            <w:tcW w:w="1876" w:type="dxa"/>
            <w:tcBorders>
              <w:tl2br w:val="nil"/>
              <w:tr2bl w:val="nil"/>
            </w:tcBorders>
            <w:vAlign w:val="center"/>
          </w:tcPr>
          <w:p w14:paraId="5365D034">
            <w:pPr>
              <w:pStyle w:val="41"/>
              <w:widowControl w:val="0"/>
              <w:rPr>
                <w:rFonts w:hint="default" w:cs="Times New Roman"/>
                <w:color w:val="auto"/>
                <w:u w:val="none"/>
                <w:lang w:val="en-US" w:eastAsia="zh-CN"/>
              </w:rPr>
            </w:pPr>
            <w:r>
              <w:rPr>
                <w:rFonts w:hint="eastAsia" w:cs="Times New Roman"/>
                <w:color w:val="auto"/>
                <w:u w:val="none"/>
                <w:lang w:val="en-US" w:eastAsia="zh-CN"/>
              </w:rPr>
              <w:t>16.094</w:t>
            </w:r>
          </w:p>
        </w:tc>
        <w:tc>
          <w:tcPr>
            <w:tcW w:w="1876" w:type="dxa"/>
            <w:tcBorders>
              <w:tl2br w:val="nil"/>
              <w:tr2bl w:val="nil"/>
            </w:tcBorders>
            <w:vAlign w:val="center"/>
          </w:tcPr>
          <w:p w14:paraId="31D610E7">
            <w:pPr>
              <w:pStyle w:val="41"/>
              <w:widowControl w:val="0"/>
              <w:rPr>
                <w:rFonts w:hint="default" w:cs="Times New Roman"/>
                <w:color w:val="auto"/>
                <w:u w:val="none"/>
                <w:lang w:val="en-US" w:eastAsia="zh-CN"/>
              </w:rPr>
            </w:pPr>
            <w:r>
              <w:rPr>
                <w:rFonts w:hint="eastAsia" w:cs="Times New Roman"/>
                <w:color w:val="auto"/>
                <w:u w:val="none"/>
                <w:lang w:val="en-US" w:eastAsia="zh-CN"/>
              </w:rPr>
              <w:t>5.365</w:t>
            </w:r>
          </w:p>
        </w:tc>
        <w:tc>
          <w:tcPr>
            <w:tcW w:w="1765" w:type="dxa"/>
            <w:tcBorders>
              <w:tl2br w:val="nil"/>
              <w:tr2bl w:val="nil"/>
            </w:tcBorders>
            <w:vAlign w:val="center"/>
          </w:tcPr>
          <w:p w14:paraId="7EE88D3C">
            <w:pPr>
              <w:pStyle w:val="41"/>
              <w:widowControl w:val="0"/>
              <w:rPr>
                <w:rFonts w:hint="default" w:cs="Times New Roman"/>
                <w:color w:val="auto"/>
                <w:u w:val="none"/>
                <w:lang w:val="en-US" w:eastAsia="zh-CN"/>
              </w:rPr>
            </w:pPr>
            <w:r>
              <w:rPr>
                <w:rFonts w:hint="eastAsia" w:cs="Times New Roman"/>
                <w:color w:val="auto"/>
                <w:u w:val="none"/>
                <w:lang w:val="en-US" w:eastAsia="zh-CN"/>
              </w:rPr>
              <w:t>46</w:t>
            </w:r>
          </w:p>
        </w:tc>
      </w:tr>
      <w:tr w14:paraId="5D6F9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243CC23D">
            <w:pPr>
              <w:pStyle w:val="41"/>
              <w:rPr>
                <w:rFonts w:hint="default" w:ascii="Times New Roman" w:hAnsi="Times New Roman" w:cs="Times New Roman"/>
                <w:color w:val="auto"/>
                <w:u w:val="none"/>
              </w:rPr>
            </w:pPr>
          </w:p>
        </w:tc>
        <w:tc>
          <w:tcPr>
            <w:tcW w:w="1090" w:type="dxa"/>
            <w:vMerge w:val="continue"/>
            <w:tcBorders>
              <w:tl2br w:val="nil"/>
              <w:tr2bl w:val="nil"/>
            </w:tcBorders>
            <w:vAlign w:val="center"/>
          </w:tcPr>
          <w:p w14:paraId="3020012D">
            <w:pPr>
              <w:pStyle w:val="41"/>
              <w:rPr>
                <w:rFonts w:hint="default" w:ascii="Times New Roman" w:hAnsi="Times New Roman" w:cs="Times New Roman"/>
                <w:color w:val="auto"/>
                <w:u w:val="none"/>
              </w:rPr>
            </w:pPr>
          </w:p>
        </w:tc>
        <w:tc>
          <w:tcPr>
            <w:tcW w:w="1155" w:type="dxa"/>
            <w:tcBorders>
              <w:tl2br w:val="nil"/>
              <w:tr2bl w:val="nil"/>
            </w:tcBorders>
            <w:vAlign w:val="center"/>
          </w:tcPr>
          <w:p w14:paraId="31974F9B">
            <w:pPr>
              <w:pStyle w:val="41"/>
              <w:rPr>
                <w:rFonts w:hint="default" w:ascii="Times New Roman" w:hAnsi="Times New Roman" w:cs="Times New Roman"/>
                <w:color w:val="auto"/>
                <w:u w:val="none"/>
              </w:rPr>
            </w:pPr>
            <w:r>
              <w:rPr>
                <w:rFonts w:hint="default" w:ascii="Times New Roman" w:hAnsi="Times New Roman" w:cs="Times New Roman"/>
                <w:color w:val="auto"/>
                <w:u w:val="none"/>
              </w:rPr>
              <w:t>NOx</w:t>
            </w:r>
          </w:p>
        </w:tc>
        <w:tc>
          <w:tcPr>
            <w:tcW w:w="1876" w:type="dxa"/>
            <w:tcBorders>
              <w:tl2br w:val="nil"/>
              <w:tr2bl w:val="nil"/>
            </w:tcBorders>
            <w:vAlign w:val="center"/>
          </w:tcPr>
          <w:p w14:paraId="1703DAF4">
            <w:pPr>
              <w:pStyle w:val="41"/>
              <w:widowControl w:val="0"/>
              <w:rPr>
                <w:rFonts w:hint="eastAsia" w:cs="Times New Roman"/>
                <w:color w:val="auto"/>
                <w:u w:val="none"/>
                <w:lang w:val="en-US" w:eastAsia="zh-CN"/>
              </w:rPr>
            </w:pPr>
            <w:r>
              <w:rPr>
                <w:rFonts w:hint="eastAsia" w:cs="Times New Roman"/>
                <w:color w:val="auto"/>
                <w:u w:val="none"/>
                <w:lang w:val="en-US" w:eastAsia="zh-CN"/>
              </w:rPr>
              <w:t>6.896</w:t>
            </w:r>
          </w:p>
        </w:tc>
        <w:tc>
          <w:tcPr>
            <w:tcW w:w="1876" w:type="dxa"/>
            <w:tcBorders>
              <w:tl2br w:val="nil"/>
              <w:tr2bl w:val="nil"/>
            </w:tcBorders>
            <w:vAlign w:val="center"/>
          </w:tcPr>
          <w:p w14:paraId="135AC224">
            <w:pPr>
              <w:pStyle w:val="41"/>
              <w:widowControl w:val="0"/>
              <w:rPr>
                <w:rFonts w:hint="eastAsia" w:cs="Times New Roman"/>
                <w:color w:val="auto"/>
                <w:u w:val="none"/>
                <w:lang w:val="en-US" w:eastAsia="zh-CN"/>
              </w:rPr>
            </w:pPr>
            <w:r>
              <w:rPr>
                <w:rFonts w:hint="eastAsia" w:cs="Times New Roman"/>
                <w:color w:val="auto"/>
                <w:u w:val="none"/>
                <w:lang w:val="en-US" w:eastAsia="zh-CN"/>
              </w:rPr>
              <w:t>2.758</w:t>
            </w:r>
          </w:p>
        </w:tc>
        <w:tc>
          <w:tcPr>
            <w:tcW w:w="1765" w:type="dxa"/>
            <w:tcBorders>
              <w:tl2br w:val="nil"/>
              <w:tr2bl w:val="nil"/>
            </w:tcBorders>
            <w:vAlign w:val="center"/>
          </w:tcPr>
          <w:p w14:paraId="73A52A11">
            <w:pPr>
              <w:pStyle w:val="41"/>
              <w:widowControl w:val="0"/>
              <w:rPr>
                <w:rFonts w:hint="default" w:cs="Times New Roman"/>
                <w:color w:val="auto"/>
                <w:u w:val="none"/>
                <w:lang w:val="en-US" w:eastAsia="zh-CN"/>
              </w:rPr>
            </w:pPr>
            <w:r>
              <w:rPr>
                <w:rFonts w:hint="eastAsia" w:cs="Times New Roman"/>
                <w:color w:val="auto"/>
                <w:u w:val="none"/>
                <w:lang w:val="en-US" w:eastAsia="zh-CN"/>
              </w:rPr>
              <w:t>46</w:t>
            </w:r>
          </w:p>
        </w:tc>
      </w:tr>
      <w:tr w14:paraId="7304BC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8" w:type="dxa"/>
            <w:vMerge w:val="continue"/>
            <w:tcBorders>
              <w:tl2br w:val="nil"/>
              <w:tr2bl w:val="nil"/>
            </w:tcBorders>
            <w:vAlign w:val="center"/>
          </w:tcPr>
          <w:p w14:paraId="0A812460">
            <w:pPr>
              <w:pStyle w:val="41"/>
              <w:rPr>
                <w:rFonts w:hint="default" w:ascii="Times New Roman" w:hAnsi="Times New Roman" w:cs="Times New Roman"/>
                <w:color w:val="auto"/>
                <w:u w:val="none"/>
              </w:rPr>
            </w:pPr>
          </w:p>
        </w:tc>
        <w:tc>
          <w:tcPr>
            <w:tcW w:w="1090" w:type="dxa"/>
            <w:vMerge w:val="continue"/>
            <w:tcBorders>
              <w:tl2br w:val="nil"/>
              <w:tr2bl w:val="nil"/>
            </w:tcBorders>
            <w:vAlign w:val="center"/>
          </w:tcPr>
          <w:p w14:paraId="0C8C3C24">
            <w:pPr>
              <w:pStyle w:val="41"/>
              <w:rPr>
                <w:rFonts w:hint="default" w:ascii="Times New Roman" w:hAnsi="Times New Roman" w:cs="Times New Roman"/>
                <w:color w:val="auto"/>
                <w:u w:val="none"/>
              </w:rPr>
            </w:pPr>
          </w:p>
        </w:tc>
        <w:tc>
          <w:tcPr>
            <w:tcW w:w="1155" w:type="dxa"/>
            <w:tcBorders>
              <w:tl2br w:val="nil"/>
              <w:tr2bl w:val="nil"/>
            </w:tcBorders>
            <w:vAlign w:val="center"/>
          </w:tcPr>
          <w:p w14:paraId="651080B3">
            <w:pPr>
              <w:pStyle w:val="41"/>
              <w:rPr>
                <w:rFonts w:hint="default" w:ascii="Times New Roman" w:hAnsi="Times New Roman" w:cs="Times New Roman"/>
                <w:color w:val="auto"/>
                <w:u w:val="none"/>
              </w:rPr>
            </w:pPr>
            <w:r>
              <w:rPr>
                <w:rFonts w:hint="eastAsia" w:cs="Times New Roman"/>
                <w:color w:val="auto"/>
                <w:u w:val="none"/>
                <w:lang w:val="en-US" w:eastAsia="zh-CN"/>
              </w:rPr>
              <w:t>铬酸雾</w:t>
            </w:r>
          </w:p>
        </w:tc>
        <w:tc>
          <w:tcPr>
            <w:tcW w:w="1876" w:type="dxa"/>
            <w:tcBorders>
              <w:tl2br w:val="nil"/>
              <w:tr2bl w:val="nil"/>
            </w:tcBorders>
            <w:vAlign w:val="center"/>
          </w:tcPr>
          <w:p w14:paraId="6A500AD9">
            <w:pPr>
              <w:pStyle w:val="41"/>
              <w:widowControl w:val="0"/>
              <w:rPr>
                <w:rFonts w:hint="eastAsia" w:cs="Times New Roman"/>
                <w:color w:val="auto"/>
                <w:u w:val="none"/>
                <w:lang w:val="en-US" w:eastAsia="zh-CN"/>
              </w:rPr>
            </w:pPr>
            <w:r>
              <w:rPr>
                <w:rFonts w:hint="eastAsia" w:cs="Times New Roman"/>
                <w:color w:val="auto"/>
                <w:u w:val="none"/>
                <w:lang w:val="en-US" w:eastAsia="zh-CN"/>
              </w:rPr>
              <w:t>0.074</w:t>
            </w:r>
          </w:p>
        </w:tc>
        <w:tc>
          <w:tcPr>
            <w:tcW w:w="1876" w:type="dxa"/>
            <w:tcBorders>
              <w:tl2br w:val="nil"/>
              <w:tr2bl w:val="nil"/>
            </w:tcBorders>
            <w:vAlign w:val="center"/>
          </w:tcPr>
          <w:p w14:paraId="1F5DED92">
            <w:pPr>
              <w:pStyle w:val="41"/>
              <w:widowControl w:val="0"/>
              <w:rPr>
                <w:rFonts w:hint="eastAsia" w:cs="Times New Roman"/>
                <w:color w:val="auto"/>
                <w:u w:val="none"/>
                <w:lang w:val="en-US" w:eastAsia="zh-CN"/>
              </w:rPr>
            </w:pPr>
            <w:r>
              <w:rPr>
                <w:rFonts w:hint="eastAsia" w:cs="Times New Roman"/>
                <w:color w:val="auto"/>
                <w:u w:val="none"/>
                <w:lang w:val="en-US" w:eastAsia="zh-CN"/>
              </w:rPr>
              <w:t>4.927</w:t>
            </w:r>
          </w:p>
        </w:tc>
        <w:tc>
          <w:tcPr>
            <w:tcW w:w="1765" w:type="dxa"/>
            <w:tcBorders>
              <w:tl2br w:val="nil"/>
              <w:tr2bl w:val="nil"/>
            </w:tcBorders>
            <w:vAlign w:val="center"/>
          </w:tcPr>
          <w:p w14:paraId="64595616">
            <w:pPr>
              <w:pStyle w:val="41"/>
              <w:widowControl w:val="0"/>
              <w:rPr>
                <w:rFonts w:hint="default" w:cs="Times New Roman"/>
                <w:color w:val="auto"/>
                <w:u w:val="none"/>
                <w:lang w:val="en-US" w:eastAsia="zh-CN"/>
              </w:rPr>
            </w:pPr>
            <w:r>
              <w:rPr>
                <w:rFonts w:hint="eastAsia" w:cs="Times New Roman"/>
                <w:color w:val="auto"/>
                <w:u w:val="none"/>
                <w:lang w:val="en-US" w:eastAsia="zh-CN"/>
              </w:rPr>
              <w:t>46</w:t>
            </w:r>
          </w:p>
        </w:tc>
      </w:tr>
    </w:tbl>
    <w:p w14:paraId="53241B1D">
      <w:pPr>
        <w:ind w:firstLine="480"/>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 xml:space="preserve">根据《环境影响评价技术导则-大气环境》(HJ2.2-2018)中“5.3.3.1 </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本项目最大占标率Pmax为</w:t>
      </w:r>
      <w:r>
        <w:rPr>
          <w:rFonts w:hint="eastAsia" w:ascii="Times New Roman" w:hAnsi="Times New Roman" w:cs="Times New Roman"/>
          <w:color w:val="auto"/>
          <w:u w:val="none"/>
          <w:lang w:val="en-US" w:eastAsia="zh-CN"/>
        </w:rPr>
        <w:t>8.414</w:t>
      </w:r>
      <w:r>
        <w:rPr>
          <w:rFonts w:hint="default" w:ascii="Times New Roman" w:hAnsi="Times New Roman" w:cs="Times New Roman"/>
          <w:color w:val="auto"/>
          <w:u w:val="none"/>
        </w:rPr>
        <w:t>%＜10%，故本项目的评价等级为二级，因此不需进一步预测与评价，其评价范围为厂界外5km的矩形区域，项目厂界浓度满足大气污染物厂界浓度限值，且厂界外大气污染物短期贡献浓度不超过环境质量浓度限值，所以本项目不需要设置大气环境防护距离。非正常工况下废气环境影响分析</w:t>
      </w:r>
      <w:r>
        <w:rPr>
          <w:rFonts w:hint="eastAsia" w:ascii="Times New Roman" w:hAnsi="Times New Roman" w:cs="Times New Roman"/>
          <w:color w:val="auto"/>
          <w:u w:val="none"/>
          <w:lang w:eastAsia="zh-CN"/>
        </w:rPr>
        <w:t>。</w:t>
      </w:r>
    </w:p>
    <w:p w14:paraId="37925B7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本项目废气非正常排放主要因为环保措施失效，每年发生非正常情况的次数为2次，每次持续时间小于1h，非正常情况见</w:t>
      </w:r>
      <w:r>
        <w:rPr>
          <w:rFonts w:hint="eastAsia" w:ascii="Times New Roman" w:hAnsi="Times New Roman" w:cs="Times New Roman"/>
          <w:color w:val="auto"/>
          <w:u w:val="none"/>
          <w:lang w:val="en-US" w:eastAsia="zh-CN"/>
        </w:rPr>
        <w:t>下</w:t>
      </w:r>
      <w:r>
        <w:rPr>
          <w:rFonts w:hint="default" w:ascii="Times New Roman" w:hAnsi="Times New Roman" w:cs="Times New Roman"/>
          <w:color w:val="auto"/>
          <w:u w:val="none"/>
        </w:rPr>
        <w:t>表。</w:t>
      </w:r>
    </w:p>
    <w:p w14:paraId="70EAAD7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w:t>
      </w:r>
      <w:r>
        <w:rPr>
          <w:rFonts w:hint="eastAsia" w:ascii="Times New Roman" w:hAnsi="Times New Roman" w:cs="Times New Roman"/>
          <w:b/>
          <w:bCs/>
          <w:color w:val="auto"/>
          <w:u w:val="none"/>
          <w:lang w:val="en-US" w:eastAsia="zh-CN"/>
        </w:rPr>
        <w:t>13</w:t>
      </w:r>
      <w:r>
        <w:rPr>
          <w:rFonts w:hint="default" w:ascii="Times New Roman" w:hAnsi="Times New Roman" w:cs="Times New Roman"/>
          <w:b/>
          <w:bCs/>
          <w:color w:val="auto"/>
          <w:u w:val="none"/>
          <w:lang w:val="zh-CN"/>
        </w:rPr>
        <w:t xml:space="preserve"> </w:t>
      </w:r>
      <w:r>
        <w:rPr>
          <w:rFonts w:hint="eastAsia" w:ascii="Times New Roman" w:hAnsi="Times New Roman" w:cs="Times New Roman"/>
          <w:b/>
          <w:bCs/>
          <w:color w:val="auto"/>
          <w:u w:val="none"/>
          <w:lang w:val="en-US" w:eastAsia="zh-CN"/>
        </w:rPr>
        <w:t xml:space="preserve"> </w:t>
      </w:r>
      <w:r>
        <w:rPr>
          <w:rFonts w:hint="default" w:ascii="Times New Roman" w:hAnsi="Times New Roman" w:cs="Times New Roman"/>
          <w:b/>
          <w:bCs/>
          <w:color w:val="auto"/>
          <w:u w:val="none"/>
          <w:lang w:val="zh-CN"/>
        </w:rPr>
        <w:t>项目废气非正常情况排放源强</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1020"/>
        <w:gridCol w:w="1255"/>
        <w:gridCol w:w="1061"/>
        <w:gridCol w:w="1062"/>
        <w:gridCol w:w="989"/>
        <w:gridCol w:w="1050"/>
        <w:gridCol w:w="1146"/>
      </w:tblGrid>
      <w:tr w14:paraId="68480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49" w:type="pct"/>
            <w:tcBorders>
              <w:tl2br w:val="nil"/>
              <w:tr2bl w:val="nil"/>
            </w:tcBorders>
            <w:vAlign w:val="center"/>
          </w:tcPr>
          <w:p w14:paraId="3995588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烟囱序号</w:t>
            </w:r>
          </w:p>
        </w:tc>
        <w:tc>
          <w:tcPr>
            <w:tcW w:w="598" w:type="pct"/>
            <w:tcBorders>
              <w:tl2br w:val="nil"/>
              <w:tr2bl w:val="nil"/>
            </w:tcBorders>
            <w:vAlign w:val="center"/>
          </w:tcPr>
          <w:p w14:paraId="0D8FE1D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污染源</w:t>
            </w:r>
          </w:p>
        </w:tc>
        <w:tc>
          <w:tcPr>
            <w:tcW w:w="736" w:type="pct"/>
            <w:tcBorders>
              <w:tl2br w:val="nil"/>
              <w:tr2bl w:val="nil"/>
            </w:tcBorders>
            <w:vAlign w:val="center"/>
          </w:tcPr>
          <w:p w14:paraId="67BBC65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非正常排放原因</w:t>
            </w:r>
          </w:p>
        </w:tc>
        <w:tc>
          <w:tcPr>
            <w:tcW w:w="622" w:type="pct"/>
            <w:tcBorders>
              <w:tl2br w:val="nil"/>
              <w:tr2bl w:val="nil"/>
            </w:tcBorders>
            <w:vAlign w:val="center"/>
          </w:tcPr>
          <w:p w14:paraId="743D5E6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623" w:type="pct"/>
            <w:tcBorders>
              <w:tl2br w:val="nil"/>
              <w:tr2bl w:val="nil"/>
            </w:tcBorders>
            <w:vAlign w:val="center"/>
          </w:tcPr>
          <w:p w14:paraId="2F8154B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非正常排放速率（kg/h）</w:t>
            </w:r>
          </w:p>
        </w:tc>
        <w:tc>
          <w:tcPr>
            <w:tcW w:w="580" w:type="pct"/>
            <w:tcBorders>
              <w:tl2br w:val="nil"/>
              <w:tr2bl w:val="nil"/>
            </w:tcBorders>
            <w:vAlign w:val="center"/>
          </w:tcPr>
          <w:p w14:paraId="392EE5D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单次持续时间/h</w:t>
            </w:r>
          </w:p>
        </w:tc>
        <w:tc>
          <w:tcPr>
            <w:tcW w:w="616" w:type="pct"/>
            <w:tcBorders>
              <w:tl2br w:val="nil"/>
              <w:tr2bl w:val="nil"/>
            </w:tcBorders>
            <w:vAlign w:val="center"/>
          </w:tcPr>
          <w:p w14:paraId="414DFAA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年发生频次</w:t>
            </w:r>
          </w:p>
        </w:tc>
        <w:tc>
          <w:tcPr>
            <w:tcW w:w="672" w:type="pct"/>
            <w:tcBorders>
              <w:tl2br w:val="nil"/>
              <w:tr2bl w:val="nil"/>
            </w:tcBorders>
            <w:vAlign w:val="center"/>
          </w:tcPr>
          <w:p w14:paraId="7F31B3F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应对措施</w:t>
            </w:r>
          </w:p>
        </w:tc>
      </w:tr>
      <w:tr w14:paraId="48C44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restart"/>
            <w:tcBorders>
              <w:tl2br w:val="nil"/>
              <w:tr2bl w:val="nil"/>
            </w:tcBorders>
            <w:vAlign w:val="center"/>
          </w:tcPr>
          <w:p w14:paraId="7F646093">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598" w:type="pct"/>
            <w:vMerge w:val="restart"/>
            <w:tcBorders>
              <w:tl2br w:val="nil"/>
              <w:tr2bl w:val="nil"/>
            </w:tcBorders>
            <w:vAlign w:val="center"/>
          </w:tcPr>
          <w:p w14:paraId="6CE8AC0F">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阳极氧化</w:t>
            </w:r>
          </w:p>
        </w:tc>
        <w:tc>
          <w:tcPr>
            <w:tcW w:w="736" w:type="pct"/>
            <w:vMerge w:val="restart"/>
            <w:tcBorders>
              <w:tl2br w:val="nil"/>
              <w:tr2bl w:val="nil"/>
            </w:tcBorders>
            <w:vAlign w:val="center"/>
          </w:tcPr>
          <w:p w14:paraId="5DB13333">
            <w:pPr>
              <w:pStyle w:val="41"/>
              <w:rPr>
                <w:rFonts w:hint="default" w:ascii="Times New Roman" w:hAnsi="Times New Roman" w:cs="Times New Roman"/>
                <w:color w:val="auto"/>
                <w:u w:val="none"/>
              </w:rPr>
            </w:pPr>
            <w:r>
              <w:rPr>
                <w:rFonts w:hint="default" w:ascii="Times New Roman" w:hAnsi="Times New Roman" w:cs="Times New Roman"/>
                <w:color w:val="auto"/>
                <w:u w:val="none"/>
              </w:rPr>
              <w:t>碱液喷淋系统失效</w:t>
            </w:r>
          </w:p>
        </w:tc>
        <w:tc>
          <w:tcPr>
            <w:tcW w:w="622" w:type="pct"/>
            <w:tcBorders>
              <w:tl2br w:val="nil"/>
              <w:tr2bl w:val="nil"/>
            </w:tcBorders>
            <w:vAlign w:val="center"/>
          </w:tcPr>
          <w:p w14:paraId="0F529087">
            <w:pPr>
              <w:pStyle w:val="41"/>
              <w:rPr>
                <w:rFonts w:hint="eastAsia" w:ascii="Times New Roman" w:hAnsi="Times New Roman" w:eastAsia="宋体" w:cs="Times New Roman"/>
                <w:color w:val="auto"/>
                <w:kern w:val="2"/>
                <w:u w:val="none"/>
                <w:lang w:eastAsia="zh-CN"/>
              </w:rPr>
            </w:pPr>
            <w:r>
              <w:rPr>
                <w:rFonts w:hint="default" w:ascii="Times New Roman" w:hAnsi="Times New Roman" w:cs="Times New Roman"/>
                <w:color w:val="auto"/>
                <w:kern w:val="2"/>
                <w:u w:val="none"/>
              </w:rPr>
              <w:t>硫酸雾</w:t>
            </w:r>
          </w:p>
        </w:tc>
        <w:tc>
          <w:tcPr>
            <w:tcW w:w="623" w:type="pct"/>
            <w:tcBorders>
              <w:tl2br w:val="nil"/>
              <w:tr2bl w:val="nil"/>
            </w:tcBorders>
            <w:vAlign w:val="center"/>
          </w:tcPr>
          <w:p w14:paraId="2E63059D">
            <w:pPr>
              <w:pStyle w:val="41"/>
              <w:ind w:right="11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0.4878</w:t>
            </w:r>
          </w:p>
        </w:tc>
        <w:tc>
          <w:tcPr>
            <w:tcW w:w="580" w:type="pct"/>
            <w:tcBorders>
              <w:tl2br w:val="nil"/>
              <w:tr2bl w:val="nil"/>
            </w:tcBorders>
            <w:vAlign w:val="center"/>
          </w:tcPr>
          <w:p w14:paraId="35CE3212">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16" w:type="pct"/>
            <w:tcBorders>
              <w:tl2br w:val="nil"/>
              <w:tr2bl w:val="nil"/>
            </w:tcBorders>
            <w:vAlign w:val="center"/>
          </w:tcPr>
          <w:p w14:paraId="3F5DB547">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72" w:type="pct"/>
            <w:tcBorders>
              <w:tl2br w:val="nil"/>
              <w:tr2bl w:val="nil"/>
            </w:tcBorders>
            <w:vAlign w:val="center"/>
          </w:tcPr>
          <w:p w14:paraId="31E8A626">
            <w:pPr>
              <w:pStyle w:val="41"/>
              <w:rPr>
                <w:rFonts w:hint="default" w:ascii="Times New Roman" w:hAnsi="Times New Roman" w:cs="Times New Roman"/>
                <w:color w:val="auto"/>
                <w:u w:val="none"/>
              </w:rPr>
            </w:pPr>
            <w:r>
              <w:rPr>
                <w:rFonts w:hint="default" w:ascii="Times New Roman" w:hAnsi="Times New Roman" w:cs="Times New Roman"/>
                <w:color w:val="auto"/>
                <w:u w:val="none"/>
              </w:rPr>
              <w:t>加强检修</w:t>
            </w:r>
          </w:p>
        </w:tc>
      </w:tr>
      <w:tr w14:paraId="61EBDF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vMerge w:val="continue"/>
            <w:tcBorders>
              <w:tl2br w:val="nil"/>
              <w:tr2bl w:val="nil"/>
            </w:tcBorders>
            <w:vAlign w:val="center"/>
          </w:tcPr>
          <w:p w14:paraId="69AE8ACC">
            <w:pPr>
              <w:pStyle w:val="41"/>
              <w:rPr>
                <w:rFonts w:hint="default" w:ascii="Times New Roman" w:hAnsi="Times New Roman" w:cs="Times New Roman"/>
                <w:color w:val="auto"/>
                <w:u w:val="none"/>
              </w:rPr>
            </w:pPr>
          </w:p>
        </w:tc>
        <w:tc>
          <w:tcPr>
            <w:tcW w:w="598" w:type="pct"/>
            <w:vMerge w:val="continue"/>
            <w:tcBorders>
              <w:tl2br w:val="nil"/>
              <w:tr2bl w:val="nil"/>
            </w:tcBorders>
            <w:vAlign w:val="center"/>
          </w:tcPr>
          <w:p w14:paraId="320569EB">
            <w:pPr>
              <w:pStyle w:val="41"/>
              <w:rPr>
                <w:rFonts w:hint="default" w:ascii="Times New Roman" w:hAnsi="Times New Roman" w:cs="Times New Roman"/>
                <w:color w:val="auto"/>
                <w:u w:val="none"/>
              </w:rPr>
            </w:pPr>
          </w:p>
        </w:tc>
        <w:tc>
          <w:tcPr>
            <w:tcW w:w="736" w:type="pct"/>
            <w:vMerge w:val="continue"/>
            <w:tcBorders>
              <w:tl2br w:val="nil"/>
              <w:tr2bl w:val="nil"/>
            </w:tcBorders>
            <w:vAlign w:val="center"/>
          </w:tcPr>
          <w:p w14:paraId="32707809">
            <w:pPr>
              <w:pStyle w:val="41"/>
              <w:rPr>
                <w:rFonts w:hint="default" w:ascii="Times New Roman" w:hAnsi="Times New Roman" w:cs="Times New Roman"/>
                <w:color w:val="auto"/>
                <w:u w:val="none"/>
              </w:rPr>
            </w:pPr>
          </w:p>
        </w:tc>
        <w:tc>
          <w:tcPr>
            <w:tcW w:w="622" w:type="pct"/>
            <w:tcBorders>
              <w:tl2br w:val="nil"/>
              <w:tr2bl w:val="nil"/>
            </w:tcBorders>
            <w:vAlign w:val="center"/>
          </w:tcPr>
          <w:p w14:paraId="7D82DB4E">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氮氧化物</w:t>
            </w:r>
          </w:p>
        </w:tc>
        <w:tc>
          <w:tcPr>
            <w:tcW w:w="623" w:type="pct"/>
            <w:tcBorders>
              <w:tl2br w:val="nil"/>
              <w:tr2bl w:val="nil"/>
            </w:tcBorders>
            <w:vAlign w:val="center"/>
          </w:tcPr>
          <w:p w14:paraId="263F0D0C">
            <w:pPr>
              <w:pStyle w:val="41"/>
              <w:ind w:right="113"/>
              <w:rPr>
                <w:rFonts w:hint="default" w:cs="Times New Roman"/>
                <w:color w:val="auto"/>
                <w:u w:val="none"/>
                <w:lang w:val="en-US" w:eastAsia="zh-CN"/>
              </w:rPr>
            </w:pPr>
            <w:r>
              <w:rPr>
                <w:rFonts w:hint="eastAsia" w:cs="Times New Roman"/>
                <w:color w:val="auto"/>
                <w:u w:val="none"/>
                <w:lang w:val="en-US" w:eastAsia="zh-CN"/>
              </w:rPr>
              <w:t>0.1986</w:t>
            </w:r>
          </w:p>
        </w:tc>
        <w:tc>
          <w:tcPr>
            <w:tcW w:w="989" w:type="dxa"/>
            <w:tcBorders>
              <w:tl2br w:val="nil"/>
              <w:tr2bl w:val="nil"/>
            </w:tcBorders>
            <w:vAlign w:val="center"/>
          </w:tcPr>
          <w:p w14:paraId="660ECF51">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50" w:type="dxa"/>
            <w:tcBorders>
              <w:tl2br w:val="nil"/>
              <w:tr2bl w:val="nil"/>
            </w:tcBorders>
            <w:vAlign w:val="center"/>
          </w:tcPr>
          <w:p w14:paraId="6EDA3D14">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146" w:type="dxa"/>
            <w:tcBorders>
              <w:tl2br w:val="nil"/>
              <w:tr2bl w:val="nil"/>
            </w:tcBorders>
            <w:vAlign w:val="center"/>
          </w:tcPr>
          <w:p w14:paraId="7009080F">
            <w:pPr>
              <w:pStyle w:val="41"/>
              <w:rPr>
                <w:rFonts w:hint="default" w:ascii="Times New Roman" w:hAnsi="Times New Roman" w:cs="Times New Roman"/>
                <w:color w:val="auto"/>
                <w:u w:val="none"/>
              </w:rPr>
            </w:pPr>
            <w:r>
              <w:rPr>
                <w:rFonts w:hint="default" w:ascii="Times New Roman" w:hAnsi="Times New Roman" w:cs="Times New Roman"/>
                <w:color w:val="auto"/>
                <w:u w:val="none"/>
              </w:rPr>
              <w:t>加强检修</w:t>
            </w:r>
          </w:p>
        </w:tc>
      </w:tr>
      <w:tr w14:paraId="4F289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9" w:type="pct"/>
            <w:tcBorders>
              <w:tl2br w:val="nil"/>
              <w:tr2bl w:val="nil"/>
            </w:tcBorders>
            <w:vAlign w:val="center"/>
          </w:tcPr>
          <w:p w14:paraId="1139197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DA002</w:t>
            </w:r>
          </w:p>
        </w:tc>
        <w:tc>
          <w:tcPr>
            <w:tcW w:w="598" w:type="pct"/>
            <w:tcBorders>
              <w:tl2br w:val="nil"/>
              <w:tr2bl w:val="nil"/>
            </w:tcBorders>
            <w:vAlign w:val="center"/>
          </w:tcPr>
          <w:p w14:paraId="08291F45">
            <w:pPr>
              <w:pStyle w:val="41"/>
              <w:rPr>
                <w:rFonts w:hint="default" w:ascii="Times New Roman" w:hAnsi="Times New Roman" w:cs="Times New Roman"/>
                <w:color w:val="auto"/>
                <w:u w:val="none"/>
              </w:rPr>
            </w:pPr>
            <w:r>
              <w:rPr>
                <w:rFonts w:hint="default" w:ascii="Times New Roman" w:hAnsi="Times New Roman" w:cs="Times New Roman"/>
                <w:color w:val="auto"/>
                <w:u w:val="none"/>
              </w:rPr>
              <w:t>铬酸盐封闭</w:t>
            </w:r>
          </w:p>
        </w:tc>
        <w:tc>
          <w:tcPr>
            <w:tcW w:w="736" w:type="pct"/>
            <w:tcBorders>
              <w:tl2br w:val="nil"/>
              <w:tr2bl w:val="nil"/>
            </w:tcBorders>
            <w:vAlign w:val="center"/>
          </w:tcPr>
          <w:p w14:paraId="68DFC905">
            <w:pPr>
              <w:pStyle w:val="41"/>
              <w:rPr>
                <w:rFonts w:hint="default" w:ascii="Times New Roman" w:hAnsi="Times New Roman" w:cs="Times New Roman"/>
                <w:color w:val="auto"/>
                <w:u w:val="none"/>
              </w:rPr>
            </w:pPr>
            <w:r>
              <w:rPr>
                <w:rFonts w:hint="default" w:ascii="Times New Roman" w:hAnsi="Times New Roman" w:cs="Times New Roman"/>
                <w:color w:val="auto"/>
                <w:u w:val="none"/>
              </w:rPr>
              <w:t>碱液喷淋系统失效</w:t>
            </w:r>
          </w:p>
        </w:tc>
        <w:tc>
          <w:tcPr>
            <w:tcW w:w="622" w:type="pct"/>
            <w:tcBorders>
              <w:tl2br w:val="nil"/>
              <w:tr2bl w:val="nil"/>
            </w:tcBorders>
            <w:vAlign w:val="center"/>
          </w:tcPr>
          <w:p w14:paraId="5400DFC4">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铬酸雾</w:t>
            </w:r>
          </w:p>
        </w:tc>
        <w:tc>
          <w:tcPr>
            <w:tcW w:w="623" w:type="pct"/>
            <w:tcBorders>
              <w:tl2br w:val="nil"/>
              <w:tr2bl w:val="nil"/>
            </w:tcBorders>
            <w:vAlign w:val="center"/>
          </w:tcPr>
          <w:p w14:paraId="57494F02">
            <w:pPr>
              <w:pStyle w:val="41"/>
              <w:ind w:right="113"/>
              <w:rPr>
                <w:rFonts w:hint="default" w:cs="Times New Roman"/>
                <w:color w:val="auto"/>
                <w:u w:val="none"/>
                <w:lang w:val="en-US" w:eastAsia="zh-CN"/>
              </w:rPr>
            </w:pPr>
            <w:r>
              <w:rPr>
                <w:rFonts w:hint="eastAsia" w:cs="Times New Roman"/>
                <w:color w:val="auto"/>
                <w:u w:val="none"/>
                <w:lang w:val="en-US" w:eastAsia="zh-CN"/>
              </w:rPr>
              <w:t>0.00216</w:t>
            </w:r>
          </w:p>
        </w:tc>
        <w:tc>
          <w:tcPr>
            <w:tcW w:w="989" w:type="dxa"/>
            <w:tcBorders>
              <w:tl2br w:val="nil"/>
              <w:tr2bl w:val="nil"/>
            </w:tcBorders>
            <w:vAlign w:val="center"/>
          </w:tcPr>
          <w:p w14:paraId="29E1993F">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050" w:type="dxa"/>
            <w:tcBorders>
              <w:tl2br w:val="nil"/>
              <w:tr2bl w:val="nil"/>
            </w:tcBorders>
            <w:vAlign w:val="center"/>
          </w:tcPr>
          <w:p w14:paraId="20B4FE50">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146" w:type="dxa"/>
            <w:tcBorders>
              <w:tl2br w:val="nil"/>
              <w:tr2bl w:val="nil"/>
            </w:tcBorders>
            <w:vAlign w:val="center"/>
          </w:tcPr>
          <w:p w14:paraId="3ECB39AE">
            <w:pPr>
              <w:pStyle w:val="41"/>
              <w:rPr>
                <w:rFonts w:hint="default" w:ascii="Times New Roman" w:hAnsi="Times New Roman" w:cs="Times New Roman"/>
                <w:color w:val="auto"/>
                <w:u w:val="none"/>
              </w:rPr>
            </w:pPr>
            <w:r>
              <w:rPr>
                <w:rFonts w:hint="default" w:ascii="Times New Roman" w:hAnsi="Times New Roman" w:cs="Times New Roman"/>
                <w:color w:val="auto"/>
                <w:u w:val="none"/>
              </w:rPr>
              <w:t>加强检修</w:t>
            </w:r>
          </w:p>
        </w:tc>
      </w:tr>
    </w:tbl>
    <w:p w14:paraId="1D9118B7">
      <w:pPr>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非正常工况下主要污染源估算模型计算结果</w:t>
      </w:r>
      <w:r>
        <w:rPr>
          <w:rFonts w:hint="eastAsia" w:ascii="Times New Roman" w:hAnsi="Times New Roman" w:cs="Times New Roman"/>
          <w:color w:val="auto"/>
          <w:u w:val="none"/>
          <w:lang w:eastAsia="zh-CN"/>
        </w:rPr>
        <w:t>。</w:t>
      </w:r>
    </w:p>
    <w:p w14:paraId="0ADB191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采用《环境影响评价技术导则-大气环境》（HJ2.2-2018）中推荐的估算模式—AERSCREEN进行估算，预测结果如下。</w:t>
      </w:r>
    </w:p>
    <w:p w14:paraId="3B5DEEE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表6.2-1</w:t>
      </w:r>
      <w:r>
        <w:rPr>
          <w:rFonts w:hint="eastAsia" w:ascii="Times New Roman" w:hAnsi="Times New Roman" w:cs="Times New Roman"/>
          <w:b/>
          <w:bCs/>
          <w:color w:val="auto"/>
          <w:u w:val="none"/>
          <w:lang w:val="en-US" w:eastAsia="zh-CN"/>
        </w:rPr>
        <w:t>4</w:t>
      </w:r>
      <w:r>
        <w:rPr>
          <w:rFonts w:hint="default" w:ascii="Times New Roman" w:hAnsi="Times New Roman" w:cs="Times New Roman"/>
          <w:b/>
          <w:bCs/>
          <w:color w:val="auto"/>
          <w:u w:val="none"/>
          <w:lang w:val="zh-CN"/>
        </w:rPr>
        <w:t xml:space="preserve"> </w:t>
      </w:r>
      <w:r>
        <w:rPr>
          <w:rFonts w:hint="eastAsia" w:ascii="Times New Roman" w:hAnsi="Times New Roman" w:cs="Times New Roman"/>
          <w:b/>
          <w:bCs/>
          <w:color w:val="auto"/>
          <w:u w:val="none"/>
          <w:lang w:val="en-US" w:eastAsia="zh-CN"/>
        </w:rPr>
        <w:t xml:space="preserve"> </w:t>
      </w:r>
      <w:r>
        <w:rPr>
          <w:rFonts w:hint="default" w:ascii="Times New Roman" w:hAnsi="Times New Roman" w:cs="Times New Roman"/>
          <w:b/>
          <w:bCs/>
          <w:color w:val="auto"/>
          <w:u w:val="none"/>
          <w:lang w:val="zh-CN"/>
        </w:rPr>
        <w:t>非正常工况下污染物下风向预测最大地面浓度、占标率一览表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948"/>
        <w:gridCol w:w="963"/>
        <w:gridCol w:w="1562"/>
        <w:gridCol w:w="1470"/>
        <w:gridCol w:w="1470"/>
        <w:gridCol w:w="1470"/>
      </w:tblGrid>
      <w:tr w14:paraId="7EC58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2" w:type="pct"/>
            <w:tcBorders>
              <w:tl2br w:val="nil"/>
              <w:tr2bl w:val="nil"/>
            </w:tcBorders>
            <w:vAlign w:val="center"/>
          </w:tcPr>
          <w:p w14:paraId="78855C7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类别</w:t>
            </w:r>
          </w:p>
        </w:tc>
        <w:tc>
          <w:tcPr>
            <w:tcW w:w="556" w:type="pct"/>
            <w:tcBorders>
              <w:tl2br w:val="nil"/>
              <w:tr2bl w:val="nil"/>
            </w:tcBorders>
            <w:vAlign w:val="center"/>
          </w:tcPr>
          <w:p w14:paraId="4D961C9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污染源</w:t>
            </w:r>
          </w:p>
        </w:tc>
        <w:tc>
          <w:tcPr>
            <w:tcW w:w="565" w:type="pct"/>
            <w:tcBorders>
              <w:tl2br w:val="nil"/>
              <w:tr2bl w:val="nil"/>
            </w:tcBorders>
            <w:vAlign w:val="center"/>
          </w:tcPr>
          <w:p w14:paraId="7CD6238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916" w:type="pct"/>
            <w:tcBorders>
              <w:tl2br w:val="nil"/>
              <w:tr2bl w:val="nil"/>
            </w:tcBorders>
            <w:vAlign w:val="center"/>
          </w:tcPr>
          <w:p w14:paraId="704477F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最大落地浓度（mg/m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w:t>
            </w:r>
          </w:p>
        </w:tc>
        <w:tc>
          <w:tcPr>
            <w:tcW w:w="862" w:type="pct"/>
            <w:tcBorders>
              <w:tl2br w:val="nil"/>
              <w:tr2bl w:val="nil"/>
            </w:tcBorders>
            <w:vAlign w:val="center"/>
          </w:tcPr>
          <w:p w14:paraId="5DEE7CC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最大落地浓度占标率Pmax（%）</w:t>
            </w:r>
          </w:p>
        </w:tc>
        <w:tc>
          <w:tcPr>
            <w:tcW w:w="862" w:type="pct"/>
            <w:tcBorders>
              <w:tl2br w:val="nil"/>
              <w:tr2bl w:val="nil"/>
            </w:tcBorders>
            <w:vAlign w:val="center"/>
          </w:tcPr>
          <w:p w14:paraId="5ADD0E3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环境质量标准（</w:t>
            </w:r>
            <w:r>
              <w:rPr>
                <w:rFonts w:hint="eastAsia" w:cs="Times New Roman"/>
                <w:b/>
                <w:bCs/>
                <w:color w:val="auto"/>
                <w:u w:val="none"/>
                <w:lang w:val="en-US" w:eastAsia="zh-CN"/>
              </w:rPr>
              <w:t>u</w:t>
            </w:r>
            <w:r>
              <w:rPr>
                <w:rFonts w:hint="default" w:ascii="Times New Roman" w:hAnsi="Times New Roman" w:cs="Times New Roman"/>
                <w:b/>
                <w:bCs/>
                <w:color w:val="auto"/>
                <w:u w:val="none"/>
              </w:rPr>
              <w:t>g/m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w:t>
            </w:r>
          </w:p>
        </w:tc>
        <w:tc>
          <w:tcPr>
            <w:tcW w:w="862" w:type="pct"/>
            <w:tcBorders>
              <w:tl2br w:val="nil"/>
              <w:tr2bl w:val="nil"/>
            </w:tcBorders>
            <w:vAlign w:val="center"/>
          </w:tcPr>
          <w:p w14:paraId="7B212DC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下风向最大浓度出现距离m</w:t>
            </w:r>
          </w:p>
        </w:tc>
      </w:tr>
      <w:tr w14:paraId="0712A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restart"/>
            <w:tcBorders>
              <w:tl2br w:val="nil"/>
              <w:tr2bl w:val="nil"/>
            </w:tcBorders>
            <w:vAlign w:val="center"/>
          </w:tcPr>
          <w:p w14:paraId="21F20911">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废气</w:t>
            </w:r>
          </w:p>
        </w:tc>
        <w:tc>
          <w:tcPr>
            <w:tcW w:w="556" w:type="pct"/>
            <w:vMerge w:val="restart"/>
            <w:tcBorders>
              <w:tl2br w:val="nil"/>
              <w:tr2bl w:val="nil"/>
            </w:tcBorders>
            <w:vAlign w:val="center"/>
          </w:tcPr>
          <w:p w14:paraId="26CCB65C">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565" w:type="pct"/>
            <w:tcBorders>
              <w:tl2br w:val="nil"/>
              <w:tr2bl w:val="nil"/>
            </w:tcBorders>
            <w:vAlign w:val="center"/>
          </w:tcPr>
          <w:p w14:paraId="2357A66F">
            <w:pPr>
              <w:pStyle w:val="41"/>
              <w:rPr>
                <w:rFonts w:hint="default" w:ascii="Times New Roman" w:hAnsi="Times New Roman" w:cs="Times New Roman"/>
                <w:color w:val="auto"/>
                <w:u w:val="none"/>
              </w:rPr>
            </w:pPr>
            <w:r>
              <w:rPr>
                <w:rFonts w:hint="default" w:ascii="Times New Roman" w:hAnsi="Times New Roman" w:cs="Times New Roman"/>
                <w:color w:val="auto"/>
                <w:u w:val="none"/>
              </w:rPr>
              <w:t>硫酸雾</w:t>
            </w:r>
          </w:p>
        </w:tc>
        <w:tc>
          <w:tcPr>
            <w:tcW w:w="1562" w:type="dxa"/>
            <w:tcBorders>
              <w:tl2br w:val="nil"/>
              <w:tr2bl w:val="nil"/>
            </w:tcBorders>
            <w:vAlign w:val="center"/>
          </w:tcPr>
          <w:p w14:paraId="6D1F06A6">
            <w:pPr>
              <w:pStyle w:val="41"/>
              <w:rPr>
                <w:rFonts w:hint="default" w:ascii="Times New Roman" w:hAnsi="Times New Roman" w:cs="Times New Roman"/>
                <w:color w:val="auto"/>
                <w:u w:val="none"/>
              </w:rPr>
            </w:pPr>
            <w:r>
              <w:rPr>
                <w:rFonts w:hint="default" w:ascii="Times New Roman" w:hAnsi="Times New Roman" w:cs="Times New Roman"/>
                <w:color w:val="auto"/>
                <w:u w:val="none"/>
              </w:rPr>
              <w:t>38.977</w:t>
            </w:r>
          </w:p>
        </w:tc>
        <w:tc>
          <w:tcPr>
            <w:tcW w:w="1470" w:type="dxa"/>
            <w:tcBorders>
              <w:tl2br w:val="nil"/>
              <w:tr2bl w:val="nil"/>
            </w:tcBorders>
            <w:vAlign w:val="center"/>
          </w:tcPr>
          <w:p w14:paraId="3567F2C1">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rPr>
              <w:t>12.992</w:t>
            </w:r>
          </w:p>
        </w:tc>
        <w:tc>
          <w:tcPr>
            <w:tcW w:w="1470" w:type="dxa"/>
            <w:tcBorders>
              <w:tl2br w:val="nil"/>
              <w:tr2bl w:val="nil"/>
            </w:tcBorders>
            <w:vAlign w:val="center"/>
          </w:tcPr>
          <w:p w14:paraId="6B4407CA">
            <w:pPr>
              <w:pStyle w:val="41"/>
              <w:rPr>
                <w:rFonts w:hint="default" w:ascii="Times New Roman" w:hAnsi="Times New Roman" w:eastAsia="宋体" w:cs="Times New Roman"/>
                <w:color w:val="auto"/>
                <w:u w:val="none"/>
              </w:rPr>
            </w:pPr>
            <w:r>
              <w:rPr>
                <w:rFonts w:hint="default" w:ascii="Times New Roman" w:hAnsi="Times New Roman" w:cs="Times New Roman"/>
                <w:color w:val="auto"/>
                <w:kern w:val="2"/>
                <w:szCs w:val="24"/>
                <w:u w:val="none"/>
              </w:rPr>
              <w:t>300</w:t>
            </w:r>
          </w:p>
        </w:tc>
        <w:tc>
          <w:tcPr>
            <w:tcW w:w="862" w:type="pct"/>
            <w:tcBorders>
              <w:tl2br w:val="nil"/>
              <w:tr2bl w:val="nil"/>
            </w:tcBorders>
            <w:vAlign w:val="center"/>
          </w:tcPr>
          <w:p w14:paraId="3A823B1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256</w:t>
            </w:r>
          </w:p>
        </w:tc>
      </w:tr>
      <w:tr w14:paraId="276D1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tcBorders>
              <w:tl2br w:val="nil"/>
              <w:tr2bl w:val="nil"/>
            </w:tcBorders>
            <w:vAlign w:val="center"/>
          </w:tcPr>
          <w:p w14:paraId="68FE19EB">
            <w:pPr>
              <w:pStyle w:val="41"/>
              <w:rPr>
                <w:rFonts w:hint="eastAsia" w:cs="Times New Roman"/>
                <w:color w:val="auto"/>
                <w:u w:val="none"/>
                <w:lang w:val="en-US" w:eastAsia="zh-CN"/>
              </w:rPr>
            </w:pPr>
          </w:p>
        </w:tc>
        <w:tc>
          <w:tcPr>
            <w:tcW w:w="556" w:type="pct"/>
            <w:vMerge w:val="continue"/>
            <w:tcBorders>
              <w:tl2br w:val="nil"/>
              <w:tr2bl w:val="nil"/>
            </w:tcBorders>
            <w:vAlign w:val="center"/>
          </w:tcPr>
          <w:p w14:paraId="1331BD65">
            <w:pPr>
              <w:pStyle w:val="41"/>
              <w:rPr>
                <w:rFonts w:hint="default" w:ascii="Times New Roman" w:hAnsi="Times New Roman" w:cs="Times New Roman"/>
                <w:color w:val="auto"/>
                <w:u w:val="none"/>
              </w:rPr>
            </w:pPr>
          </w:p>
        </w:tc>
        <w:tc>
          <w:tcPr>
            <w:tcW w:w="565" w:type="pct"/>
            <w:tcBorders>
              <w:tl2br w:val="nil"/>
              <w:tr2bl w:val="nil"/>
            </w:tcBorders>
            <w:vAlign w:val="center"/>
          </w:tcPr>
          <w:p w14:paraId="001259F6">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氮氧化物</w:t>
            </w:r>
          </w:p>
        </w:tc>
        <w:tc>
          <w:tcPr>
            <w:tcW w:w="1562" w:type="dxa"/>
            <w:tcBorders>
              <w:tl2br w:val="nil"/>
              <w:tr2bl w:val="nil"/>
            </w:tcBorders>
            <w:vAlign w:val="center"/>
          </w:tcPr>
          <w:p w14:paraId="223D1FDF">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rPr>
              <w:t>15.869</w:t>
            </w:r>
          </w:p>
        </w:tc>
        <w:tc>
          <w:tcPr>
            <w:tcW w:w="1470" w:type="dxa"/>
            <w:tcBorders>
              <w:tl2br w:val="nil"/>
              <w:tr2bl w:val="nil"/>
            </w:tcBorders>
            <w:vAlign w:val="center"/>
          </w:tcPr>
          <w:p w14:paraId="0C10A62C">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rPr>
              <w:t>6.348</w:t>
            </w:r>
          </w:p>
        </w:tc>
        <w:tc>
          <w:tcPr>
            <w:tcW w:w="1470" w:type="dxa"/>
            <w:tcBorders>
              <w:tl2br w:val="nil"/>
              <w:tr2bl w:val="nil"/>
            </w:tcBorders>
            <w:vAlign w:val="center"/>
          </w:tcPr>
          <w:p w14:paraId="08BA2208">
            <w:pPr>
              <w:pStyle w:val="41"/>
              <w:rPr>
                <w:rFonts w:hint="default" w:ascii="Times New Roman" w:hAnsi="Times New Roman" w:eastAsia="宋体" w:cs="Times New Roman"/>
                <w:color w:val="auto"/>
                <w:u w:val="none"/>
              </w:rPr>
            </w:pPr>
            <w:r>
              <w:rPr>
                <w:rFonts w:hint="eastAsia"/>
                <w:kern w:val="2"/>
                <w:szCs w:val="24"/>
                <w:lang w:val="en-US" w:eastAsia="zh-CN"/>
              </w:rPr>
              <w:t>250</w:t>
            </w:r>
          </w:p>
        </w:tc>
        <w:tc>
          <w:tcPr>
            <w:tcW w:w="862" w:type="pct"/>
            <w:tcBorders>
              <w:tl2br w:val="nil"/>
              <w:tr2bl w:val="nil"/>
            </w:tcBorders>
            <w:vAlign w:val="center"/>
          </w:tcPr>
          <w:p w14:paraId="006F204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256</w:t>
            </w:r>
          </w:p>
        </w:tc>
      </w:tr>
      <w:tr w14:paraId="3BEAA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2" w:type="pct"/>
            <w:vMerge w:val="continue"/>
            <w:tcBorders>
              <w:tl2br w:val="nil"/>
              <w:tr2bl w:val="nil"/>
            </w:tcBorders>
            <w:vAlign w:val="center"/>
          </w:tcPr>
          <w:p w14:paraId="30E078D7">
            <w:pPr>
              <w:pStyle w:val="41"/>
              <w:rPr>
                <w:rFonts w:hint="eastAsia" w:cs="Times New Roman"/>
                <w:color w:val="auto"/>
                <w:u w:val="none"/>
                <w:lang w:val="en-US" w:eastAsia="zh-CN"/>
              </w:rPr>
            </w:pPr>
          </w:p>
        </w:tc>
        <w:tc>
          <w:tcPr>
            <w:tcW w:w="556" w:type="pct"/>
            <w:tcBorders>
              <w:tl2br w:val="nil"/>
              <w:tr2bl w:val="nil"/>
            </w:tcBorders>
            <w:vAlign w:val="center"/>
          </w:tcPr>
          <w:p w14:paraId="0731B62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DA002</w:t>
            </w:r>
          </w:p>
        </w:tc>
        <w:tc>
          <w:tcPr>
            <w:tcW w:w="565" w:type="pct"/>
            <w:tcBorders>
              <w:tl2br w:val="nil"/>
              <w:tr2bl w:val="nil"/>
            </w:tcBorders>
            <w:vAlign w:val="center"/>
          </w:tcPr>
          <w:p w14:paraId="4D048F2D">
            <w:pPr>
              <w:pStyle w:val="41"/>
              <w:rPr>
                <w:rFonts w:hint="default" w:cs="Times New Roman"/>
                <w:color w:val="auto"/>
                <w:u w:val="none"/>
                <w:lang w:val="en-US" w:eastAsia="zh-CN"/>
              </w:rPr>
            </w:pPr>
            <w:r>
              <w:rPr>
                <w:rFonts w:hint="eastAsia" w:cs="Times New Roman"/>
                <w:color w:val="auto"/>
                <w:u w:val="none"/>
                <w:lang w:val="en-US" w:eastAsia="zh-CN"/>
              </w:rPr>
              <w:t>铬酸雾</w:t>
            </w:r>
          </w:p>
        </w:tc>
        <w:tc>
          <w:tcPr>
            <w:tcW w:w="1562" w:type="dxa"/>
            <w:tcBorders>
              <w:tl2br w:val="nil"/>
              <w:tr2bl w:val="nil"/>
            </w:tcBorders>
            <w:vAlign w:val="center"/>
          </w:tcPr>
          <w:p w14:paraId="738410E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rPr>
              <w:t>0.021</w:t>
            </w:r>
          </w:p>
        </w:tc>
        <w:tc>
          <w:tcPr>
            <w:tcW w:w="1470" w:type="dxa"/>
            <w:tcBorders>
              <w:tl2br w:val="nil"/>
              <w:tr2bl w:val="nil"/>
            </w:tcBorders>
            <w:vAlign w:val="center"/>
          </w:tcPr>
          <w:p w14:paraId="33D3FDC7">
            <w:pPr>
              <w:pStyle w:val="41"/>
              <w:rPr>
                <w:rFonts w:hint="default" w:ascii="Times New Roman" w:hAnsi="Times New Roman" w:cs="Times New Roman"/>
                <w:color w:val="auto"/>
                <w:u w:val="none"/>
                <w:lang w:val="en-US" w:eastAsia="zh-CN"/>
              </w:rPr>
            </w:pPr>
            <w:r>
              <w:rPr>
                <w:rFonts w:hint="default" w:ascii="Times New Roman" w:hAnsi="Times New Roman" w:cs="Times New Roman"/>
                <w:color w:val="auto"/>
                <w:u w:val="none"/>
              </w:rPr>
              <w:t>1.423</w:t>
            </w:r>
          </w:p>
        </w:tc>
        <w:tc>
          <w:tcPr>
            <w:tcW w:w="1470" w:type="dxa"/>
            <w:tcBorders>
              <w:tl2br w:val="nil"/>
              <w:tr2bl w:val="nil"/>
            </w:tcBorders>
            <w:vAlign w:val="center"/>
          </w:tcPr>
          <w:p w14:paraId="15988882">
            <w:pPr>
              <w:pStyle w:val="41"/>
              <w:rPr>
                <w:rFonts w:hint="default" w:ascii="Times New Roman" w:hAnsi="Times New Roman" w:eastAsia="宋体" w:cs="Times New Roman"/>
                <w:color w:val="auto"/>
                <w:u w:val="none"/>
              </w:rPr>
            </w:pPr>
            <w:r>
              <w:rPr>
                <w:rFonts w:hint="eastAsia"/>
                <w:kern w:val="2"/>
                <w:szCs w:val="24"/>
                <w:lang w:val="en-US" w:eastAsia="zh-CN"/>
              </w:rPr>
              <w:t>1.5</w:t>
            </w:r>
          </w:p>
        </w:tc>
        <w:tc>
          <w:tcPr>
            <w:tcW w:w="862" w:type="pct"/>
            <w:tcBorders>
              <w:tl2br w:val="nil"/>
              <w:tr2bl w:val="nil"/>
            </w:tcBorders>
            <w:vAlign w:val="center"/>
          </w:tcPr>
          <w:p w14:paraId="3A79FA6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490</w:t>
            </w:r>
          </w:p>
        </w:tc>
      </w:tr>
    </w:tbl>
    <w:p w14:paraId="0DE4CCE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由上表可知，在环保设备失效的情况下，废气排放污染物落地浓度小于环境标准值。为减少废气处理措施非正常工况，要求建设单位定期对废气处理设施进行巡查，一旦发生不正常排放，则停止生产，维修废气处理设备。</w:t>
      </w:r>
    </w:p>
    <w:p w14:paraId="4D2BB25B">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大气环境防护距离的确定</w:t>
      </w:r>
    </w:p>
    <w:p w14:paraId="27E4CFD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根据估算模式及进一步预测模式计算的结果，本项目大气污染物在评价范围内的最大占标率为</w:t>
      </w:r>
      <w:r>
        <w:rPr>
          <w:rFonts w:hint="eastAsia" w:ascii="Times New Roman" w:hAnsi="Times New Roman" w:cs="Times New Roman"/>
          <w:color w:val="auto"/>
          <w:u w:val="none"/>
          <w:lang w:val="en-US" w:eastAsia="zh-CN"/>
        </w:rPr>
        <w:t>8.414</w:t>
      </w:r>
      <w:r>
        <w:rPr>
          <w:rFonts w:hint="default" w:ascii="Times New Roman" w:hAnsi="Times New Roman" w:cs="Times New Roman"/>
          <w:color w:val="auto"/>
          <w:u w:val="none"/>
        </w:rPr>
        <w:t>%。根据《环境影响评价技术导则 大气环境》(HJ2.2-2018)中 8.7.5 章节大气环境防护距离的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本项目厂界外大气污染物的短期贡献浓度均未超过环境质量浓度限值，因此无需设置大气环境防护距离。</w:t>
      </w:r>
    </w:p>
    <w:p w14:paraId="6A4ACA07">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污染物排放量核算</w:t>
      </w:r>
    </w:p>
    <w:p w14:paraId="1A5FF9BB">
      <w:pPr>
        <w:numPr>
          <w:ilvl w:val="0"/>
          <w:numId w:val="9"/>
        </w:numPr>
        <w:ind w:firstLine="480"/>
        <w:rPr>
          <w:rFonts w:hint="default" w:ascii="Times New Roman" w:hAnsi="Times New Roman" w:cs="Times New Roman"/>
          <w:color w:val="auto"/>
          <w:u w:val="none"/>
        </w:rPr>
      </w:pPr>
      <w:r>
        <w:rPr>
          <w:rFonts w:hint="default" w:ascii="Times New Roman" w:hAnsi="Times New Roman" w:cs="Times New Roman"/>
          <w:color w:val="auto"/>
          <w:u w:val="none"/>
        </w:rPr>
        <w:t>有组织污染物排放量核算：</w:t>
      </w:r>
    </w:p>
    <w:p w14:paraId="692FE514">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表6.2-1</w:t>
      </w:r>
      <w:r>
        <w:rPr>
          <w:rFonts w:hint="eastAsia" w:cs="Times New Roman"/>
          <w:b/>
          <w:bCs/>
          <w:color w:val="auto"/>
          <w:u w:val="none"/>
          <w:lang w:val="en-US" w:eastAsia="zh-CN"/>
        </w:rPr>
        <w:t xml:space="preserve">5 </w:t>
      </w:r>
      <w:r>
        <w:rPr>
          <w:rFonts w:hint="default" w:ascii="Times New Roman" w:hAnsi="Times New Roman" w:cs="Times New Roman"/>
          <w:b/>
          <w:bCs/>
          <w:color w:val="auto"/>
          <w:u w:val="none"/>
        </w:rPr>
        <w:t xml:space="preserve"> 大气污染物有组织排放量核算表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1"/>
        <w:gridCol w:w="1068"/>
        <w:gridCol w:w="1481"/>
        <w:gridCol w:w="1660"/>
        <w:gridCol w:w="1527"/>
        <w:gridCol w:w="1612"/>
      </w:tblGrid>
      <w:tr w14:paraId="1189B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00F6EB7E">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序号</w:t>
            </w:r>
          </w:p>
        </w:tc>
        <w:tc>
          <w:tcPr>
            <w:tcW w:w="626" w:type="pct"/>
            <w:vAlign w:val="center"/>
          </w:tcPr>
          <w:p w14:paraId="609E4582">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排放口编号</w:t>
            </w:r>
          </w:p>
        </w:tc>
        <w:tc>
          <w:tcPr>
            <w:tcW w:w="869" w:type="pct"/>
            <w:vAlign w:val="center"/>
          </w:tcPr>
          <w:p w14:paraId="246C1885">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w:t>
            </w:r>
          </w:p>
        </w:tc>
        <w:tc>
          <w:tcPr>
            <w:tcW w:w="974" w:type="pct"/>
            <w:vAlign w:val="center"/>
          </w:tcPr>
          <w:p w14:paraId="6CC78D9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核算排放浓度/(mg/m</w:t>
            </w:r>
            <w:r>
              <w:rPr>
                <w:rFonts w:hint="default" w:ascii="Times New Roman" w:hAnsi="Times New Roman" w:cs="Times New Roman"/>
                <w:b/>
                <w:bCs/>
                <w:color w:val="auto"/>
                <w:kern w:val="2"/>
                <w:u w:val="none"/>
                <w:vertAlign w:val="superscript"/>
              </w:rPr>
              <w:t>3</w:t>
            </w:r>
            <w:r>
              <w:rPr>
                <w:rFonts w:hint="default" w:ascii="Times New Roman" w:hAnsi="Times New Roman" w:cs="Times New Roman"/>
                <w:b/>
                <w:bCs/>
                <w:color w:val="auto"/>
                <w:kern w:val="2"/>
                <w:u w:val="none"/>
              </w:rPr>
              <w:t>)</w:t>
            </w:r>
          </w:p>
        </w:tc>
        <w:tc>
          <w:tcPr>
            <w:tcW w:w="896" w:type="pct"/>
            <w:vAlign w:val="center"/>
          </w:tcPr>
          <w:p w14:paraId="79CA42A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核算排放速率/(kg/h)</w:t>
            </w:r>
          </w:p>
        </w:tc>
        <w:tc>
          <w:tcPr>
            <w:tcW w:w="944" w:type="pct"/>
            <w:vAlign w:val="center"/>
          </w:tcPr>
          <w:p w14:paraId="2AFFA7EE">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核算年排放量/(t/a)</w:t>
            </w:r>
          </w:p>
        </w:tc>
      </w:tr>
      <w:tr w14:paraId="733369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244E4BC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主要排放口</w:t>
            </w:r>
          </w:p>
        </w:tc>
      </w:tr>
      <w:tr w14:paraId="3DF30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50AE478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p>
        </w:tc>
        <w:tc>
          <w:tcPr>
            <w:tcW w:w="626" w:type="pct"/>
            <w:vAlign w:val="center"/>
          </w:tcPr>
          <w:p w14:paraId="42ACAB4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869" w:type="pct"/>
            <w:vAlign w:val="center"/>
          </w:tcPr>
          <w:p w14:paraId="2645185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974" w:type="pct"/>
            <w:vAlign w:val="center"/>
          </w:tcPr>
          <w:p w14:paraId="2C0FB1C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896" w:type="pct"/>
            <w:vAlign w:val="center"/>
          </w:tcPr>
          <w:p w14:paraId="0A487C0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944" w:type="pct"/>
            <w:vAlign w:val="center"/>
          </w:tcPr>
          <w:p w14:paraId="4A3DA0C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r>
      <w:tr w14:paraId="0FE4B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vAlign w:val="center"/>
          </w:tcPr>
          <w:p w14:paraId="4A154E73">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一般排放口</w:t>
            </w:r>
          </w:p>
        </w:tc>
      </w:tr>
      <w:tr w14:paraId="217A9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restart"/>
            <w:vAlign w:val="center"/>
          </w:tcPr>
          <w:p w14:paraId="226F3C19">
            <w:pPr>
              <w:pStyle w:val="41"/>
              <w:rPr>
                <w:rFonts w:hint="eastAsia" w:ascii="Times New Roman" w:hAnsi="Times New Roman" w:eastAsia="宋体" w:cs="Times New Roman"/>
                <w:color w:val="auto"/>
                <w:kern w:val="2"/>
                <w:u w:val="none"/>
                <w:lang w:eastAsia="zh-CN"/>
              </w:rPr>
            </w:pPr>
            <w:r>
              <w:rPr>
                <w:rFonts w:hint="eastAsia" w:cs="Times New Roman"/>
                <w:color w:val="auto"/>
                <w:kern w:val="2"/>
                <w:u w:val="none"/>
                <w:lang w:val="en-US" w:eastAsia="zh-CN"/>
              </w:rPr>
              <w:t>1</w:t>
            </w:r>
          </w:p>
        </w:tc>
        <w:tc>
          <w:tcPr>
            <w:tcW w:w="626" w:type="pct"/>
            <w:vMerge w:val="restart"/>
            <w:vAlign w:val="center"/>
          </w:tcPr>
          <w:p w14:paraId="5071CFE8">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DA001</w:t>
            </w:r>
          </w:p>
        </w:tc>
        <w:tc>
          <w:tcPr>
            <w:tcW w:w="869" w:type="pct"/>
            <w:vAlign w:val="center"/>
          </w:tcPr>
          <w:p w14:paraId="2640E50F">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974" w:type="pct"/>
            <w:vAlign w:val="center"/>
          </w:tcPr>
          <w:p w14:paraId="658A48C9">
            <w:pPr>
              <w:pStyle w:val="41"/>
              <w:ind w:right="113"/>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2.317</w:t>
            </w:r>
          </w:p>
        </w:tc>
        <w:tc>
          <w:tcPr>
            <w:tcW w:w="896" w:type="pct"/>
            <w:vAlign w:val="center"/>
          </w:tcPr>
          <w:p w14:paraId="0779B72B">
            <w:pPr>
              <w:pStyle w:val="41"/>
              <w:ind w:right="113"/>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0.04634</w:t>
            </w:r>
          </w:p>
        </w:tc>
        <w:tc>
          <w:tcPr>
            <w:tcW w:w="944" w:type="pct"/>
            <w:vAlign w:val="center"/>
          </w:tcPr>
          <w:p w14:paraId="30E7B5A8">
            <w:pPr>
              <w:pStyle w:val="41"/>
              <w:ind w:right="113"/>
              <w:rPr>
                <w:rFonts w:hint="default" w:ascii="Times New Roman" w:hAnsi="Times New Roman" w:eastAsia="宋体" w:cs="Times New Roman"/>
                <w:color w:val="auto"/>
                <w:kern w:val="2"/>
                <w:u w:val="none"/>
                <w:lang w:val="en-US" w:eastAsia="zh-CN"/>
              </w:rPr>
            </w:pPr>
            <w:r>
              <w:rPr>
                <w:rFonts w:hint="eastAsia" w:eastAsia="宋体" w:cs="Times New Roman"/>
                <w:color w:val="auto"/>
                <w:kern w:val="2"/>
                <w:u w:val="none"/>
                <w:lang w:val="en-US" w:eastAsia="zh-CN"/>
              </w:rPr>
              <w:t>0.333697</w:t>
            </w:r>
          </w:p>
        </w:tc>
      </w:tr>
      <w:tr w14:paraId="02BF1D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Merge w:val="continue"/>
            <w:vAlign w:val="center"/>
          </w:tcPr>
          <w:p w14:paraId="5C434D04">
            <w:pPr>
              <w:pStyle w:val="41"/>
              <w:rPr>
                <w:rFonts w:hint="eastAsia" w:cs="Times New Roman"/>
                <w:color w:val="auto"/>
                <w:kern w:val="2"/>
                <w:u w:val="none"/>
                <w:lang w:val="en-US" w:eastAsia="zh-CN"/>
              </w:rPr>
            </w:pPr>
          </w:p>
        </w:tc>
        <w:tc>
          <w:tcPr>
            <w:tcW w:w="626" w:type="pct"/>
            <w:vMerge w:val="continue"/>
            <w:vAlign w:val="center"/>
          </w:tcPr>
          <w:p w14:paraId="4A9D82A6">
            <w:pPr>
              <w:pStyle w:val="41"/>
              <w:rPr>
                <w:rFonts w:hint="eastAsia" w:cs="Times New Roman"/>
                <w:color w:val="auto"/>
                <w:kern w:val="2"/>
                <w:u w:val="none"/>
                <w:lang w:val="en-US" w:eastAsia="zh-CN"/>
              </w:rPr>
            </w:pPr>
          </w:p>
        </w:tc>
        <w:tc>
          <w:tcPr>
            <w:tcW w:w="869" w:type="pct"/>
            <w:vAlign w:val="center"/>
          </w:tcPr>
          <w:p w14:paraId="39E6D425">
            <w:pPr>
              <w:pStyle w:val="41"/>
              <w:rPr>
                <w:rFonts w:hint="default" w:ascii="Times New Roman" w:hAnsi="Times New Roman" w:cs="Times New Roman"/>
                <w:color w:val="auto"/>
                <w:kern w:val="2"/>
                <w:u w:val="none"/>
              </w:rPr>
            </w:pPr>
            <w:r>
              <w:rPr>
                <w:kern w:val="2"/>
              </w:rPr>
              <w:t>氮氧化物</w:t>
            </w:r>
          </w:p>
        </w:tc>
        <w:tc>
          <w:tcPr>
            <w:tcW w:w="974" w:type="pct"/>
            <w:vAlign w:val="center"/>
          </w:tcPr>
          <w:p w14:paraId="41157E94">
            <w:pPr>
              <w:pStyle w:val="41"/>
              <w:ind w:right="113"/>
              <w:rPr>
                <w:rFonts w:hint="default" w:cs="Times New Roman"/>
                <w:color w:val="auto"/>
                <w:kern w:val="2"/>
                <w:u w:val="none"/>
                <w:lang w:val="en-US" w:eastAsia="zh-CN"/>
              </w:rPr>
            </w:pPr>
            <w:r>
              <w:rPr>
                <w:rFonts w:hint="eastAsia" w:cs="Times New Roman"/>
                <w:color w:val="auto"/>
                <w:kern w:val="2"/>
                <w:u w:val="none"/>
                <w:lang w:val="en-US" w:eastAsia="zh-CN"/>
              </w:rPr>
              <w:t>1.4897</w:t>
            </w:r>
          </w:p>
        </w:tc>
        <w:tc>
          <w:tcPr>
            <w:tcW w:w="896" w:type="pct"/>
            <w:vAlign w:val="center"/>
          </w:tcPr>
          <w:p w14:paraId="6F4C2387">
            <w:pPr>
              <w:pStyle w:val="41"/>
              <w:ind w:right="113"/>
              <w:rPr>
                <w:rFonts w:hint="default" w:cs="Times New Roman"/>
                <w:color w:val="auto"/>
                <w:u w:val="none"/>
                <w:lang w:val="en-US" w:eastAsia="zh-CN"/>
              </w:rPr>
            </w:pPr>
            <w:r>
              <w:rPr>
                <w:rFonts w:hint="eastAsia" w:cs="Times New Roman"/>
                <w:color w:val="auto"/>
                <w:u w:val="none"/>
                <w:lang w:val="en-US" w:eastAsia="zh-CN"/>
              </w:rPr>
              <w:t>0.02979</w:t>
            </w:r>
          </w:p>
        </w:tc>
        <w:tc>
          <w:tcPr>
            <w:tcW w:w="944" w:type="pct"/>
            <w:vAlign w:val="center"/>
          </w:tcPr>
          <w:p w14:paraId="58E63367">
            <w:pPr>
              <w:pStyle w:val="41"/>
              <w:ind w:right="113"/>
              <w:rPr>
                <w:rFonts w:hint="default" w:eastAsia="宋体" w:cs="Times New Roman"/>
                <w:color w:val="auto"/>
                <w:kern w:val="2"/>
                <w:u w:val="none"/>
                <w:lang w:val="en-US" w:eastAsia="zh-CN"/>
              </w:rPr>
            </w:pPr>
            <w:r>
              <w:rPr>
                <w:rFonts w:hint="eastAsia" w:cs="Times New Roman"/>
                <w:color w:val="auto"/>
                <w:kern w:val="2"/>
                <w:u w:val="none"/>
                <w:lang w:val="en-US" w:eastAsia="zh-CN"/>
              </w:rPr>
              <w:t>0.214519</w:t>
            </w:r>
          </w:p>
        </w:tc>
      </w:tr>
      <w:tr w14:paraId="3457E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8" w:type="pct"/>
            <w:vAlign w:val="center"/>
          </w:tcPr>
          <w:p w14:paraId="4A23FF41">
            <w:pPr>
              <w:pStyle w:val="41"/>
              <w:rPr>
                <w:rFonts w:hint="default" w:cs="Times New Roman"/>
                <w:color w:val="auto"/>
                <w:kern w:val="2"/>
                <w:u w:val="none"/>
                <w:lang w:val="en-US" w:eastAsia="zh-CN"/>
              </w:rPr>
            </w:pPr>
            <w:r>
              <w:rPr>
                <w:rFonts w:hint="eastAsia" w:cs="Times New Roman"/>
                <w:color w:val="auto"/>
                <w:kern w:val="2"/>
                <w:u w:val="none"/>
                <w:lang w:val="en-US" w:eastAsia="zh-CN"/>
              </w:rPr>
              <w:t>2</w:t>
            </w:r>
          </w:p>
        </w:tc>
        <w:tc>
          <w:tcPr>
            <w:tcW w:w="626" w:type="pct"/>
            <w:vAlign w:val="center"/>
          </w:tcPr>
          <w:p w14:paraId="11C52CD9">
            <w:pPr>
              <w:pStyle w:val="41"/>
              <w:rPr>
                <w:rFonts w:hint="default" w:cs="Times New Roman"/>
                <w:color w:val="auto"/>
                <w:kern w:val="2"/>
                <w:u w:val="none"/>
                <w:lang w:val="en-US" w:eastAsia="zh-CN"/>
              </w:rPr>
            </w:pPr>
            <w:r>
              <w:rPr>
                <w:rFonts w:hint="eastAsia" w:cs="Times New Roman"/>
                <w:color w:val="auto"/>
                <w:kern w:val="2"/>
                <w:u w:val="none"/>
                <w:lang w:val="en-US" w:eastAsia="zh-CN"/>
              </w:rPr>
              <w:t>DA002</w:t>
            </w:r>
          </w:p>
        </w:tc>
        <w:tc>
          <w:tcPr>
            <w:tcW w:w="869" w:type="pct"/>
            <w:vAlign w:val="center"/>
          </w:tcPr>
          <w:p w14:paraId="3A81D287">
            <w:pPr>
              <w:pStyle w:val="41"/>
              <w:rPr>
                <w:rFonts w:hint="default" w:eastAsia="宋体"/>
                <w:kern w:val="2"/>
                <w:lang w:val="en-US" w:eastAsia="zh-CN"/>
              </w:rPr>
            </w:pPr>
            <w:r>
              <w:rPr>
                <w:rFonts w:hint="eastAsia"/>
                <w:kern w:val="2"/>
                <w:lang w:val="en-US" w:eastAsia="zh-CN"/>
              </w:rPr>
              <w:t>铬酸雾</w:t>
            </w:r>
          </w:p>
        </w:tc>
        <w:tc>
          <w:tcPr>
            <w:tcW w:w="974" w:type="pct"/>
            <w:vAlign w:val="center"/>
          </w:tcPr>
          <w:p w14:paraId="347BDDC1">
            <w:pPr>
              <w:pStyle w:val="41"/>
              <w:ind w:right="113"/>
              <w:rPr>
                <w:rFonts w:hint="default" w:cs="Times New Roman"/>
                <w:color w:val="auto"/>
                <w:kern w:val="2"/>
                <w:u w:val="none"/>
                <w:lang w:val="en-US" w:eastAsia="zh-CN"/>
              </w:rPr>
            </w:pPr>
            <w:r>
              <w:rPr>
                <w:rFonts w:hint="eastAsia" w:cs="Times New Roman"/>
                <w:color w:val="auto"/>
                <w:kern w:val="2"/>
                <w:u w:val="none"/>
                <w:lang w:val="en-US" w:eastAsia="zh-CN"/>
              </w:rPr>
              <w:t>0.17928</w:t>
            </w:r>
          </w:p>
        </w:tc>
        <w:tc>
          <w:tcPr>
            <w:tcW w:w="896" w:type="pct"/>
            <w:vAlign w:val="center"/>
          </w:tcPr>
          <w:p w14:paraId="72E10D76">
            <w:pPr>
              <w:pStyle w:val="41"/>
              <w:ind w:right="113"/>
              <w:rPr>
                <w:rFonts w:hint="default" w:cs="Times New Roman"/>
                <w:color w:val="auto"/>
                <w:u w:val="none"/>
                <w:lang w:val="en-US" w:eastAsia="zh-CN"/>
              </w:rPr>
            </w:pPr>
            <w:r>
              <w:rPr>
                <w:rFonts w:hint="eastAsia" w:cs="Times New Roman"/>
                <w:color w:val="auto"/>
                <w:u w:val="none"/>
                <w:lang w:val="en-US" w:eastAsia="zh-CN"/>
              </w:rPr>
              <w:t>0.0053789</w:t>
            </w:r>
          </w:p>
        </w:tc>
        <w:tc>
          <w:tcPr>
            <w:tcW w:w="944" w:type="pct"/>
            <w:vAlign w:val="center"/>
          </w:tcPr>
          <w:p w14:paraId="33848EBD">
            <w:pPr>
              <w:pStyle w:val="41"/>
              <w:ind w:right="113"/>
              <w:rPr>
                <w:rFonts w:hint="default" w:cs="Times New Roman"/>
                <w:color w:val="auto"/>
                <w:kern w:val="2"/>
                <w:u w:val="none"/>
                <w:lang w:val="en-US" w:eastAsia="zh-CN"/>
              </w:rPr>
            </w:pPr>
            <w:r>
              <w:rPr>
                <w:rFonts w:hint="eastAsia" w:cs="Times New Roman"/>
                <w:color w:val="auto"/>
                <w:kern w:val="2"/>
                <w:u w:val="none"/>
                <w:lang w:val="en-US" w:eastAsia="zh-CN"/>
              </w:rPr>
              <w:t>0.038726</w:t>
            </w:r>
          </w:p>
        </w:tc>
      </w:tr>
      <w:tr w14:paraId="39694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gridSpan w:val="2"/>
            <w:vMerge w:val="restart"/>
            <w:vAlign w:val="center"/>
          </w:tcPr>
          <w:p w14:paraId="7E756F2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有组织排放总计</w:t>
            </w:r>
          </w:p>
        </w:tc>
        <w:tc>
          <w:tcPr>
            <w:tcW w:w="2739" w:type="pct"/>
            <w:gridSpan w:val="3"/>
            <w:vAlign w:val="center"/>
          </w:tcPr>
          <w:p w14:paraId="0CC7E1C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944" w:type="pct"/>
            <w:vAlign w:val="center"/>
          </w:tcPr>
          <w:p w14:paraId="4DBA0294">
            <w:pPr>
              <w:pStyle w:val="41"/>
              <w:ind w:right="113" w:rightChars="0"/>
              <w:rPr>
                <w:rFonts w:hint="default" w:ascii="Times New Roman" w:hAnsi="Times New Roman" w:cs="Times New Roman"/>
                <w:color w:val="auto"/>
                <w:kern w:val="2"/>
                <w:u w:val="none"/>
              </w:rPr>
            </w:pPr>
            <w:r>
              <w:rPr>
                <w:rFonts w:hint="eastAsia" w:eastAsia="宋体" w:cs="Times New Roman"/>
                <w:color w:val="auto"/>
                <w:kern w:val="2"/>
                <w:u w:val="none"/>
                <w:lang w:val="en-US" w:eastAsia="zh-CN"/>
              </w:rPr>
              <w:t>0.333697</w:t>
            </w:r>
          </w:p>
        </w:tc>
      </w:tr>
      <w:tr w14:paraId="3A740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gridSpan w:val="2"/>
            <w:vMerge w:val="continue"/>
            <w:vAlign w:val="center"/>
          </w:tcPr>
          <w:p w14:paraId="54B594A3">
            <w:pPr>
              <w:pStyle w:val="41"/>
              <w:rPr>
                <w:rFonts w:hint="default" w:ascii="Times New Roman" w:hAnsi="Times New Roman" w:cs="Times New Roman"/>
                <w:color w:val="auto"/>
                <w:kern w:val="2"/>
                <w:u w:val="none"/>
              </w:rPr>
            </w:pPr>
          </w:p>
        </w:tc>
        <w:tc>
          <w:tcPr>
            <w:tcW w:w="4668" w:type="dxa"/>
            <w:gridSpan w:val="3"/>
            <w:vAlign w:val="center"/>
          </w:tcPr>
          <w:p w14:paraId="3A2A8F80">
            <w:pPr>
              <w:pStyle w:val="41"/>
              <w:rPr>
                <w:rFonts w:hint="default" w:ascii="Times New Roman" w:hAnsi="Times New Roman" w:cs="Times New Roman"/>
                <w:color w:val="auto"/>
                <w:kern w:val="2"/>
                <w:u w:val="none"/>
              </w:rPr>
            </w:pPr>
            <w:r>
              <w:rPr>
                <w:kern w:val="2"/>
              </w:rPr>
              <w:t>氮氧化物</w:t>
            </w:r>
          </w:p>
        </w:tc>
        <w:tc>
          <w:tcPr>
            <w:tcW w:w="1612" w:type="dxa"/>
            <w:vAlign w:val="center"/>
          </w:tcPr>
          <w:p w14:paraId="5B088490">
            <w:pPr>
              <w:pStyle w:val="41"/>
              <w:ind w:right="113" w:rightChars="0"/>
              <w:rPr>
                <w:rFonts w:hint="eastAsia" w:eastAsia="宋体" w:cs="Times New Roman"/>
                <w:color w:val="auto"/>
                <w:kern w:val="2"/>
                <w:u w:val="none"/>
                <w:lang w:val="en-US" w:eastAsia="zh-CN"/>
              </w:rPr>
            </w:pPr>
            <w:r>
              <w:rPr>
                <w:rFonts w:hint="eastAsia" w:cs="Times New Roman"/>
                <w:color w:val="auto"/>
                <w:kern w:val="2"/>
                <w:u w:val="none"/>
                <w:lang w:val="en-US" w:eastAsia="zh-CN"/>
              </w:rPr>
              <w:t>0.214519</w:t>
            </w:r>
          </w:p>
        </w:tc>
      </w:tr>
      <w:tr w14:paraId="0293C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pct"/>
            <w:gridSpan w:val="2"/>
            <w:vMerge w:val="continue"/>
            <w:vAlign w:val="center"/>
          </w:tcPr>
          <w:p w14:paraId="168513D1">
            <w:pPr>
              <w:pStyle w:val="41"/>
              <w:rPr>
                <w:rFonts w:hint="default" w:ascii="Times New Roman" w:hAnsi="Times New Roman" w:cs="Times New Roman"/>
                <w:color w:val="auto"/>
                <w:kern w:val="2"/>
                <w:u w:val="none"/>
              </w:rPr>
            </w:pPr>
          </w:p>
        </w:tc>
        <w:tc>
          <w:tcPr>
            <w:tcW w:w="4668" w:type="dxa"/>
            <w:gridSpan w:val="3"/>
            <w:vAlign w:val="center"/>
          </w:tcPr>
          <w:p w14:paraId="7193705F">
            <w:pPr>
              <w:pStyle w:val="41"/>
              <w:rPr>
                <w:rFonts w:hint="default" w:ascii="Times New Roman" w:hAnsi="Times New Roman" w:cs="Times New Roman"/>
                <w:color w:val="auto"/>
                <w:kern w:val="2"/>
                <w:u w:val="none"/>
              </w:rPr>
            </w:pPr>
            <w:r>
              <w:rPr>
                <w:rFonts w:hint="eastAsia"/>
                <w:kern w:val="2"/>
                <w:lang w:val="en-US" w:eastAsia="zh-CN"/>
              </w:rPr>
              <w:t>铬酸雾</w:t>
            </w:r>
          </w:p>
        </w:tc>
        <w:tc>
          <w:tcPr>
            <w:tcW w:w="1612" w:type="dxa"/>
            <w:vAlign w:val="center"/>
          </w:tcPr>
          <w:p w14:paraId="2DD37D43">
            <w:pPr>
              <w:pStyle w:val="41"/>
              <w:ind w:right="113" w:rightChars="0"/>
              <w:rPr>
                <w:rFonts w:hint="eastAsia" w:eastAsia="宋体" w:cs="Times New Roman"/>
                <w:color w:val="auto"/>
                <w:kern w:val="2"/>
                <w:u w:val="none"/>
                <w:lang w:val="en-US" w:eastAsia="zh-CN"/>
              </w:rPr>
            </w:pPr>
            <w:r>
              <w:rPr>
                <w:rFonts w:hint="eastAsia" w:cs="Times New Roman"/>
                <w:color w:val="auto"/>
                <w:kern w:val="2"/>
                <w:u w:val="none"/>
                <w:lang w:val="en-US" w:eastAsia="zh-CN"/>
              </w:rPr>
              <w:t>0.038726</w:t>
            </w:r>
          </w:p>
        </w:tc>
      </w:tr>
    </w:tbl>
    <w:p w14:paraId="61760B56">
      <w:pPr>
        <w:numPr>
          <w:ilvl w:val="0"/>
          <w:numId w:val="9"/>
        </w:numPr>
        <w:adjustRightInd w:val="0"/>
        <w:snapToGrid w:val="0"/>
        <w:spacing w:before="156" w:beforeLines="50"/>
        <w:ind w:firstLine="480"/>
        <w:rPr>
          <w:rFonts w:hint="default" w:ascii="Times New Roman" w:hAnsi="Times New Roman" w:cs="Times New Roman"/>
          <w:color w:val="auto"/>
          <w:u w:val="none"/>
        </w:rPr>
      </w:pPr>
      <w:r>
        <w:rPr>
          <w:rFonts w:hint="default" w:ascii="Times New Roman" w:hAnsi="Times New Roman" w:cs="Times New Roman"/>
          <w:color w:val="auto"/>
          <w:u w:val="none"/>
        </w:rPr>
        <w:t>无组织污染物排放量核算：</w:t>
      </w:r>
    </w:p>
    <w:p w14:paraId="10E4B1FD">
      <w:pPr>
        <w:pStyle w:val="38"/>
        <w:rPr>
          <w:rFonts w:hint="default" w:ascii="Times New Roman" w:hAnsi="Times New Roman" w:cs="Times New Roman"/>
          <w:b/>
          <w:bCs/>
          <w:color w:val="auto"/>
          <w:u w:val="none"/>
        </w:rPr>
      </w:pPr>
    </w:p>
    <w:p w14:paraId="228B967F">
      <w:pPr>
        <w:pStyle w:val="38"/>
        <w:rPr>
          <w:rFonts w:hint="default" w:ascii="Times New Roman" w:hAnsi="Times New Roman" w:cs="Times New Roman"/>
          <w:b/>
          <w:bCs/>
          <w:color w:val="auto"/>
          <w:u w:val="none"/>
        </w:rPr>
      </w:pPr>
    </w:p>
    <w:p w14:paraId="4568C71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w:t>
      </w:r>
      <w:r>
        <w:rPr>
          <w:rFonts w:hint="eastAsia" w:ascii="Times New Roman" w:hAnsi="Times New Roman" w:cs="Times New Roman"/>
          <w:b/>
          <w:bCs/>
          <w:color w:val="auto"/>
          <w:u w:val="none"/>
          <w:lang w:val="en-US" w:eastAsia="zh-CN"/>
        </w:rPr>
        <w:t xml:space="preserve">16  </w:t>
      </w:r>
      <w:r>
        <w:rPr>
          <w:rFonts w:hint="default" w:ascii="Times New Roman" w:hAnsi="Times New Roman" w:cs="Times New Roman"/>
          <w:b/>
          <w:bCs/>
          <w:color w:val="auto"/>
          <w:u w:val="none"/>
        </w:rPr>
        <w:t>大气污染物无组织排放量核算表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660"/>
        <w:gridCol w:w="714"/>
        <w:gridCol w:w="910"/>
        <w:gridCol w:w="44"/>
        <w:gridCol w:w="1148"/>
        <w:gridCol w:w="2444"/>
        <w:gridCol w:w="1141"/>
        <w:gridCol w:w="1029"/>
      </w:tblGrid>
      <w:tr w14:paraId="0BCCF3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vAlign w:val="center"/>
          </w:tcPr>
          <w:p w14:paraId="7D192CCD">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序号</w:t>
            </w:r>
          </w:p>
        </w:tc>
        <w:tc>
          <w:tcPr>
            <w:tcW w:w="388" w:type="pct"/>
            <w:vMerge w:val="restart"/>
            <w:vAlign w:val="center"/>
          </w:tcPr>
          <w:p w14:paraId="45A9A59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排放口编号</w:t>
            </w:r>
          </w:p>
        </w:tc>
        <w:tc>
          <w:tcPr>
            <w:tcW w:w="419" w:type="pct"/>
            <w:vMerge w:val="restart"/>
            <w:vAlign w:val="center"/>
          </w:tcPr>
          <w:p w14:paraId="516CF41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产污环节</w:t>
            </w:r>
          </w:p>
        </w:tc>
        <w:tc>
          <w:tcPr>
            <w:tcW w:w="534" w:type="pct"/>
            <w:vMerge w:val="restart"/>
            <w:vAlign w:val="center"/>
          </w:tcPr>
          <w:p w14:paraId="6CF5AB83">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w:t>
            </w:r>
          </w:p>
        </w:tc>
        <w:tc>
          <w:tcPr>
            <w:tcW w:w="700" w:type="pct"/>
            <w:gridSpan w:val="2"/>
            <w:vMerge w:val="restart"/>
            <w:vAlign w:val="center"/>
          </w:tcPr>
          <w:p w14:paraId="7DC07A2D">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主要污染防治措施</w:t>
            </w:r>
          </w:p>
        </w:tc>
        <w:tc>
          <w:tcPr>
            <w:tcW w:w="2105" w:type="pct"/>
            <w:gridSpan w:val="2"/>
            <w:vAlign w:val="center"/>
          </w:tcPr>
          <w:p w14:paraId="7D958439">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国家或地方污染物排放标准</w:t>
            </w:r>
          </w:p>
        </w:tc>
        <w:tc>
          <w:tcPr>
            <w:tcW w:w="601" w:type="pct"/>
            <w:vMerge w:val="restart"/>
            <w:vAlign w:val="center"/>
          </w:tcPr>
          <w:p w14:paraId="7B8C0B0B">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年排放量/(t/a)</w:t>
            </w:r>
          </w:p>
        </w:tc>
      </w:tr>
      <w:tr w14:paraId="04F4F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250" w:type="pct"/>
            <w:vMerge w:val="continue"/>
            <w:vAlign w:val="center"/>
          </w:tcPr>
          <w:p w14:paraId="128A9091">
            <w:pPr>
              <w:pStyle w:val="41"/>
              <w:rPr>
                <w:rFonts w:hint="default" w:ascii="Times New Roman" w:hAnsi="Times New Roman" w:cs="Times New Roman"/>
                <w:color w:val="auto"/>
                <w:kern w:val="2"/>
                <w:u w:val="none"/>
              </w:rPr>
            </w:pPr>
          </w:p>
        </w:tc>
        <w:tc>
          <w:tcPr>
            <w:tcW w:w="388" w:type="pct"/>
            <w:vMerge w:val="continue"/>
            <w:vAlign w:val="center"/>
          </w:tcPr>
          <w:p w14:paraId="5B62B3A1">
            <w:pPr>
              <w:pStyle w:val="41"/>
              <w:rPr>
                <w:rFonts w:hint="default" w:ascii="Times New Roman" w:hAnsi="Times New Roman" w:cs="Times New Roman"/>
                <w:color w:val="auto"/>
                <w:kern w:val="2"/>
                <w:u w:val="none"/>
              </w:rPr>
            </w:pPr>
          </w:p>
        </w:tc>
        <w:tc>
          <w:tcPr>
            <w:tcW w:w="419" w:type="pct"/>
            <w:vMerge w:val="continue"/>
            <w:vAlign w:val="center"/>
          </w:tcPr>
          <w:p w14:paraId="56C3CBC3">
            <w:pPr>
              <w:pStyle w:val="41"/>
              <w:rPr>
                <w:rFonts w:hint="default" w:ascii="Times New Roman" w:hAnsi="Times New Roman" w:cs="Times New Roman"/>
                <w:color w:val="auto"/>
                <w:kern w:val="2"/>
                <w:u w:val="none"/>
              </w:rPr>
            </w:pPr>
          </w:p>
        </w:tc>
        <w:tc>
          <w:tcPr>
            <w:tcW w:w="534" w:type="pct"/>
            <w:vMerge w:val="continue"/>
            <w:vAlign w:val="center"/>
          </w:tcPr>
          <w:p w14:paraId="682FC6F2">
            <w:pPr>
              <w:pStyle w:val="41"/>
              <w:rPr>
                <w:rFonts w:hint="default" w:ascii="Times New Roman" w:hAnsi="Times New Roman" w:cs="Times New Roman"/>
                <w:color w:val="auto"/>
                <w:kern w:val="2"/>
                <w:u w:val="none"/>
              </w:rPr>
            </w:pPr>
          </w:p>
        </w:tc>
        <w:tc>
          <w:tcPr>
            <w:tcW w:w="700" w:type="pct"/>
            <w:gridSpan w:val="2"/>
            <w:vMerge w:val="continue"/>
            <w:vAlign w:val="center"/>
          </w:tcPr>
          <w:p w14:paraId="0BA5011F">
            <w:pPr>
              <w:pStyle w:val="41"/>
              <w:rPr>
                <w:rFonts w:hint="default" w:ascii="Times New Roman" w:hAnsi="Times New Roman" w:cs="Times New Roman"/>
                <w:color w:val="auto"/>
                <w:kern w:val="2"/>
                <w:u w:val="none"/>
              </w:rPr>
            </w:pPr>
          </w:p>
        </w:tc>
        <w:tc>
          <w:tcPr>
            <w:tcW w:w="1435" w:type="pct"/>
            <w:vAlign w:val="center"/>
          </w:tcPr>
          <w:p w14:paraId="5EEE3C68">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标准名称</w:t>
            </w:r>
          </w:p>
        </w:tc>
        <w:tc>
          <w:tcPr>
            <w:tcW w:w="669" w:type="pct"/>
            <w:vAlign w:val="center"/>
          </w:tcPr>
          <w:p w14:paraId="47C41E54">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浓度限值/(mg/m</w:t>
            </w:r>
            <w:r>
              <w:rPr>
                <w:rFonts w:hint="default" w:ascii="Times New Roman" w:hAnsi="Times New Roman" w:cs="Times New Roman"/>
                <w:b/>
                <w:bCs/>
                <w:color w:val="auto"/>
                <w:kern w:val="2"/>
                <w:u w:val="none"/>
                <w:vertAlign w:val="superscript"/>
              </w:rPr>
              <w:t>3</w:t>
            </w:r>
            <w:r>
              <w:rPr>
                <w:rFonts w:hint="default" w:ascii="Times New Roman" w:hAnsi="Times New Roman" w:cs="Times New Roman"/>
                <w:b/>
                <w:bCs/>
                <w:color w:val="auto"/>
                <w:kern w:val="2"/>
                <w:u w:val="none"/>
              </w:rPr>
              <w:t>)</w:t>
            </w:r>
          </w:p>
        </w:tc>
        <w:tc>
          <w:tcPr>
            <w:tcW w:w="601" w:type="pct"/>
            <w:vMerge w:val="continue"/>
            <w:vAlign w:val="center"/>
          </w:tcPr>
          <w:p w14:paraId="43DE75D1">
            <w:pPr>
              <w:pStyle w:val="41"/>
              <w:rPr>
                <w:rFonts w:hint="default" w:ascii="Times New Roman" w:hAnsi="Times New Roman" w:cs="Times New Roman"/>
                <w:color w:val="auto"/>
                <w:kern w:val="2"/>
                <w:u w:val="none"/>
              </w:rPr>
            </w:pPr>
          </w:p>
        </w:tc>
      </w:tr>
      <w:tr w14:paraId="3DF48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restart"/>
            <w:vAlign w:val="center"/>
          </w:tcPr>
          <w:p w14:paraId="15A7F62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p>
        </w:tc>
        <w:tc>
          <w:tcPr>
            <w:tcW w:w="388" w:type="pct"/>
            <w:vAlign w:val="center"/>
          </w:tcPr>
          <w:p w14:paraId="6BE6447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419" w:type="pct"/>
            <w:vMerge w:val="restart"/>
            <w:vAlign w:val="center"/>
          </w:tcPr>
          <w:p w14:paraId="1BA6788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生产车间</w:t>
            </w:r>
          </w:p>
        </w:tc>
        <w:tc>
          <w:tcPr>
            <w:tcW w:w="534" w:type="pct"/>
            <w:vAlign w:val="center"/>
          </w:tcPr>
          <w:p w14:paraId="7FA2637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700" w:type="pct"/>
            <w:gridSpan w:val="2"/>
            <w:vAlign w:val="center"/>
          </w:tcPr>
          <w:p w14:paraId="641CEA1C">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435" w:type="pct"/>
            <w:vMerge w:val="restart"/>
            <w:vAlign w:val="center"/>
          </w:tcPr>
          <w:p w14:paraId="1443317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《大气污染物综合排放标准》（GB16297-1996）表2中排放标准限值</w:t>
            </w:r>
          </w:p>
        </w:tc>
        <w:tc>
          <w:tcPr>
            <w:tcW w:w="669" w:type="pct"/>
            <w:vAlign w:val="center"/>
          </w:tcPr>
          <w:p w14:paraId="6412918E">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1.2</w:t>
            </w:r>
          </w:p>
        </w:tc>
        <w:tc>
          <w:tcPr>
            <w:tcW w:w="601" w:type="pct"/>
            <w:vAlign w:val="center"/>
          </w:tcPr>
          <w:p w14:paraId="237FA86F">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0.17563</w:t>
            </w:r>
          </w:p>
        </w:tc>
      </w:tr>
      <w:tr w14:paraId="469866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5223820A">
            <w:pPr>
              <w:pStyle w:val="41"/>
              <w:rPr>
                <w:rFonts w:hint="default" w:ascii="Times New Roman" w:hAnsi="Times New Roman" w:cs="Times New Roman"/>
                <w:color w:val="auto"/>
                <w:kern w:val="2"/>
                <w:u w:val="none"/>
              </w:rPr>
            </w:pPr>
          </w:p>
        </w:tc>
        <w:tc>
          <w:tcPr>
            <w:tcW w:w="388" w:type="pct"/>
            <w:vAlign w:val="center"/>
          </w:tcPr>
          <w:p w14:paraId="09339A35">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w:t>
            </w:r>
          </w:p>
        </w:tc>
        <w:tc>
          <w:tcPr>
            <w:tcW w:w="419" w:type="pct"/>
            <w:vMerge w:val="continue"/>
            <w:vAlign w:val="center"/>
          </w:tcPr>
          <w:p w14:paraId="5848A24B">
            <w:pPr>
              <w:pStyle w:val="41"/>
              <w:rPr>
                <w:rFonts w:hint="default" w:ascii="Times New Roman" w:hAnsi="Times New Roman" w:cs="Times New Roman"/>
                <w:color w:val="auto"/>
                <w:kern w:val="2"/>
                <w:u w:val="none"/>
              </w:rPr>
            </w:pPr>
          </w:p>
        </w:tc>
        <w:tc>
          <w:tcPr>
            <w:tcW w:w="534" w:type="pct"/>
            <w:vAlign w:val="center"/>
          </w:tcPr>
          <w:p w14:paraId="63B0F69E">
            <w:pPr>
              <w:pStyle w:val="41"/>
              <w:rPr>
                <w:rFonts w:hint="default" w:ascii="Times New Roman" w:hAnsi="Times New Roman" w:cs="Times New Roman"/>
                <w:color w:val="auto"/>
                <w:kern w:val="2"/>
                <w:u w:val="none"/>
              </w:rPr>
            </w:pPr>
            <w:r>
              <w:rPr>
                <w:kern w:val="2"/>
              </w:rPr>
              <w:t>氮氧化物</w:t>
            </w:r>
          </w:p>
        </w:tc>
        <w:tc>
          <w:tcPr>
            <w:tcW w:w="700" w:type="pct"/>
            <w:gridSpan w:val="2"/>
            <w:vAlign w:val="center"/>
          </w:tcPr>
          <w:p w14:paraId="31BA8320">
            <w:pPr>
              <w:ind w:firstLine="480" w:firstLineChars="200"/>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435" w:type="pct"/>
            <w:vMerge w:val="continue"/>
            <w:vAlign w:val="center"/>
          </w:tcPr>
          <w:p w14:paraId="78622551">
            <w:pPr>
              <w:pStyle w:val="41"/>
              <w:rPr>
                <w:rFonts w:hint="default" w:ascii="Times New Roman" w:hAnsi="Times New Roman" w:cs="Times New Roman"/>
                <w:color w:val="auto"/>
                <w:kern w:val="2"/>
                <w:u w:val="none"/>
              </w:rPr>
            </w:pPr>
          </w:p>
        </w:tc>
        <w:tc>
          <w:tcPr>
            <w:tcW w:w="669" w:type="pct"/>
            <w:vAlign w:val="center"/>
          </w:tcPr>
          <w:p w14:paraId="6FAE3D6A">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0.12</w:t>
            </w:r>
          </w:p>
        </w:tc>
        <w:tc>
          <w:tcPr>
            <w:tcW w:w="601" w:type="pct"/>
            <w:vAlign w:val="center"/>
          </w:tcPr>
          <w:p w14:paraId="04EAE970">
            <w:pPr>
              <w:pStyle w:val="41"/>
              <w:rPr>
                <w:rFonts w:hint="eastAsia" w:cs="Times New Roman"/>
                <w:color w:val="auto"/>
                <w:kern w:val="2"/>
                <w:u w:val="none"/>
                <w:lang w:val="en-US" w:eastAsia="zh-CN"/>
              </w:rPr>
            </w:pPr>
            <w:r>
              <w:rPr>
                <w:rFonts w:hint="eastAsia" w:cs="Times New Roman"/>
                <w:color w:val="auto"/>
                <w:kern w:val="2"/>
                <w:u w:val="none"/>
                <w:lang w:val="en-US" w:eastAsia="zh-CN"/>
              </w:rPr>
              <w:t>0.07527</w:t>
            </w:r>
          </w:p>
        </w:tc>
      </w:tr>
      <w:tr w14:paraId="2CD73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Merge w:val="continue"/>
            <w:vAlign w:val="center"/>
          </w:tcPr>
          <w:p w14:paraId="1F7EC854">
            <w:pPr>
              <w:pStyle w:val="41"/>
              <w:rPr>
                <w:rFonts w:hint="default" w:ascii="Times New Roman" w:hAnsi="Times New Roman" w:cs="Times New Roman"/>
                <w:color w:val="auto"/>
                <w:kern w:val="2"/>
                <w:u w:val="none"/>
              </w:rPr>
            </w:pPr>
          </w:p>
        </w:tc>
        <w:tc>
          <w:tcPr>
            <w:tcW w:w="388" w:type="pct"/>
            <w:vAlign w:val="center"/>
          </w:tcPr>
          <w:p w14:paraId="740BE317">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w:t>
            </w:r>
          </w:p>
        </w:tc>
        <w:tc>
          <w:tcPr>
            <w:tcW w:w="419" w:type="pct"/>
            <w:vAlign w:val="center"/>
          </w:tcPr>
          <w:p w14:paraId="49CF921A">
            <w:pPr>
              <w:pStyle w:val="41"/>
              <w:rPr>
                <w:rFonts w:hint="default" w:ascii="Times New Roman" w:hAnsi="Times New Roman" w:cs="Times New Roman"/>
                <w:color w:val="auto"/>
                <w:kern w:val="2"/>
                <w:u w:val="none"/>
              </w:rPr>
            </w:pPr>
          </w:p>
        </w:tc>
        <w:tc>
          <w:tcPr>
            <w:tcW w:w="534" w:type="pct"/>
            <w:vAlign w:val="center"/>
          </w:tcPr>
          <w:p w14:paraId="4ECCD85D">
            <w:pPr>
              <w:pStyle w:val="41"/>
              <w:rPr>
                <w:rFonts w:hint="default" w:ascii="Times New Roman" w:hAnsi="Times New Roman" w:cs="Times New Roman"/>
                <w:color w:val="auto"/>
                <w:kern w:val="2"/>
                <w:u w:val="none"/>
              </w:rPr>
            </w:pPr>
            <w:r>
              <w:rPr>
                <w:rFonts w:hint="eastAsia"/>
                <w:kern w:val="2"/>
                <w:lang w:val="en-US" w:eastAsia="zh-CN"/>
              </w:rPr>
              <w:t>铬酸雾</w:t>
            </w:r>
          </w:p>
        </w:tc>
        <w:tc>
          <w:tcPr>
            <w:tcW w:w="700" w:type="pct"/>
            <w:gridSpan w:val="2"/>
            <w:vAlign w:val="center"/>
          </w:tcPr>
          <w:p w14:paraId="4D4D3FBF">
            <w:pPr>
              <w:ind w:firstLine="480" w:firstLineChars="200"/>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435" w:type="pct"/>
            <w:vMerge w:val="continue"/>
            <w:vAlign w:val="center"/>
          </w:tcPr>
          <w:p w14:paraId="71B9663D">
            <w:pPr>
              <w:pStyle w:val="41"/>
              <w:rPr>
                <w:rFonts w:hint="default" w:ascii="Times New Roman" w:hAnsi="Times New Roman" w:cs="Times New Roman"/>
                <w:color w:val="auto"/>
                <w:kern w:val="2"/>
                <w:u w:val="none"/>
              </w:rPr>
            </w:pPr>
          </w:p>
        </w:tc>
        <w:tc>
          <w:tcPr>
            <w:tcW w:w="669" w:type="pct"/>
            <w:vAlign w:val="center"/>
          </w:tcPr>
          <w:p w14:paraId="374F3332">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0.006</w:t>
            </w:r>
          </w:p>
        </w:tc>
        <w:tc>
          <w:tcPr>
            <w:tcW w:w="601" w:type="pct"/>
            <w:vAlign w:val="center"/>
          </w:tcPr>
          <w:p w14:paraId="2EC69A60">
            <w:pPr>
              <w:pStyle w:val="41"/>
              <w:rPr>
                <w:rFonts w:hint="default" w:cs="Times New Roman"/>
                <w:color w:val="auto"/>
                <w:kern w:val="2"/>
                <w:u w:val="none"/>
                <w:lang w:val="en-US" w:eastAsia="zh-CN"/>
              </w:rPr>
            </w:pPr>
            <w:r>
              <w:rPr>
                <w:rFonts w:hint="eastAsia" w:cs="Times New Roman"/>
                <w:color w:val="auto"/>
                <w:kern w:val="2"/>
                <w:u w:val="none"/>
                <w:lang w:val="en-US" w:eastAsia="zh-CN"/>
              </w:rPr>
              <w:t>0.020349</w:t>
            </w:r>
          </w:p>
        </w:tc>
      </w:tr>
      <w:tr w14:paraId="558EE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vAlign w:val="center"/>
          </w:tcPr>
          <w:p w14:paraId="5C751B9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无组织排放总计</w:t>
            </w:r>
          </w:p>
        </w:tc>
      </w:tr>
      <w:tr w14:paraId="53C6E8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gridSpan w:val="5"/>
            <w:vMerge w:val="restart"/>
            <w:vAlign w:val="center"/>
          </w:tcPr>
          <w:p w14:paraId="4153EC6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无组织排放总计</w:t>
            </w:r>
          </w:p>
        </w:tc>
        <w:tc>
          <w:tcPr>
            <w:tcW w:w="3596" w:type="dxa"/>
            <w:gridSpan w:val="2"/>
            <w:vAlign w:val="center"/>
          </w:tcPr>
          <w:p w14:paraId="2441954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2170" w:type="dxa"/>
            <w:gridSpan w:val="2"/>
            <w:vAlign w:val="center"/>
          </w:tcPr>
          <w:p w14:paraId="49BE4D4D">
            <w:pPr>
              <w:pStyle w:val="41"/>
              <w:rPr>
                <w:rFonts w:hint="default" w:ascii="Times New Roman" w:hAnsi="Times New Roman" w:cs="Times New Roman"/>
                <w:color w:val="auto"/>
                <w:kern w:val="2"/>
                <w:u w:val="none"/>
              </w:rPr>
            </w:pPr>
            <w:r>
              <w:rPr>
                <w:rFonts w:hint="eastAsia" w:cs="Times New Roman"/>
                <w:color w:val="auto"/>
                <w:kern w:val="2"/>
                <w:u w:val="none"/>
                <w:lang w:val="en-US" w:eastAsia="zh-CN"/>
              </w:rPr>
              <w:t>0.17563</w:t>
            </w:r>
          </w:p>
        </w:tc>
      </w:tr>
      <w:tr w14:paraId="68BA33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gridSpan w:val="5"/>
            <w:vMerge w:val="continue"/>
            <w:vAlign w:val="center"/>
          </w:tcPr>
          <w:p w14:paraId="31938423">
            <w:pPr>
              <w:pStyle w:val="41"/>
              <w:rPr>
                <w:rFonts w:hint="default" w:ascii="Times New Roman" w:hAnsi="Times New Roman" w:cs="Times New Roman"/>
                <w:color w:val="auto"/>
                <w:kern w:val="2"/>
                <w:u w:val="none"/>
              </w:rPr>
            </w:pPr>
          </w:p>
        </w:tc>
        <w:tc>
          <w:tcPr>
            <w:tcW w:w="3596" w:type="dxa"/>
            <w:gridSpan w:val="2"/>
            <w:vAlign w:val="center"/>
          </w:tcPr>
          <w:p w14:paraId="23E62445">
            <w:pPr>
              <w:pStyle w:val="41"/>
              <w:rPr>
                <w:rFonts w:hint="default" w:ascii="Times New Roman" w:hAnsi="Times New Roman" w:cs="Times New Roman"/>
                <w:color w:val="auto"/>
                <w:kern w:val="2"/>
                <w:u w:val="none"/>
              </w:rPr>
            </w:pPr>
            <w:r>
              <w:rPr>
                <w:kern w:val="2"/>
              </w:rPr>
              <w:t>氮氧化物</w:t>
            </w:r>
          </w:p>
        </w:tc>
        <w:tc>
          <w:tcPr>
            <w:tcW w:w="2170" w:type="dxa"/>
            <w:gridSpan w:val="2"/>
            <w:vAlign w:val="center"/>
          </w:tcPr>
          <w:p w14:paraId="3B7B9363">
            <w:pPr>
              <w:pStyle w:val="41"/>
              <w:rPr>
                <w:rFonts w:hint="eastAsia" w:cs="Times New Roman"/>
                <w:color w:val="auto"/>
                <w:kern w:val="2"/>
                <w:u w:val="none"/>
                <w:lang w:val="en-US" w:eastAsia="zh-CN"/>
              </w:rPr>
            </w:pPr>
            <w:r>
              <w:rPr>
                <w:rFonts w:hint="eastAsia" w:cs="Times New Roman"/>
                <w:color w:val="auto"/>
                <w:kern w:val="2"/>
                <w:u w:val="none"/>
                <w:lang w:val="en-US" w:eastAsia="zh-CN"/>
              </w:rPr>
              <w:t>0.07527</w:t>
            </w:r>
          </w:p>
        </w:tc>
      </w:tr>
      <w:tr w14:paraId="2676A9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7" w:type="pct"/>
            <w:gridSpan w:val="5"/>
            <w:vMerge w:val="continue"/>
            <w:vAlign w:val="center"/>
          </w:tcPr>
          <w:p w14:paraId="0FE18013">
            <w:pPr>
              <w:pStyle w:val="41"/>
              <w:rPr>
                <w:rFonts w:hint="default" w:ascii="Times New Roman" w:hAnsi="Times New Roman" w:cs="Times New Roman"/>
                <w:color w:val="auto"/>
                <w:kern w:val="2"/>
                <w:u w:val="none"/>
              </w:rPr>
            </w:pPr>
          </w:p>
        </w:tc>
        <w:tc>
          <w:tcPr>
            <w:tcW w:w="3596" w:type="dxa"/>
            <w:gridSpan w:val="2"/>
            <w:vAlign w:val="center"/>
          </w:tcPr>
          <w:p w14:paraId="7A6FE9DD">
            <w:pPr>
              <w:pStyle w:val="41"/>
              <w:rPr>
                <w:rFonts w:hint="default" w:ascii="Times New Roman" w:hAnsi="Times New Roman" w:cs="Times New Roman"/>
                <w:color w:val="auto"/>
                <w:kern w:val="2"/>
                <w:u w:val="none"/>
              </w:rPr>
            </w:pPr>
            <w:r>
              <w:rPr>
                <w:rFonts w:hint="eastAsia"/>
                <w:kern w:val="2"/>
                <w:lang w:val="en-US" w:eastAsia="zh-CN"/>
              </w:rPr>
              <w:t>铬酸雾</w:t>
            </w:r>
          </w:p>
        </w:tc>
        <w:tc>
          <w:tcPr>
            <w:tcW w:w="2170" w:type="dxa"/>
            <w:gridSpan w:val="2"/>
            <w:vAlign w:val="center"/>
          </w:tcPr>
          <w:p w14:paraId="3F04E446">
            <w:pPr>
              <w:pStyle w:val="41"/>
              <w:rPr>
                <w:rFonts w:hint="eastAsia" w:cs="Times New Roman"/>
                <w:color w:val="auto"/>
                <w:kern w:val="2"/>
                <w:u w:val="none"/>
                <w:lang w:val="en-US" w:eastAsia="zh-CN"/>
              </w:rPr>
            </w:pPr>
            <w:r>
              <w:rPr>
                <w:rFonts w:hint="eastAsia" w:cs="Times New Roman"/>
                <w:color w:val="auto"/>
                <w:kern w:val="2"/>
                <w:u w:val="none"/>
                <w:lang w:val="en-US" w:eastAsia="zh-CN"/>
              </w:rPr>
              <w:t>0.020349</w:t>
            </w:r>
          </w:p>
        </w:tc>
      </w:tr>
    </w:tbl>
    <w:p w14:paraId="34BCEF4D">
      <w:pPr>
        <w:numPr>
          <w:ilvl w:val="0"/>
          <w:numId w:val="9"/>
        </w:numPr>
        <w:adjustRightInd w:val="0"/>
        <w:snapToGrid w:val="0"/>
        <w:spacing w:line="520" w:lineRule="exact"/>
        <w:ind w:firstLine="480"/>
        <w:rPr>
          <w:rFonts w:hint="default" w:ascii="Times New Roman" w:hAnsi="Times New Roman" w:cs="Times New Roman"/>
          <w:color w:val="auto"/>
          <w:u w:val="none"/>
        </w:rPr>
      </w:pPr>
      <w:r>
        <w:rPr>
          <w:rFonts w:hint="default" w:ascii="Times New Roman" w:hAnsi="Times New Roman" w:cs="Times New Roman"/>
          <w:color w:val="auto"/>
          <w:u w:val="none"/>
        </w:rPr>
        <w:t>大气污染物年排放量核算：</w:t>
      </w:r>
    </w:p>
    <w:p w14:paraId="4B938A4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w:t>
      </w:r>
      <w:r>
        <w:rPr>
          <w:rFonts w:hint="eastAsia" w:ascii="Times New Roman" w:hAnsi="Times New Roman" w:cs="Times New Roman"/>
          <w:b/>
          <w:bCs/>
          <w:color w:val="auto"/>
          <w:u w:val="none"/>
          <w:lang w:val="en-US" w:eastAsia="zh-CN"/>
        </w:rPr>
        <w:t>17</w:t>
      </w:r>
      <w:r>
        <w:rPr>
          <w:rFonts w:hint="default" w:ascii="Times New Roman" w:hAnsi="Times New Roman" w:cs="Times New Roman"/>
          <w:b/>
          <w:bCs/>
          <w:color w:val="auto"/>
          <w:u w:val="none"/>
        </w:rPr>
        <w:t xml:space="preserve">  大气污染物年排放量核算表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41"/>
        <w:gridCol w:w="2840"/>
        <w:gridCol w:w="2838"/>
      </w:tblGrid>
      <w:tr w14:paraId="252D7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vAlign w:val="center"/>
          </w:tcPr>
          <w:p w14:paraId="0C17C2F0">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序号</w:t>
            </w:r>
          </w:p>
        </w:tc>
        <w:tc>
          <w:tcPr>
            <w:tcW w:w="1666" w:type="pct"/>
            <w:tcBorders>
              <w:tl2br w:val="nil"/>
              <w:tr2bl w:val="nil"/>
            </w:tcBorders>
            <w:vAlign w:val="center"/>
          </w:tcPr>
          <w:p w14:paraId="75105672">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w:t>
            </w:r>
          </w:p>
        </w:tc>
        <w:tc>
          <w:tcPr>
            <w:tcW w:w="1665" w:type="pct"/>
            <w:tcBorders>
              <w:tl2br w:val="nil"/>
              <w:tr2bl w:val="nil"/>
            </w:tcBorders>
            <w:vAlign w:val="center"/>
          </w:tcPr>
          <w:p w14:paraId="5990E1E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年排放量/(t/a)</w:t>
            </w:r>
          </w:p>
        </w:tc>
      </w:tr>
      <w:tr w14:paraId="3B754E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vAlign w:val="center"/>
          </w:tcPr>
          <w:p w14:paraId="3BE63ED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p>
        </w:tc>
        <w:tc>
          <w:tcPr>
            <w:tcW w:w="2840" w:type="dxa"/>
            <w:tcBorders>
              <w:tl2br w:val="nil"/>
              <w:tr2bl w:val="nil"/>
            </w:tcBorders>
            <w:vAlign w:val="center"/>
          </w:tcPr>
          <w:p w14:paraId="3E576B6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硫酸雾</w:t>
            </w:r>
          </w:p>
        </w:tc>
        <w:tc>
          <w:tcPr>
            <w:tcW w:w="2838" w:type="dxa"/>
            <w:tcBorders>
              <w:tl2br w:val="nil"/>
              <w:tr2bl w:val="nil"/>
            </w:tcBorders>
            <w:vAlign w:val="bottom"/>
          </w:tcPr>
          <w:p w14:paraId="3C72E699">
            <w:pPr>
              <w:keepNext w:val="0"/>
              <w:keepLines w:val="0"/>
              <w:widowControl/>
              <w:suppressLineNumbers w:val="0"/>
              <w:ind w:firstLine="420" w:firstLineChars="200"/>
              <w:jc w:val="center"/>
              <w:textAlignment w:val="bottom"/>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0.509327</w:t>
            </w:r>
          </w:p>
        </w:tc>
      </w:tr>
      <w:tr w14:paraId="6027B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vAlign w:val="center"/>
          </w:tcPr>
          <w:p w14:paraId="1256291E">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w:t>
            </w:r>
          </w:p>
        </w:tc>
        <w:tc>
          <w:tcPr>
            <w:tcW w:w="2840" w:type="dxa"/>
            <w:tcBorders>
              <w:tl2br w:val="nil"/>
              <w:tr2bl w:val="nil"/>
            </w:tcBorders>
            <w:vAlign w:val="center"/>
          </w:tcPr>
          <w:p w14:paraId="56C5996E">
            <w:pPr>
              <w:pStyle w:val="41"/>
              <w:rPr>
                <w:rFonts w:hint="default" w:ascii="Times New Roman" w:hAnsi="Times New Roman" w:cs="Times New Roman"/>
                <w:color w:val="auto"/>
                <w:kern w:val="2"/>
                <w:u w:val="none"/>
              </w:rPr>
            </w:pPr>
            <w:r>
              <w:rPr>
                <w:kern w:val="2"/>
              </w:rPr>
              <w:t>氮氧化物</w:t>
            </w:r>
          </w:p>
        </w:tc>
        <w:tc>
          <w:tcPr>
            <w:tcW w:w="2838" w:type="dxa"/>
            <w:tcBorders>
              <w:tl2br w:val="nil"/>
              <w:tr2bl w:val="nil"/>
            </w:tcBorders>
            <w:vAlign w:val="bottom"/>
          </w:tcPr>
          <w:p w14:paraId="594BEB22">
            <w:pPr>
              <w:keepNext w:val="0"/>
              <w:keepLines w:val="0"/>
              <w:widowControl/>
              <w:suppressLineNumbers w:val="0"/>
              <w:ind w:firstLine="420" w:firstLineChars="200"/>
              <w:jc w:val="center"/>
              <w:textAlignment w:val="bottom"/>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0.289789</w:t>
            </w:r>
          </w:p>
        </w:tc>
      </w:tr>
      <w:tr w14:paraId="6012A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7" w:type="pct"/>
            <w:tcBorders>
              <w:tl2br w:val="nil"/>
              <w:tr2bl w:val="nil"/>
            </w:tcBorders>
            <w:vAlign w:val="center"/>
          </w:tcPr>
          <w:p w14:paraId="40E8171D">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3</w:t>
            </w:r>
          </w:p>
        </w:tc>
        <w:tc>
          <w:tcPr>
            <w:tcW w:w="2840" w:type="dxa"/>
            <w:tcBorders>
              <w:tl2br w:val="nil"/>
              <w:tr2bl w:val="nil"/>
            </w:tcBorders>
            <w:vAlign w:val="center"/>
          </w:tcPr>
          <w:p w14:paraId="650A4716">
            <w:pPr>
              <w:pStyle w:val="41"/>
              <w:rPr>
                <w:rFonts w:hint="default" w:ascii="Times New Roman" w:hAnsi="Times New Roman" w:cs="Times New Roman"/>
                <w:color w:val="auto"/>
                <w:kern w:val="2"/>
                <w:u w:val="none"/>
              </w:rPr>
            </w:pPr>
            <w:r>
              <w:rPr>
                <w:rFonts w:hint="eastAsia"/>
                <w:kern w:val="2"/>
                <w:lang w:val="en-US" w:eastAsia="zh-CN"/>
              </w:rPr>
              <w:t>铬酸雾</w:t>
            </w:r>
          </w:p>
        </w:tc>
        <w:tc>
          <w:tcPr>
            <w:tcW w:w="2838" w:type="dxa"/>
            <w:tcBorders>
              <w:tl2br w:val="nil"/>
              <w:tr2bl w:val="nil"/>
            </w:tcBorders>
            <w:vAlign w:val="bottom"/>
          </w:tcPr>
          <w:p w14:paraId="62174B44">
            <w:pPr>
              <w:keepNext w:val="0"/>
              <w:keepLines w:val="0"/>
              <w:widowControl/>
              <w:suppressLineNumbers w:val="0"/>
              <w:ind w:firstLine="420" w:firstLineChars="200"/>
              <w:jc w:val="center"/>
              <w:textAlignment w:val="bottom"/>
              <w:rPr>
                <w:rFonts w:hint="eastAsia"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kern w:val="2"/>
                <w:sz w:val="21"/>
                <w:szCs w:val="21"/>
                <w:u w:val="none"/>
                <w:lang w:val="en-US" w:eastAsia="zh-CN" w:bidi="ar-SA"/>
              </w:rPr>
              <w:t>0.059075</w:t>
            </w:r>
          </w:p>
        </w:tc>
      </w:tr>
    </w:tbl>
    <w:p w14:paraId="2C29D31C">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营运期地表水环境影响分析</w:t>
      </w:r>
    </w:p>
    <w:p w14:paraId="16F18D4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（1）评价等级</w:t>
      </w:r>
    </w:p>
    <w:p w14:paraId="5BDC99E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 地表水环境》（HJ 2.3-2018）：建设项目地表水环境影响评价等级按照影响类型、排放方式、排放量或影响情况、受纳水体环境质量现状、水环境保护目标等综合确定。</w:t>
      </w:r>
    </w:p>
    <w:p w14:paraId="658074C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本项目将配套建设生产废水处理设施，并建立分类收集处理系统。含镍废水、含镍废液、含磷废水、含铬废水经单独收集处理后用泵打至中水回用处理系统；含油废液、碱废液经预处理</w:t>
      </w:r>
      <w:r>
        <w:rPr>
          <w:rFonts w:hint="eastAsia" w:ascii="Times New Roman" w:hAnsi="Times New Roman" w:cs="Times New Roman"/>
          <w:color w:val="auto"/>
          <w:u w:val="none"/>
          <w:lang w:val="en-US" w:eastAsia="zh-CN"/>
        </w:rPr>
        <w:t>进入</w:t>
      </w:r>
      <w:r>
        <w:rPr>
          <w:rFonts w:hint="default" w:ascii="Times New Roman" w:hAnsi="Times New Roman" w:cs="Times New Roman"/>
          <w:color w:val="auto"/>
          <w:u w:val="none"/>
        </w:rPr>
        <w:t>废水处理系统处理达标后排入市政污水管网，经城陵矶临港产业新区污水处理厂处理达《城镇污水处理厂污染物排放标准》（GB18918-2002）及修改单中一级A标准，经象骨港汇入长江。生活污水经化粪池预处理后达《污水综合排放标准》(GB8978-1996)表4的三级标准及污水处理厂的纳管协议标准，通过生活污水排放口（DW001）排入市政污水管网，经城陵矶临港产业新区污水处理厂处理达《城镇污水处理厂污染物排放标准》（GB18918-2002）及修改单中一级A标准，经象骨港汇入长江。因此本项目属间接排放建设项目，地表水环境影响评价等级为三级B。</w:t>
      </w:r>
    </w:p>
    <w:p w14:paraId="3B4EDF10">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（2）评价范围</w:t>
      </w:r>
    </w:p>
    <w:p w14:paraId="20F832F4">
      <w:pPr>
        <w:autoSpaceDE w:val="0"/>
        <w:autoSpaceDN w:val="0"/>
        <w:adjustRightInd w:val="0"/>
        <w:ind w:firstLine="424" w:firstLineChars="177"/>
        <w:jc w:val="left"/>
        <w:rPr>
          <w:rFonts w:hint="default" w:ascii="Times New Roman" w:hAnsi="Times New Roman" w:eastAsia="Calibri" w:cs="Times New Roman"/>
          <w:color w:val="auto"/>
          <w:kern w:val="0"/>
          <w:u w:val="none"/>
        </w:rPr>
      </w:pPr>
      <w:r>
        <w:rPr>
          <w:rFonts w:hint="default" w:ascii="Times New Roman" w:hAnsi="Times New Roman" w:cs="Times New Roman"/>
          <w:color w:val="auto"/>
          <w:kern w:val="0"/>
          <w:u w:val="none"/>
        </w:rPr>
        <w:t>根据《环境影响评价技术导则 地表水环境》（HJ 2.3-2018）中“5.3.2.2 三级 B，其评价范围应符合以下要求：a)应满足其污水处理设施环境可行性分析的要求；b)涉及地表水环境风险的，应覆盖环境风险影响范围所及的水环境保护目标水域。</w:t>
      </w:r>
    </w:p>
    <w:p w14:paraId="121EEAD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（3）水污染控制和水环境影响减缓措施有效性评价</w:t>
      </w:r>
    </w:p>
    <w:p w14:paraId="0A35A39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①生活污水</w:t>
      </w:r>
    </w:p>
    <w:p w14:paraId="5FC7580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生活污水经化粪池预处理后达《污水综合排放标准》(GB8978-1996)表4的三级标准及污水处理厂的纳管协议标准后，排入市政污水管网。</w:t>
      </w:r>
    </w:p>
    <w:p w14:paraId="20247FC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化粪池的基本原理：化粪池指的是将生活污水分格沉淀，及对污泥进行厌氧消化的小型处理构筑物。化粪池属最初级污水处理阶段，可去除50％的悬浮杂质（粪便、较大病原虫等），并使积泥在厌氧条件下分解为稳定状态。其沉淀原理类似于平流式沉淀池，分为酸性发酵和碱性发酵两个阶段。第一阶段为酸性发酵阶段，产生H</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S、硫醇、吲哚、粪臭素等有害气体和腐臭味，粪便污水pH为5.0～6.0。悬浮杂质吸附气泡浮于水面后，又因气体释放而沉入池底，循环的沉浮运动使悬浮杂质块逐渐变小，粪块中的寄生虫卵也随之剥离沉入池底。第二阶段是碱性发酵阶段，第一阶段产生的氨基酸在甲烷基作用下分解为C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、CH</w:t>
      </w:r>
      <w:r>
        <w:rPr>
          <w:rFonts w:hint="default" w:ascii="Times New Roman" w:hAnsi="Times New Roman" w:cs="Times New Roman"/>
          <w:color w:val="auto"/>
          <w:u w:val="none"/>
          <w:vertAlign w:val="subscript"/>
        </w:rPr>
        <w:t>4</w:t>
      </w:r>
      <w:r>
        <w:rPr>
          <w:rFonts w:hint="default" w:ascii="Times New Roman" w:hAnsi="Times New Roman" w:cs="Times New Roman"/>
          <w:color w:val="auto"/>
          <w:u w:val="none"/>
        </w:rPr>
        <w:t>、氨，池内粪液pH为7.5左右。</w:t>
      </w:r>
    </w:p>
    <w:p w14:paraId="667D575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②生产废水</w:t>
      </w:r>
    </w:p>
    <w:p w14:paraId="63D06190">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本项目将配套建设生产废水处理设施，并建立分类收集处理系统。</w:t>
      </w:r>
    </w:p>
    <w:p w14:paraId="4FC454BC">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根据设计，本项目运行过程产生的生产废水根据废水性质按含油废液、含镍废液、含镍废水、含铬废水、含磷废水（液）、碱废液、综合废水、酸雾吸收废水、纯水制备废水等进行分类收集处理。</w:t>
      </w:r>
    </w:p>
    <w:p w14:paraId="62C8126B">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各类废水处理方式如下：</w:t>
      </w:r>
    </w:p>
    <w:p w14:paraId="693B7167">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含镍废水：中和预处理后接入多级膜系统浓缩与纯化，水进行回用，浓缩液至高浓度含镍废水池再处理，高浓度含镍废水处理系统采用沉淀处理+蒸发结晶处理工艺。</w:t>
      </w:r>
    </w:p>
    <w:p w14:paraId="609583DE">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含镍废液：先进行沉淀处理，处理后水接入蒸发结晶系统，实现含镍废水零排放。</w:t>
      </w:r>
    </w:p>
    <w:p w14:paraId="26E6F8A6">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含铬废水：中和预处理后接入多级膜系统浓缩与纯化，水进行回用，浓缩液至高浓度含铬废水池，高浓度含铬废水处理系统采用沉淀处理+蒸发结晶处理工艺。</w:t>
      </w:r>
    </w:p>
    <w:p w14:paraId="3D44BA39">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含磷废水：采用蒸发浓缩工艺，冷凝水至化抛后道水洗槽，浓缩液委外处理。</w:t>
      </w:r>
    </w:p>
    <w:p w14:paraId="61F0E924">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含油废液：隔油后，进入综合废水处理系统（化学沉淀预处理后接入生化系统达标进入市政污水管网）。</w:t>
      </w:r>
    </w:p>
    <w:p w14:paraId="77B90FE8">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碱废液：中和后，进入综合废水处理系统（化学沉淀预处理后接入生化系统达标进入市政污水官网）。</w:t>
      </w:r>
    </w:p>
    <w:p w14:paraId="6518AC2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综合废水：化学沉淀预处理后</w:t>
      </w:r>
      <w:r>
        <w:rPr>
          <w:rFonts w:hint="eastAsia" w:ascii="Times New Roman" w:hAnsi="Times New Roman" w:cs="Times New Roman"/>
          <w:color w:val="auto"/>
          <w:u w:val="none"/>
          <w:lang w:val="en-US" w:eastAsia="zh-CN"/>
        </w:rPr>
        <w:t>进入</w:t>
      </w:r>
      <w:r>
        <w:rPr>
          <w:rFonts w:hint="default" w:ascii="Times New Roman" w:hAnsi="Times New Roman" w:cs="Times New Roman"/>
          <w:color w:val="auto"/>
          <w:u w:val="none"/>
        </w:rPr>
        <w:t>综合废水处理系统</w:t>
      </w:r>
      <w:r>
        <w:rPr>
          <w:rFonts w:hint="eastAsia" w:ascii="Times New Roman" w:hAnsi="Times New Roman" w:cs="Times New Roman"/>
          <w:color w:val="auto"/>
          <w:u w:val="none"/>
          <w:lang w:val="en-US" w:eastAsia="zh-CN"/>
        </w:rPr>
        <w:t>处理</w:t>
      </w:r>
      <w:r>
        <w:rPr>
          <w:rFonts w:hint="default" w:ascii="Times New Roman" w:hAnsi="Times New Roman" w:cs="Times New Roman"/>
          <w:color w:val="auto"/>
          <w:u w:val="none"/>
        </w:rPr>
        <w:t>达标后通过生产废水排放口（DW002）进入市政污水官网。</w:t>
      </w:r>
    </w:p>
    <w:p w14:paraId="5A035C4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）本项目废水纳入湖南城陵矶临港产业新区污水处理厂处理的可行性分析：</w:t>
      </w:r>
    </w:p>
    <w:p w14:paraId="1591BCB2">
      <w:pPr>
        <w:ind w:firstLine="480"/>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湖南城陵矶临港产业新区污水处理厂东邻沿江大道，西靠长江大堤，处于云港路与沿江路的交界处，于2014年7月取得岳阳市环境保护局环评批复，2016年建成，设计处理能力3万吨/天，主要采用CASS工艺，管道接纳标准为COD≤500 mg/L、BOD</w:t>
      </w:r>
      <w:r>
        <w:rPr>
          <w:rFonts w:hint="default" w:ascii="Times New Roman" w:hAnsi="Times New Roman" w:cs="Times New Roman"/>
          <w:color w:val="auto"/>
          <w:kern w:val="0"/>
          <w:u w:val="none"/>
          <w:vertAlign w:val="subscript"/>
          <w:lang w:bidi="ar"/>
        </w:rPr>
        <w:t>5</w:t>
      </w:r>
      <w:r>
        <w:rPr>
          <w:rFonts w:hint="default" w:ascii="Times New Roman" w:hAnsi="Times New Roman" w:cs="Times New Roman"/>
          <w:color w:val="auto"/>
          <w:kern w:val="0"/>
          <w:u w:val="none"/>
          <w:lang w:bidi="ar"/>
        </w:rPr>
        <w:t>≤300 mg/L、SS≤400 mg/L、NH</w:t>
      </w:r>
      <w:r>
        <w:rPr>
          <w:rFonts w:hint="default" w:ascii="Times New Roman" w:hAnsi="Times New Roman" w:cs="Times New Roman"/>
          <w:color w:val="auto"/>
          <w:kern w:val="0"/>
          <w:u w:val="none"/>
          <w:vertAlign w:val="subscript"/>
          <w:lang w:bidi="ar"/>
        </w:rPr>
        <w:t>3</w:t>
      </w:r>
      <w:r>
        <w:rPr>
          <w:rFonts w:hint="default" w:ascii="Times New Roman" w:hAnsi="Times New Roman" w:cs="Times New Roman"/>
          <w:color w:val="auto"/>
          <w:kern w:val="0"/>
          <w:u w:val="none"/>
          <w:lang w:bidi="ar"/>
        </w:rPr>
        <w:t>-N≤</w:t>
      </w:r>
      <w:r>
        <w:rPr>
          <w:rFonts w:hint="default" w:ascii="Times New Roman" w:hAnsi="Times New Roman" w:cs="Times New Roman"/>
          <w:color w:val="auto"/>
          <w:kern w:val="0"/>
          <w:u w:val="none"/>
          <w:lang w:val="en-US" w:eastAsia="zh-CN" w:bidi="ar"/>
        </w:rPr>
        <w:t>30</w:t>
      </w:r>
      <w:r>
        <w:rPr>
          <w:rFonts w:hint="default" w:ascii="Times New Roman" w:hAnsi="Times New Roman" w:cs="Times New Roman"/>
          <w:color w:val="auto"/>
          <w:kern w:val="0"/>
          <w:u w:val="none"/>
          <w:lang w:bidi="ar"/>
        </w:rPr>
        <w:t xml:space="preserve"> mg/L、TN≤</w:t>
      </w:r>
      <w:r>
        <w:rPr>
          <w:rFonts w:hint="default" w:ascii="Times New Roman" w:hAnsi="Times New Roman" w:cs="Times New Roman"/>
          <w:color w:val="auto"/>
          <w:kern w:val="0"/>
          <w:u w:val="none"/>
          <w:lang w:val="en-US" w:eastAsia="zh-CN" w:bidi="ar"/>
        </w:rPr>
        <w:t>4</w:t>
      </w:r>
      <w:r>
        <w:rPr>
          <w:rFonts w:hint="default" w:ascii="Times New Roman" w:hAnsi="Times New Roman" w:cs="Times New Roman"/>
          <w:color w:val="auto"/>
          <w:kern w:val="0"/>
          <w:u w:val="none"/>
          <w:lang w:bidi="ar"/>
        </w:rPr>
        <w:t>0mg/L、TP≤</w:t>
      </w:r>
      <w:r>
        <w:rPr>
          <w:rFonts w:hint="default" w:ascii="Times New Roman" w:hAnsi="Times New Roman" w:cs="Times New Roman"/>
          <w:color w:val="auto"/>
          <w:kern w:val="0"/>
          <w:u w:val="none"/>
          <w:lang w:val="en-US" w:eastAsia="zh-CN" w:bidi="ar"/>
        </w:rPr>
        <w:t>3</w:t>
      </w:r>
      <w:r>
        <w:rPr>
          <w:rFonts w:hint="default" w:ascii="Times New Roman" w:hAnsi="Times New Roman" w:cs="Times New Roman"/>
          <w:color w:val="auto"/>
          <w:kern w:val="0"/>
          <w:u w:val="none"/>
          <w:lang w:bidi="ar"/>
        </w:rPr>
        <w:t>mg/L、石油类≤15 mg/L，出水水质大道《城镇污水处理厂污染物排放标准》（GB18918-2002）一级A标准。项目选址区域的污水管网在2019年6月与湖南城陵矶临港产业新区污水处理厂完成对接，通过厂区东侧长江大道上的市政污水管网对接污水处理厂。</w:t>
      </w:r>
    </w:p>
    <w:p w14:paraId="10B92C7E">
      <w:pPr>
        <w:ind w:firstLine="480"/>
        <w:rPr>
          <w:rFonts w:hint="default" w:ascii="Times New Roman" w:hAnsi="Times New Roman" w:cs="Times New Roman"/>
          <w:color w:val="auto"/>
          <w:u w:val="none"/>
        </w:rPr>
      </w:pPr>
      <w:r>
        <w:rPr>
          <w:rFonts w:hint="default" w:ascii="Times New Roman" w:hAnsi="Times New Roman" w:cs="Times New Roman"/>
          <w:color w:val="auto"/>
          <w:kern w:val="0"/>
          <w:u w:val="none"/>
        </w:rPr>
        <w:t>城陵矶临港产业新区污水处理厂</w:t>
      </w:r>
      <w:r>
        <w:rPr>
          <w:rFonts w:hint="default" w:ascii="Times New Roman" w:hAnsi="Times New Roman" w:cs="Times New Roman"/>
          <w:color w:val="auto"/>
          <w:u w:val="none"/>
        </w:rPr>
        <w:t>处理能力为30000t/d，根据现剩余处理水量约有20000t/d，本项目产生的污水</w:t>
      </w:r>
      <w:r>
        <w:rPr>
          <w:rFonts w:hint="eastAsia" w:ascii="Times New Roman" w:hAnsi="Times New Roman" w:cs="Times New Roman"/>
          <w:color w:val="auto"/>
          <w:u w:val="none"/>
          <w:lang w:val="en-US" w:eastAsia="zh-CN"/>
        </w:rPr>
        <w:t>43.84</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/d，占其剩余处理能力的</w:t>
      </w:r>
      <w:r>
        <w:rPr>
          <w:rFonts w:hint="eastAsia" w:ascii="Times New Roman" w:hAnsi="Times New Roman" w:cs="Times New Roman"/>
          <w:color w:val="auto"/>
          <w:u w:val="none"/>
          <w:lang w:val="en-US" w:eastAsia="zh-CN"/>
        </w:rPr>
        <w:t>0.2233</w:t>
      </w:r>
      <w:r>
        <w:rPr>
          <w:rFonts w:hint="default" w:ascii="Times New Roman" w:hAnsi="Times New Roman" w:cs="Times New Roman"/>
          <w:color w:val="auto"/>
          <w:u w:val="none"/>
        </w:rPr>
        <w:t>%，且本项目外排生产废水经污水处理站处理后，各项污染物指标已达到湖南城陵矶临港产业新区污水处理厂的纳管协议标准，生活污水经化粪池处理后可达到污水处理厂的纳管协议标准要求，不会对污水处理厂水处理工艺造成冲击，因此本项目废水经湖南城陵矶临港产业新区污水处理厂处理达标后经象骨港汇入长江，对其水质影响是可以接受的。</w:t>
      </w:r>
    </w:p>
    <w:p w14:paraId="47D1B73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⑤污染源排放量核算</w:t>
      </w:r>
    </w:p>
    <w:p w14:paraId="4623E0B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本项目为间接排放，根据《环境影响评价技术导则 地表水环境》（HJ 2.3-2018）中“8.3.2 间接排放建设项目污染源排放量核算根据污水处理设施的控制要求核算确定。”</w:t>
      </w:r>
    </w:p>
    <w:p w14:paraId="0041450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项目水污染排排放量核算见下表。</w:t>
      </w:r>
    </w:p>
    <w:p w14:paraId="58ECF83E">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表6.2-</w:t>
      </w:r>
      <w:r>
        <w:rPr>
          <w:rFonts w:hint="eastAsia" w:ascii="Times New Roman" w:hAnsi="Times New Roman" w:cs="Times New Roman"/>
          <w:b/>
          <w:bCs/>
          <w:color w:val="auto"/>
          <w:u w:val="none"/>
          <w:lang w:val="en-US" w:eastAsia="zh-CN"/>
        </w:rPr>
        <w:t>18</w:t>
      </w:r>
      <w:r>
        <w:rPr>
          <w:rFonts w:hint="default" w:ascii="Times New Roman" w:hAnsi="Times New Roman" w:cs="Times New Roman"/>
          <w:b/>
          <w:bCs/>
          <w:color w:val="auto"/>
          <w:u w:val="none"/>
        </w:rPr>
        <w:t xml:space="preserve">  废项目废水类别、污染物及污染治理设施信息表</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622"/>
        <w:gridCol w:w="962"/>
        <w:gridCol w:w="790"/>
        <w:gridCol w:w="721"/>
        <w:gridCol w:w="793"/>
        <w:gridCol w:w="874"/>
        <w:gridCol w:w="879"/>
        <w:gridCol w:w="779"/>
        <w:gridCol w:w="669"/>
        <w:gridCol w:w="1326"/>
      </w:tblGrid>
      <w:tr w14:paraId="0B876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369" w:type="pct"/>
            <w:vMerge w:val="restart"/>
            <w:vAlign w:val="center"/>
          </w:tcPr>
          <w:p w14:paraId="3A3ADFE0">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废水类别</w:t>
            </w:r>
          </w:p>
        </w:tc>
        <w:tc>
          <w:tcPr>
            <w:tcW w:w="571" w:type="pct"/>
            <w:vMerge w:val="restart"/>
            <w:vAlign w:val="center"/>
          </w:tcPr>
          <w:p w14:paraId="6EA3BAD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污染物种类</w:t>
            </w:r>
          </w:p>
        </w:tc>
        <w:tc>
          <w:tcPr>
            <w:tcW w:w="469" w:type="pct"/>
            <w:vMerge w:val="restart"/>
            <w:vAlign w:val="center"/>
          </w:tcPr>
          <w:p w14:paraId="2C52EFD5">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排放去向</w:t>
            </w:r>
          </w:p>
        </w:tc>
        <w:tc>
          <w:tcPr>
            <w:tcW w:w="428" w:type="pct"/>
            <w:vMerge w:val="restart"/>
            <w:vAlign w:val="center"/>
          </w:tcPr>
          <w:p w14:paraId="2D040A5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排放规律</w:t>
            </w:r>
          </w:p>
        </w:tc>
        <w:tc>
          <w:tcPr>
            <w:tcW w:w="1512" w:type="pct"/>
            <w:gridSpan w:val="3"/>
            <w:vAlign w:val="center"/>
          </w:tcPr>
          <w:p w14:paraId="45E9721A">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污染治理设施</w:t>
            </w:r>
          </w:p>
        </w:tc>
        <w:tc>
          <w:tcPr>
            <w:tcW w:w="462" w:type="pct"/>
            <w:vMerge w:val="restart"/>
            <w:vAlign w:val="center"/>
          </w:tcPr>
          <w:p w14:paraId="370377E5">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排放口编号</w:t>
            </w:r>
          </w:p>
        </w:tc>
        <w:tc>
          <w:tcPr>
            <w:tcW w:w="397" w:type="pct"/>
            <w:vMerge w:val="restart"/>
            <w:vAlign w:val="center"/>
          </w:tcPr>
          <w:p w14:paraId="2282E2FE">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排放口设置是否符合要求</w:t>
            </w:r>
          </w:p>
        </w:tc>
        <w:tc>
          <w:tcPr>
            <w:tcW w:w="787" w:type="pct"/>
            <w:vMerge w:val="restart"/>
            <w:vAlign w:val="center"/>
          </w:tcPr>
          <w:p w14:paraId="50481F2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排放口类型</w:t>
            </w:r>
          </w:p>
        </w:tc>
      </w:tr>
      <w:tr w14:paraId="4EE03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Merge w:val="continue"/>
            <w:vAlign w:val="center"/>
          </w:tcPr>
          <w:p w14:paraId="331C05E5">
            <w:pPr>
              <w:pStyle w:val="41"/>
              <w:rPr>
                <w:rFonts w:hint="default" w:ascii="Times New Roman" w:hAnsi="Times New Roman" w:cs="Times New Roman"/>
                <w:color w:val="auto"/>
                <w:u w:val="none"/>
              </w:rPr>
            </w:pPr>
          </w:p>
        </w:tc>
        <w:tc>
          <w:tcPr>
            <w:tcW w:w="571" w:type="pct"/>
            <w:vMerge w:val="continue"/>
            <w:vAlign w:val="center"/>
          </w:tcPr>
          <w:p w14:paraId="56F6FB7A">
            <w:pPr>
              <w:pStyle w:val="41"/>
              <w:rPr>
                <w:rFonts w:hint="default" w:ascii="Times New Roman" w:hAnsi="Times New Roman" w:cs="Times New Roman"/>
                <w:color w:val="auto"/>
                <w:u w:val="none"/>
              </w:rPr>
            </w:pPr>
          </w:p>
        </w:tc>
        <w:tc>
          <w:tcPr>
            <w:tcW w:w="469" w:type="pct"/>
            <w:vMerge w:val="continue"/>
            <w:vAlign w:val="center"/>
          </w:tcPr>
          <w:p w14:paraId="0C3C39AE">
            <w:pPr>
              <w:pStyle w:val="41"/>
              <w:rPr>
                <w:rFonts w:hint="default" w:ascii="Times New Roman" w:hAnsi="Times New Roman" w:cs="Times New Roman"/>
                <w:color w:val="auto"/>
                <w:u w:val="none"/>
              </w:rPr>
            </w:pPr>
          </w:p>
        </w:tc>
        <w:tc>
          <w:tcPr>
            <w:tcW w:w="428" w:type="pct"/>
            <w:vMerge w:val="continue"/>
            <w:vAlign w:val="center"/>
          </w:tcPr>
          <w:p w14:paraId="04AFD464">
            <w:pPr>
              <w:pStyle w:val="41"/>
              <w:rPr>
                <w:rFonts w:hint="default" w:ascii="Times New Roman" w:hAnsi="Times New Roman" w:cs="Times New Roman"/>
                <w:color w:val="auto"/>
                <w:u w:val="none"/>
              </w:rPr>
            </w:pPr>
          </w:p>
        </w:tc>
        <w:tc>
          <w:tcPr>
            <w:tcW w:w="471" w:type="pct"/>
            <w:vAlign w:val="center"/>
          </w:tcPr>
          <w:p w14:paraId="396F8ED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污染治理设施编号</w:t>
            </w:r>
          </w:p>
        </w:tc>
        <w:tc>
          <w:tcPr>
            <w:tcW w:w="519" w:type="pct"/>
            <w:vAlign w:val="center"/>
          </w:tcPr>
          <w:p w14:paraId="63C0A1A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污染治理设施名称</w:t>
            </w:r>
          </w:p>
        </w:tc>
        <w:tc>
          <w:tcPr>
            <w:tcW w:w="522" w:type="pct"/>
            <w:vAlign w:val="center"/>
          </w:tcPr>
          <w:p w14:paraId="4175DE2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污染治理设施工艺</w:t>
            </w:r>
          </w:p>
        </w:tc>
        <w:tc>
          <w:tcPr>
            <w:tcW w:w="462" w:type="pct"/>
            <w:vMerge w:val="continue"/>
            <w:vAlign w:val="center"/>
          </w:tcPr>
          <w:p w14:paraId="632EFF49">
            <w:pPr>
              <w:pStyle w:val="41"/>
              <w:rPr>
                <w:rFonts w:hint="default" w:ascii="Times New Roman" w:hAnsi="Times New Roman" w:cs="Times New Roman"/>
                <w:color w:val="auto"/>
                <w:u w:val="none"/>
              </w:rPr>
            </w:pPr>
          </w:p>
        </w:tc>
        <w:tc>
          <w:tcPr>
            <w:tcW w:w="397" w:type="pct"/>
            <w:vMerge w:val="continue"/>
            <w:vAlign w:val="center"/>
          </w:tcPr>
          <w:p w14:paraId="3B3232DE">
            <w:pPr>
              <w:pStyle w:val="41"/>
              <w:rPr>
                <w:rFonts w:hint="default" w:ascii="Times New Roman" w:hAnsi="Times New Roman" w:cs="Times New Roman"/>
                <w:color w:val="auto"/>
                <w:u w:val="none"/>
              </w:rPr>
            </w:pPr>
          </w:p>
        </w:tc>
        <w:tc>
          <w:tcPr>
            <w:tcW w:w="787" w:type="pct"/>
            <w:vMerge w:val="continue"/>
            <w:vAlign w:val="center"/>
          </w:tcPr>
          <w:p w14:paraId="42FBE7F3">
            <w:pPr>
              <w:pStyle w:val="41"/>
              <w:rPr>
                <w:rFonts w:hint="default" w:ascii="Times New Roman" w:hAnsi="Times New Roman" w:cs="Times New Roman"/>
                <w:color w:val="auto"/>
                <w:u w:val="none"/>
              </w:rPr>
            </w:pPr>
          </w:p>
        </w:tc>
      </w:tr>
      <w:tr w14:paraId="230645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Align w:val="center"/>
          </w:tcPr>
          <w:p w14:paraId="676A441B">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571" w:type="pct"/>
            <w:vAlign w:val="center"/>
          </w:tcPr>
          <w:p w14:paraId="585233A4">
            <w:pPr>
              <w:pStyle w:val="41"/>
              <w:rPr>
                <w:rFonts w:hint="default" w:ascii="Times New Roman" w:hAnsi="Times New Roman" w:cs="Times New Roman"/>
                <w:color w:val="auto"/>
                <w:u w:val="none"/>
              </w:rPr>
            </w:pPr>
            <w:r>
              <w:rPr>
                <w:rFonts w:hint="default" w:ascii="Times New Roman" w:hAnsi="Times New Roman" w:cs="Times New Roman"/>
                <w:color w:val="auto"/>
                <w:u w:val="none"/>
              </w:rPr>
              <w:t>总镍、COD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469" w:type="pct"/>
            <w:vAlign w:val="center"/>
          </w:tcPr>
          <w:p w14:paraId="011DD847">
            <w:pPr>
              <w:pStyle w:val="41"/>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c>
          <w:tcPr>
            <w:tcW w:w="428" w:type="pct"/>
            <w:vAlign w:val="center"/>
          </w:tcPr>
          <w:p w14:paraId="571D38B3">
            <w:pPr>
              <w:pStyle w:val="41"/>
              <w:rPr>
                <w:rFonts w:hint="default" w:ascii="Times New Roman" w:hAnsi="Times New Roman" w:cs="Times New Roman"/>
                <w:color w:val="auto"/>
                <w:u w:val="none"/>
              </w:rPr>
            </w:pPr>
            <w:r>
              <w:rPr>
                <w:rFonts w:hint="default" w:ascii="Times New Roman" w:hAnsi="Times New Roman" w:cs="Times New Roman"/>
                <w:color w:val="auto"/>
                <w:u w:val="none"/>
              </w:rPr>
              <w:t>连续排放，流量稳定</w:t>
            </w:r>
          </w:p>
        </w:tc>
        <w:tc>
          <w:tcPr>
            <w:tcW w:w="471" w:type="pct"/>
            <w:vAlign w:val="center"/>
          </w:tcPr>
          <w:p w14:paraId="360E5B6F">
            <w:pPr>
              <w:pStyle w:val="41"/>
              <w:rPr>
                <w:rFonts w:hint="default" w:ascii="Times New Roman" w:hAnsi="Times New Roman" w:cs="Times New Roman"/>
                <w:color w:val="auto"/>
                <w:u w:val="none"/>
              </w:rPr>
            </w:pPr>
            <w:r>
              <w:rPr>
                <w:rFonts w:hint="default" w:ascii="Times New Roman" w:hAnsi="Times New Roman" w:cs="Times New Roman"/>
                <w:color w:val="auto"/>
                <w:u w:val="none"/>
              </w:rPr>
              <w:t>TW001</w:t>
            </w:r>
          </w:p>
        </w:tc>
        <w:tc>
          <w:tcPr>
            <w:tcW w:w="519" w:type="pct"/>
            <w:vAlign w:val="center"/>
          </w:tcPr>
          <w:p w14:paraId="49E2E226">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含镍废水处理系统</w:t>
            </w:r>
          </w:p>
        </w:tc>
        <w:tc>
          <w:tcPr>
            <w:tcW w:w="522" w:type="pct"/>
            <w:vAlign w:val="center"/>
          </w:tcPr>
          <w:p w14:paraId="18A5E53B">
            <w:pPr>
              <w:pStyle w:val="41"/>
              <w:rPr>
                <w:rFonts w:hint="default" w:ascii="Times New Roman" w:hAnsi="Times New Roman" w:cs="Times New Roman"/>
                <w:color w:val="auto"/>
                <w:u w:val="none"/>
              </w:rPr>
            </w:pPr>
            <w:r>
              <w:rPr>
                <w:rFonts w:hint="default" w:ascii="Times New Roman" w:hAnsi="Times New Roman" w:cs="Times New Roman"/>
                <w:color w:val="auto"/>
                <w:u w:val="none"/>
              </w:rPr>
              <w:t>多级膜系统浓缩与纯化</w:t>
            </w:r>
          </w:p>
        </w:tc>
        <w:tc>
          <w:tcPr>
            <w:tcW w:w="462" w:type="pct"/>
            <w:vAlign w:val="center"/>
          </w:tcPr>
          <w:p w14:paraId="62BF1CEA">
            <w:pPr>
              <w:pStyle w:val="41"/>
              <w:rPr>
                <w:rFonts w:hint="default" w:ascii="Times New Roman" w:hAnsi="Times New Roman" w:cs="Times New Roman"/>
                <w:color w:val="auto"/>
                <w:u w:val="none"/>
              </w:rPr>
            </w:pPr>
            <w:r>
              <w:rPr>
                <w:rFonts w:hint="default" w:ascii="Times New Roman" w:hAnsi="Times New Roman" w:cs="Times New Roman"/>
                <w:color w:val="auto"/>
                <w:u w:val="none"/>
              </w:rPr>
              <w:t>不外排</w:t>
            </w:r>
          </w:p>
        </w:tc>
        <w:tc>
          <w:tcPr>
            <w:tcW w:w="397" w:type="pct"/>
            <w:vAlign w:val="center"/>
          </w:tcPr>
          <w:p w14:paraId="46B8D160">
            <w:pPr>
              <w:pStyle w:val="41"/>
              <w:rPr>
                <w:rFonts w:hint="default" w:ascii="Times New Roman" w:hAnsi="Times New Roman" w:cs="Times New Roman"/>
                <w:color w:val="auto"/>
                <w:u w:val="none"/>
              </w:rPr>
            </w:pPr>
            <w:r>
              <w:rPr>
                <w:rFonts w:hint="default" w:ascii="Times New Roman" w:hAnsi="Times New Roman" w:cs="Times New Roman"/>
                <w:color w:val="auto"/>
                <w:u w:val="none"/>
              </w:rPr>
              <w:t>√是□否</w:t>
            </w:r>
          </w:p>
        </w:tc>
        <w:tc>
          <w:tcPr>
            <w:tcW w:w="787" w:type="pct"/>
            <w:vAlign w:val="center"/>
          </w:tcPr>
          <w:p w14:paraId="59A24B6A">
            <w:pPr>
              <w:pStyle w:val="41"/>
              <w:rPr>
                <w:rFonts w:hint="default" w:ascii="Times New Roman" w:hAnsi="Times New Roman" w:cs="Times New Roman"/>
                <w:color w:val="auto"/>
                <w:u w:val="none"/>
              </w:rPr>
            </w:pPr>
            <w:r>
              <w:rPr>
                <w:rFonts w:hint="default" w:ascii="Times New Roman" w:hAnsi="Times New Roman" w:cs="Times New Roman"/>
                <w:color w:val="auto"/>
                <w:u w:val="none"/>
              </w:rPr>
              <w:t>车间车间处理设施排放</w:t>
            </w:r>
          </w:p>
        </w:tc>
      </w:tr>
      <w:tr w14:paraId="3EBA12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Align w:val="center"/>
          </w:tcPr>
          <w:p w14:paraId="1F6F08E9">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571" w:type="pct"/>
            <w:vAlign w:val="center"/>
          </w:tcPr>
          <w:p w14:paraId="761D4EC0">
            <w:pPr>
              <w:pStyle w:val="41"/>
              <w:rPr>
                <w:rFonts w:hint="default" w:ascii="Times New Roman" w:hAnsi="Times New Roman" w:cs="Times New Roman"/>
                <w:color w:val="auto"/>
                <w:u w:val="none"/>
              </w:rPr>
            </w:pPr>
            <w:r>
              <w:rPr>
                <w:rFonts w:hint="default" w:ascii="Times New Roman" w:hAnsi="Times New Roman" w:cs="Times New Roman"/>
                <w:color w:val="auto"/>
                <w:u w:val="none"/>
              </w:rPr>
              <w:t>总镍、COD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469" w:type="pct"/>
            <w:vAlign w:val="center"/>
          </w:tcPr>
          <w:p w14:paraId="3C93BF82">
            <w:pPr>
              <w:pStyle w:val="41"/>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c>
          <w:tcPr>
            <w:tcW w:w="428" w:type="pct"/>
            <w:vAlign w:val="center"/>
          </w:tcPr>
          <w:p w14:paraId="0A51C52A">
            <w:pPr>
              <w:pStyle w:val="41"/>
              <w:rPr>
                <w:rFonts w:hint="default" w:ascii="Times New Roman" w:hAnsi="Times New Roman" w:cs="Times New Roman"/>
                <w:color w:val="auto"/>
                <w:u w:val="none"/>
              </w:rPr>
            </w:pPr>
            <w:r>
              <w:rPr>
                <w:rFonts w:hint="default" w:ascii="Times New Roman" w:hAnsi="Times New Roman" w:cs="Times New Roman"/>
                <w:color w:val="auto"/>
                <w:u w:val="none"/>
              </w:rPr>
              <w:t>连续排放，流量稳定</w:t>
            </w:r>
          </w:p>
        </w:tc>
        <w:tc>
          <w:tcPr>
            <w:tcW w:w="471" w:type="pct"/>
            <w:vAlign w:val="center"/>
          </w:tcPr>
          <w:p w14:paraId="14D458EC">
            <w:pPr>
              <w:pStyle w:val="41"/>
              <w:rPr>
                <w:rFonts w:hint="default" w:ascii="Times New Roman" w:hAnsi="Times New Roman" w:cs="Times New Roman"/>
                <w:color w:val="auto"/>
                <w:u w:val="none"/>
              </w:rPr>
            </w:pPr>
            <w:r>
              <w:rPr>
                <w:rFonts w:hint="default" w:ascii="Times New Roman" w:hAnsi="Times New Roman" w:cs="Times New Roman"/>
                <w:color w:val="auto"/>
                <w:u w:val="none"/>
              </w:rPr>
              <w:t>TW002</w:t>
            </w:r>
          </w:p>
        </w:tc>
        <w:tc>
          <w:tcPr>
            <w:tcW w:w="519" w:type="pct"/>
            <w:vAlign w:val="center"/>
          </w:tcPr>
          <w:p w14:paraId="31C42749">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含镍废液处理系统</w:t>
            </w:r>
          </w:p>
        </w:tc>
        <w:tc>
          <w:tcPr>
            <w:tcW w:w="522" w:type="pct"/>
            <w:vAlign w:val="center"/>
          </w:tcPr>
          <w:p w14:paraId="7DD72DAC">
            <w:pPr>
              <w:pStyle w:val="41"/>
              <w:rPr>
                <w:rFonts w:hint="default" w:ascii="Times New Roman" w:hAnsi="Times New Roman" w:cs="Times New Roman"/>
                <w:color w:val="auto"/>
                <w:u w:val="none"/>
              </w:rPr>
            </w:pPr>
            <w:r>
              <w:rPr>
                <w:rFonts w:hint="default" w:ascii="Times New Roman" w:hAnsi="Times New Roman" w:cs="Times New Roman"/>
                <w:color w:val="auto"/>
                <w:u w:val="none"/>
              </w:rPr>
              <w:t>蒸发结晶系统</w:t>
            </w:r>
          </w:p>
        </w:tc>
        <w:tc>
          <w:tcPr>
            <w:tcW w:w="462" w:type="pct"/>
            <w:vAlign w:val="center"/>
          </w:tcPr>
          <w:p w14:paraId="23F9A014">
            <w:pPr>
              <w:pStyle w:val="41"/>
              <w:rPr>
                <w:rFonts w:hint="default" w:ascii="Times New Roman" w:hAnsi="Times New Roman" w:cs="Times New Roman"/>
                <w:color w:val="auto"/>
                <w:u w:val="none"/>
              </w:rPr>
            </w:pPr>
            <w:r>
              <w:rPr>
                <w:rFonts w:hint="default" w:ascii="Times New Roman" w:hAnsi="Times New Roman" w:cs="Times New Roman"/>
                <w:color w:val="auto"/>
                <w:u w:val="none"/>
              </w:rPr>
              <w:t>不外排</w:t>
            </w:r>
          </w:p>
        </w:tc>
        <w:tc>
          <w:tcPr>
            <w:tcW w:w="397" w:type="pct"/>
            <w:vAlign w:val="center"/>
          </w:tcPr>
          <w:p w14:paraId="1D414D28">
            <w:pPr>
              <w:pStyle w:val="41"/>
              <w:rPr>
                <w:rFonts w:hint="default" w:ascii="Times New Roman" w:hAnsi="Times New Roman" w:cs="Times New Roman"/>
                <w:color w:val="auto"/>
                <w:u w:val="none"/>
              </w:rPr>
            </w:pPr>
            <w:r>
              <w:rPr>
                <w:rFonts w:hint="default" w:ascii="Times New Roman" w:hAnsi="Times New Roman" w:cs="Times New Roman"/>
                <w:color w:val="auto"/>
                <w:u w:val="none"/>
              </w:rPr>
              <w:t>√是□否</w:t>
            </w:r>
          </w:p>
        </w:tc>
        <w:tc>
          <w:tcPr>
            <w:tcW w:w="787" w:type="pct"/>
            <w:vAlign w:val="center"/>
          </w:tcPr>
          <w:p w14:paraId="6E4B013F">
            <w:pPr>
              <w:pStyle w:val="41"/>
              <w:rPr>
                <w:rFonts w:hint="default" w:ascii="Times New Roman" w:hAnsi="Times New Roman" w:cs="Times New Roman"/>
                <w:color w:val="auto"/>
                <w:u w:val="none"/>
              </w:rPr>
            </w:pPr>
            <w:r>
              <w:rPr>
                <w:rFonts w:hint="default" w:ascii="Times New Roman" w:hAnsi="Times New Roman" w:cs="Times New Roman"/>
                <w:color w:val="auto"/>
                <w:u w:val="none"/>
              </w:rPr>
              <w:t>车间车间处理设施排放</w:t>
            </w:r>
          </w:p>
        </w:tc>
      </w:tr>
      <w:tr w14:paraId="5D67EF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Align w:val="center"/>
          </w:tcPr>
          <w:p w14:paraId="04D08694">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571" w:type="pct"/>
            <w:vAlign w:val="center"/>
          </w:tcPr>
          <w:p w14:paraId="51D52023">
            <w:pPr>
              <w:pStyle w:val="41"/>
              <w:rPr>
                <w:rFonts w:hint="default" w:ascii="Times New Roman" w:hAnsi="Times New Roman" w:cs="Times New Roman"/>
                <w:color w:val="auto"/>
                <w:u w:val="none"/>
              </w:rPr>
            </w:pPr>
            <w:r>
              <w:rPr>
                <w:rFonts w:hint="default" w:ascii="Times New Roman" w:hAnsi="Times New Roman" w:cs="Times New Roman"/>
                <w:color w:val="auto"/>
                <w:u w:val="none"/>
              </w:rPr>
              <w:t>总铬、三价铬COD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469" w:type="pct"/>
            <w:vAlign w:val="center"/>
          </w:tcPr>
          <w:p w14:paraId="29013F27">
            <w:pPr>
              <w:pStyle w:val="41"/>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c>
          <w:tcPr>
            <w:tcW w:w="428" w:type="pct"/>
            <w:vAlign w:val="center"/>
          </w:tcPr>
          <w:p w14:paraId="2FA2E541">
            <w:pPr>
              <w:pStyle w:val="41"/>
              <w:rPr>
                <w:rFonts w:hint="default" w:ascii="Times New Roman" w:hAnsi="Times New Roman" w:cs="Times New Roman"/>
                <w:color w:val="auto"/>
                <w:u w:val="none"/>
              </w:rPr>
            </w:pPr>
            <w:r>
              <w:rPr>
                <w:rFonts w:hint="default" w:ascii="Times New Roman" w:hAnsi="Times New Roman" w:cs="Times New Roman"/>
                <w:color w:val="auto"/>
                <w:u w:val="none"/>
              </w:rPr>
              <w:t>连续排放，流量稳定</w:t>
            </w:r>
          </w:p>
        </w:tc>
        <w:tc>
          <w:tcPr>
            <w:tcW w:w="471" w:type="pct"/>
            <w:vAlign w:val="center"/>
          </w:tcPr>
          <w:p w14:paraId="62B1E892">
            <w:pPr>
              <w:pStyle w:val="41"/>
              <w:rPr>
                <w:rFonts w:hint="default" w:ascii="Times New Roman" w:hAnsi="Times New Roman" w:cs="Times New Roman"/>
                <w:color w:val="auto"/>
                <w:u w:val="none"/>
              </w:rPr>
            </w:pPr>
            <w:r>
              <w:rPr>
                <w:rFonts w:hint="default" w:ascii="Times New Roman" w:hAnsi="Times New Roman" w:cs="Times New Roman"/>
                <w:color w:val="auto"/>
                <w:u w:val="none"/>
              </w:rPr>
              <w:t>TW003</w:t>
            </w:r>
          </w:p>
        </w:tc>
        <w:tc>
          <w:tcPr>
            <w:tcW w:w="519" w:type="pct"/>
            <w:vAlign w:val="center"/>
          </w:tcPr>
          <w:p w14:paraId="6A31DD60">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含铬废水处理系统</w:t>
            </w:r>
          </w:p>
        </w:tc>
        <w:tc>
          <w:tcPr>
            <w:tcW w:w="522" w:type="pct"/>
            <w:vAlign w:val="center"/>
          </w:tcPr>
          <w:p w14:paraId="720FE3D3">
            <w:pPr>
              <w:pStyle w:val="41"/>
              <w:rPr>
                <w:rFonts w:hint="default" w:ascii="Times New Roman" w:hAnsi="Times New Roman" w:cs="Times New Roman"/>
                <w:color w:val="auto"/>
                <w:u w:val="none"/>
              </w:rPr>
            </w:pPr>
            <w:r>
              <w:rPr>
                <w:rFonts w:hint="default" w:ascii="Times New Roman" w:hAnsi="Times New Roman" w:cs="Times New Roman"/>
                <w:color w:val="auto"/>
                <w:u w:val="none"/>
              </w:rPr>
              <w:t>多级膜系统浓缩与纯化</w:t>
            </w:r>
          </w:p>
        </w:tc>
        <w:tc>
          <w:tcPr>
            <w:tcW w:w="462" w:type="pct"/>
            <w:vAlign w:val="center"/>
          </w:tcPr>
          <w:p w14:paraId="3BAA82C7">
            <w:pPr>
              <w:pStyle w:val="41"/>
              <w:rPr>
                <w:rFonts w:hint="default" w:ascii="Times New Roman" w:hAnsi="Times New Roman" w:cs="Times New Roman"/>
                <w:color w:val="auto"/>
                <w:u w:val="none"/>
              </w:rPr>
            </w:pPr>
            <w:r>
              <w:rPr>
                <w:rFonts w:hint="default" w:ascii="Times New Roman" w:hAnsi="Times New Roman" w:cs="Times New Roman"/>
                <w:color w:val="auto"/>
                <w:u w:val="none"/>
              </w:rPr>
              <w:t>不外排</w:t>
            </w:r>
          </w:p>
        </w:tc>
        <w:tc>
          <w:tcPr>
            <w:tcW w:w="397" w:type="pct"/>
            <w:vAlign w:val="center"/>
          </w:tcPr>
          <w:p w14:paraId="6BF86958">
            <w:pPr>
              <w:pStyle w:val="41"/>
              <w:rPr>
                <w:rFonts w:hint="default" w:ascii="Times New Roman" w:hAnsi="Times New Roman" w:cs="Times New Roman"/>
                <w:color w:val="auto"/>
                <w:u w:val="none"/>
              </w:rPr>
            </w:pPr>
            <w:r>
              <w:rPr>
                <w:rFonts w:hint="default" w:ascii="Times New Roman" w:hAnsi="Times New Roman" w:cs="Times New Roman"/>
                <w:color w:val="auto"/>
                <w:u w:val="none"/>
              </w:rPr>
              <w:t>√是□否</w:t>
            </w:r>
          </w:p>
        </w:tc>
        <w:tc>
          <w:tcPr>
            <w:tcW w:w="787" w:type="pct"/>
            <w:vAlign w:val="center"/>
          </w:tcPr>
          <w:p w14:paraId="1F380C79">
            <w:pPr>
              <w:pStyle w:val="41"/>
              <w:rPr>
                <w:rFonts w:hint="default" w:ascii="Times New Roman" w:hAnsi="Times New Roman" w:cs="Times New Roman"/>
                <w:color w:val="auto"/>
                <w:u w:val="none"/>
              </w:rPr>
            </w:pPr>
            <w:r>
              <w:rPr>
                <w:rFonts w:hint="default" w:ascii="Times New Roman" w:hAnsi="Times New Roman" w:cs="Times New Roman"/>
                <w:color w:val="auto"/>
                <w:u w:val="none"/>
              </w:rPr>
              <w:t>车间车间处理设施排放</w:t>
            </w:r>
          </w:p>
        </w:tc>
      </w:tr>
      <w:tr w14:paraId="348D9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Align w:val="center"/>
          </w:tcPr>
          <w:p w14:paraId="5FA847B8">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571" w:type="pct"/>
            <w:vAlign w:val="center"/>
          </w:tcPr>
          <w:p w14:paraId="129D10EC">
            <w:pPr>
              <w:pStyle w:val="41"/>
              <w:rPr>
                <w:rFonts w:hint="default" w:ascii="Times New Roman" w:hAnsi="Times New Roman" w:cs="Times New Roman"/>
                <w:color w:val="auto"/>
                <w:u w:val="none"/>
              </w:rPr>
            </w:pPr>
            <w:r>
              <w:rPr>
                <w:rFonts w:hint="default" w:ascii="Times New Roman" w:hAnsi="Times New Roman" w:cs="Times New Roman"/>
                <w:color w:val="auto"/>
                <w:u w:val="none"/>
              </w:rPr>
              <w:t>总磷、COD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469" w:type="pct"/>
            <w:vAlign w:val="center"/>
          </w:tcPr>
          <w:p w14:paraId="6D60FD2D">
            <w:pPr>
              <w:pStyle w:val="41"/>
              <w:rPr>
                <w:rFonts w:hint="default" w:ascii="Times New Roman" w:hAnsi="Times New Roman" w:cs="Times New Roman"/>
                <w:color w:val="auto"/>
                <w:u w:val="none"/>
              </w:rPr>
            </w:pPr>
            <w:r>
              <w:rPr>
                <w:rFonts w:hint="default" w:ascii="Times New Roman" w:hAnsi="Times New Roman" w:cs="Times New Roman"/>
                <w:color w:val="auto"/>
                <w:u w:val="none"/>
              </w:rPr>
              <w:t>回用于生产</w:t>
            </w:r>
          </w:p>
        </w:tc>
        <w:tc>
          <w:tcPr>
            <w:tcW w:w="428" w:type="pct"/>
            <w:vAlign w:val="center"/>
          </w:tcPr>
          <w:p w14:paraId="06376CAB">
            <w:pPr>
              <w:pStyle w:val="41"/>
              <w:rPr>
                <w:rFonts w:hint="default" w:ascii="Times New Roman" w:hAnsi="Times New Roman" w:cs="Times New Roman"/>
                <w:color w:val="auto"/>
                <w:u w:val="none"/>
              </w:rPr>
            </w:pPr>
            <w:r>
              <w:rPr>
                <w:rFonts w:hint="default" w:ascii="Times New Roman" w:hAnsi="Times New Roman" w:cs="Times New Roman"/>
                <w:color w:val="auto"/>
                <w:u w:val="none"/>
              </w:rPr>
              <w:t>连续排放，流量稳定</w:t>
            </w:r>
          </w:p>
        </w:tc>
        <w:tc>
          <w:tcPr>
            <w:tcW w:w="471" w:type="pct"/>
            <w:vAlign w:val="center"/>
          </w:tcPr>
          <w:p w14:paraId="1441E416">
            <w:pPr>
              <w:pStyle w:val="41"/>
              <w:rPr>
                <w:rFonts w:hint="default" w:ascii="Times New Roman" w:hAnsi="Times New Roman" w:cs="Times New Roman"/>
                <w:color w:val="auto"/>
                <w:u w:val="none"/>
              </w:rPr>
            </w:pPr>
            <w:r>
              <w:rPr>
                <w:rFonts w:hint="default" w:ascii="Times New Roman" w:hAnsi="Times New Roman" w:cs="Times New Roman"/>
                <w:color w:val="auto"/>
                <w:u w:val="none"/>
              </w:rPr>
              <w:t>TW004</w:t>
            </w:r>
          </w:p>
        </w:tc>
        <w:tc>
          <w:tcPr>
            <w:tcW w:w="519" w:type="pct"/>
            <w:vAlign w:val="center"/>
          </w:tcPr>
          <w:p w14:paraId="2C912F90">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含磷废水处理系统</w:t>
            </w:r>
          </w:p>
        </w:tc>
        <w:tc>
          <w:tcPr>
            <w:tcW w:w="522" w:type="pct"/>
            <w:vAlign w:val="center"/>
          </w:tcPr>
          <w:p w14:paraId="2DD18440">
            <w:pPr>
              <w:pStyle w:val="41"/>
              <w:rPr>
                <w:rFonts w:hint="default" w:ascii="Times New Roman" w:hAnsi="Times New Roman" w:cs="Times New Roman"/>
                <w:color w:val="auto"/>
                <w:u w:val="none"/>
              </w:rPr>
            </w:pPr>
            <w:r>
              <w:rPr>
                <w:rFonts w:hint="default" w:ascii="Times New Roman" w:hAnsi="Times New Roman" w:cs="Times New Roman"/>
                <w:color w:val="auto"/>
                <w:u w:val="none"/>
              </w:rPr>
              <w:t>用蒸发浓缩工艺</w:t>
            </w:r>
          </w:p>
        </w:tc>
        <w:tc>
          <w:tcPr>
            <w:tcW w:w="462" w:type="pct"/>
            <w:vAlign w:val="center"/>
          </w:tcPr>
          <w:p w14:paraId="7558BBE9">
            <w:pPr>
              <w:pStyle w:val="41"/>
              <w:rPr>
                <w:rFonts w:hint="default" w:ascii="Times New Roman" w:hAnsi="Times New Roman" w:cs="Times New Roman"/>
                <w:color w:val="auto"/>
                <w:u w:val="none"/>
              </w:rPr>
            </w:pPr>
            <w:r>
              <w:rPr>
                <w:rFonts w:hint="default" w:ascii="Times New Roman" w:hAnsi="Times New Roman" w:cs="Times New Roman"/>
                <w:color w:val="auto"/>
                <w:u w:val="none"/>
              </w:rPr>
              <w:t>不外排</w:t>
            </w:r>
          </w:p>
        </w:tc>
        <w:tc>
          <w:tcPr>
            <w:tcW w:w="397" w:type="pct"/>
            <w:vAlign w:val="center"/>
          </w:tcPr>
          <w:p w14:paraId="20D3B3F4">
            <w:pPr>
              <w:pStyle w:val="41"/>
              <w:rPr>
                <w:rFonts w:hint="default" w:ascii="Times New Roman" w:hAnsi="Times New Roman" w:cs="Times New Roman"/>
                <w:color w:val="auto"/>
                <w:u w:val="none"/>
              </w:rPr>
            </w:pPr>
            <w:r>
              <w:rPr>
                <w:rFonts w:hint="default" w:ascii="Times New Roman" w:hAnsi="Times New Roman" w:cs="Times New Roman"/>
                <w:color w:val="auto"/>
                <w:u w:val="none"/>
              </w:rPr>
              <w:t>√是□否</w:t>
            </w:r>
          </w:p>
        </w:tc>
        <w:tc>
          <w:tcPr>
            <w:tcW w:w="787" w:type="pct"/>
            <w:vAlign w:val="center"/>
          </w:tcPr>
          <w:p w14:paraId="49309581">
            <w:pPr>
              <w:pStyle w:val="41"/>
              <w:rPr>
                <w:rFonts w:hint="default" w:ascii="Times New Roman" w:hAnsi="Times New Roman" w:cs="Times New Roman"/>
                <w:color w:val="auto"/>
                <w:u w:val="none"/>
              </w:rPr>
            </w:pPr>
            <w:r>
              <w:rPr>
                <w:rFonts w:hint="default" w:ascii="Times New Roman" w:hAnsi="Times New Roman" w:cs="Times New Roman"/>
                <w:color w:val="auto"/>
                <w:u w:val="none"/>
              </w:rPr>
              <w:t>车间车间处理设施排放</w:t>
            </w:r>
          </w:p>
        </w:tc>
      </w:tr>
      <w:tr w14:paraId="20725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Align w:val="center"/>
          </w:tcPr>
          <w:p w14:paraId="22257BDE">
            <w:pPr>
              <w:pStyle w:val="41"/>
              <w:rPr>
                <w:rFonts w:hint="default" w:ascii="Times New Roman" w:hAnsi="Times New Roman" w:cs="Times New Roman"/>
                <w:color w:val="auto"/>
                <w:u w:val="none"/>
              </w:rPr>
            </w:pPr>
            <w:r>
              <w:rPr>
                <w:rFonts w:hint="default" w:ascii="Times New Roman" w:hAnsi="Times New Roman" w:cs="Times New Roman"/>
                <w:color w:val="auto"/>
                <w:u w:val="none"/>
              </w:rPr>
              <w:t>综合废水</w:t>
            </w:r>
          </w:p>
        </w:tc>
        <w:tc>
          <w:tcPr>
            <w:tcW w:w="571" w:type="pct"/>
            <w:vAlign w:val="center"/>
          </w:tcPr>
          <w:p w14:paraId="725D2460">
            <w:pPr>
              <w:pStyle w:val="41"/>
              <w:rPr>
                <w:rFonts w:hint="default" w:ascii="Times New Roman" w:hAnsi="Times New Roman" w:cs="Times New Roman"/>
                <w:color w:val="auto"/>
                <w:u w:val="none"/>
              </w:rPr>
            </w:pPr>
            <w:r>
              <w:rPr>
                <w:rFonts w:hint="default" w:ascii="Times New Roman" w:hAnsi="Times New Roman" w:cs="Times New Roman"/>
                <w:color w:val="auto"/>
                <w:u w:val="none"/>
              </w:rPr>
              <w:t>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469" w:type="pct"/>
            <w:vAlign w:val="center"/>
          </w:tcPr>
          <w:p w14:paraId="03A642F9">
            <w:pPr>
              <w:pStyle w:val="41"/>
              <w:rPr>
                <w:rFonts w:hint="default" w:ascii="Times New Roman" w:hAnsi="Times New Roman" w:cs="Times New Roman"/>
                <w:color w:val="auto"/>
                <w:u w:val="none"/>
              </w:rPr>
            </w:pPr>
            <w:r>
              <w:rPr>
                <w:rFonts w:hint="default" w:ascii="Times New Roman" w:hAnsi="Times New Roman" w:cs="Times New Roman"/>
                <w:color w:val="auto"/>
                <w:u w:val="none"/>
              </w:rPr>
              <w:t>市政污水管网</w:t>
            </w:r>
          </w:p>
        </w:tc>
        <w:tc>
          <w:tcPr>
            <w:tcW w:w="428" w:type="pct"/>
            <w:vAlign w:val="center"/>
          </w:tcPr>
          <w:p w14:paraId="67C07C1F">
            <w:pPr>
              <w:pStyle w:val="41"/>
              <w:rPr>
                <w:rFonts w:hint="default" w:ascii="Times New Roman" w:hAnsi="Times New Roman" w:cs="Times New Roman"/>
                <w:color w:val="auto"/>
                <w:u w:val="none"/>
              </w:rPr>
            </w:pPr>
            <w:r>
              <w:rPr>
                <w:rFonts w:hint="default" w:ascii="Times New Roman" w:hAnsi="Times New Roman" w:cs="Times New Roman"/>
                <w:color w:val="auto"/>
                <w:u w:val="none"/>
              </w:rPr>
              <w:t>连续排放，流量稳定</w:t>
            </w:r>
          </w:p>
        </w:tc>
        <w:tc>
          <w:tcPr>
            <w:tcW w:w="471" w:type="pct"/>
            <w:vAlign w:val="center"/>
          </w:tcPr>
          <w:p w14:paraId="5C0130C5">
            <w:pPr>
              <w:pStyle w:val="41"/>
              <w:rPr>
                <w:rFonts w:hint="default" w:ascii="Times New Roman" w:hAnsi="Times New Roman" w:cs="Times New Roman"/>
                <w:color w:val="auto"/>
                <w:u w:val="none"/>
              </w:rPr>
            </w:pPr>
            <w:r>
              <w:rPr>
                <w:rFonts w:hint="default" w:ascii="Times New Roman" w:hAnsi="Times New Roman" w:cs="Times New Roman"/>
                <w:color w:val="auto"/>
                <w:u w:val="none"/>
              </w:rPr>
              <w:t>TW005</w:t>
            </w:r>
          </w:p>
        </w:tc>
        <w:tc>
          <w:tcPr>
            <w:tcW w:w="519" w:type="pct"/>
            <w:vAlign w:val="center"/>
          </w:tcPr>
          <w:p w14:paraId="1F62CBB9">
            <w:pPr>
              <w:pStyle w:val="41"/>
              <w:rPr>
                <w:rFonts w:hint="default" w:ascii="Times New Roman" w:hAnsi="Times New Roman" w:cs="Times New Roman"/>
                <w:color w:val="auto"/>
                <w:u w:val="none"/>
              </w:rPr>
            </w:pPr>
            <w:r>
              <w:rPr>
                <w:rFonts w:hint="default" w:ascii="Times New Roman" w:hAnsi="Times New Roman" w:cs="Times New Roman"/>
                <w:color w:val="auto"/>
                <w:u w:val="none"/>
              </w:rPr>
              <w:t>综合废水处理系统</w:t>
            </w:r>
          </w:p>
        </w:tc>
        <w:tc>
          <w:tcPr>
            <w:tcW w:w="522" w:type="pct"/>
            <w:vAlign w:val="center"/>
          </w:tcPr>
          <w:p w14:paraId="4C13B083">
            <w:pPr>
              <w:pStyle w:val="41"/>
              <w:rPr>
                <w:rFonts w:hint="default" w:ascii="Times New Roman" w:hAnsi="Times New Roman" w:cs="Times New Roman"/>
                <w:color w:val="auto"/>
                <w:u w:val="none"/>
              </w:rPr>
            </w:pPr>
            <w:r>
              <w:rPr>
                <w:rFonts w:hint="default" w:ascii="Times New Roman" w:hAnsi="Times New Roman" w:cs="Times New Roman"/>
                <w:color w:val="auto"/>
                <w:u w:val="none"/>
              </w:rPr>
              <w:t>调和、絮凝沉淀、生化法</w:t>
            </w:r>
          </w:p>
        </w:tc>
        <w:tc>
          <w:tcPr>
            <w:tcW w:w="462" w:type="pct"/>
            <w:vAlign w:val="center"/>
          </w:tcPr>
          <w:p w14:paraId="513F6382">
            <w:pPr>
              <w:pStyle w:val="41"/>
              <w:rPr>
                <w:rFonts w:hint="default" w:ascii="Times New Roman" w:hAnsi="Times New Roman" w:cs="Times New Roman"/>
                <w:color w:val="auto"/>
                <w:u w:val="none"/>
              </w:rPr>
            </w:pPr>
            <w:r>
              <w:rPr>
                <w:rFonts w:hint="default" w:ascii="Times New Roman" w:hAnsi="Times New Roman" w:cs="Times New Roman"/>
                <w:color w:val="auto"/>
                <w:u w:val="none"/>
              </w:rPr>
              <w:t>DW002</w:t>
            </w:r>
          </w:p>
        </w:tc>
        <w:tc>
          <w:tcPr>
            <w:tcW w:w="397" w:type="pct"/>
            <w:vAlign w:val="center"/>
          </w:tcPr>
          <w:p w14:paraId="4310C1A8">
            <w:pPr>
              <w:pStyle w:val="41"/>
              <w:rPr>
                <w:rFonts w:hint="default" w:ascii="Times New Roman" w:hAnsi="Times New Roman" w:cs="Times New Roman"/>
                <w:color w:val="auto"/>
                <w:u w:val="none"/>
              </w:rPr>
            </w:pPr>
            <w:r>
              <w:rPr>
                <w:rFonts w:hint="default" w:ascii="Times New Roman" w:hAnsi="Times New Roman" w:cs="Times New Roman"/>
                <w:color w:val="auto"/>
                <w:u w:val="none"/>
              </w:rPr>
              <w:t>√是□否</w:t>
            </w:r>
          </w:p>
        </w:tc>
        <w:tc>
          <w:tcPr>
            <w:tcW w:w="787" w:type="pct"/>
            <w:vAlign w:val="center"/>
          </w:tcPr>
          <w:p w14:paraId="73CF3A02">
            <w:pPr>
              <w:pStyle w:val="41"/>
              <w:rPr>
                <w:rFonts w:hint="default" w:ascii="Times New Roman" w:hAnsi="Times New Roman" w:cs="Times New Roman"/>
                <w:color w:val="auto"/>
                <w:u w:val="none"/>
              </w:rPr>
            </w:pPr>
            <w:r>
              <w:rPr>
                <w:rFonts w:hint="default" w:ascii="Times New Roman" w:hAnsi="Times New Roman" w:cs="Times New Roman"/>
                <w:color w:val="auto"/>
                <w:u w:val="none"/>
              </w:rPr>
              <w:t>☑企业总排□雨水排放□清净下水排放□温排水排放□车间或车间处理设施排放口</w:t>
            </w:r>
          </w:p>
        </w:tc>
      </w:tr>
      <w:tr w14:paraId="40ADA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Merge w:val="restart"/>
            <w:vAlign w:val="center"/>
          </w:tcPr>
          <w:p w14:paraId="4DF670FE">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生活废水</w:t>
            </w:r>
          </w:p>
        </w:tc>
        <w:tc>
          <w:tcPr>
            <w:tcW w:w="571" w:type="pct"/>
            <w:vMerge w:val="restart"/>
            <w:vAlign w:val="center"/>
          </w:tcPr>
          <w:p w14:paraId="514A5CCE">
            <w:pPr>
              <w:pStyle w:val="41"/>
              <w:rPr>
                <w:rFonts w:hint="default" w:ascii="Times New Roman" w:hAnsi="Times New Roman" w:cs="Times New Roman"/>
                <w:color w:val="auto"/>
                <w:u w:val="none"/>
              </w:rPr>
            </w:pPr>
            <w:r>
              <w:rPr>
                <w:rFonts w:hint="default" w:ascii="Times New Roman" w:hAnsi="Times New Roman" w:cs="Times New Roman"/>
                <w:color w:val="auto"/>
                <w:u w:val="none"/>
              </w:rPr>
              <w:t>COD、BOD</w:t>
            </w:r>
            <w:r>
              <w:rPr>
                <w:rFonts w:hint="default" w:ascii="Times New Roman" w:hAnsi="Times New Roman" w:cs="Times New Roman"/>
                <w:color w:val="auto"/>
                <w:u w:val="none"/>
                <w:vertAlign w:val="subscript"/>
              </w:rPr>
              <w:t>5</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-N、TP、SS、动植物油</w:t>
            </w:r>
          </w:p>
        </w:tc>
        <w:tc>
          <w:tcPr>
            <w:tcW w:w="469" w:type="pct"/>
            <w:vMerge w:val="restart"/>
            <w:vAlign w:val="center"/>
          </w:tcPr>
          <w:p w14:paraId="35FEF480">
            <w:pPr>
              <w:pStyle w:val="41"/>
              <w:rPr>
                <w:rFonts w:hint="default" w:ascii="Times New Roman" w:hAnsi="Times New Roman" w:cs="Times New Roman"/>
                <w:color w:val="auto"/>
                <w:u w:val="none"/>
              </w:rPr>
            </w:pPr>
            <w:r>
              <w:rPr>
                <w:rFonts w:hint="default" w:ascii="Times New Roman" w:hAnsi="Times New Roman" w:cs="Times New Roman"/>
                <w:color w:val="auto"/>
                <w:u w:val="none"/>
              </w:rPr>
              <w:t>市政污水管网</w:t>
            </w:r>
          </w:p>
        </w:tc>
        <w:tc>
          <w:tcPr>
            <w:tcW w:w="428" w:type="pct"/>
            <w:vMerge w:val="restart"/>
            <w:vAlign w:val="center"/>
          </w:tcPr>
          <w:p w14:paraId="35326B0B">
            <w:pPr>
              <w:pStyle w:val="41"/>
              <w:rPr>
                <w:rFonts w:hint="default" w:ascii="Times New Roman" w:hAnsi="Times New Roman" w:cs="Times New Roman"/>
                <w:color w:val="auto"/>
                <w:u w:val="none"/>
              </w:rPr>
            </w:pPr>
            <w:r>
              <w:rPr>
                <w:rFonts w:hint="default" w:ascii="Times New Roman" w:hAnsi="Times New Roman" w:cs="Times New Roman"/>
                <w:color w:val="auto"/>
                <w:u w:val="none"/>
              </w:rPr>
              <w:t>间歇排放，流量稳定，无周期性规律</w:t>
            </w:r>
          </w:p>
        </w:tc>
        <w:tc>
          <w:tcPr>
            <w:tcW w:w="471" w:type="pct"/>
            <w:vAlign w:val="center"/>
          </w:tcPr>
          <w:p w14:paraId="1076D51C">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19" w:type="pct"/>
            <w:vMerge w:val="restart"/>
            <w:vAlign w:val="center"/>
          </w:tcPr>
          <w:p w14:paraId="35FB4447">
            <w:pPr>
              <w:pStyle w:val="41"/>
              <w:rPr>
                <w:rFonts w:hint="default" w:ascii="Times New Roman" w:hAnsi="Times New Roman" w:cs="Times New Roman"/>
                <w:color w:val="auto"/>
                <w:u w:val="none"/>
              </w:rPr>
            </w:pPr>
            <w:r>
              <w:rPr>
                <w:rFonts w:hint="default" w:ascii="Times New Roman" w:hAnsi="Times New Roman" w:cs="Times New Roman"/>
                <w:color w:val="auto"/>
                <w:u w:val="none"/>
              </w:rPr>
              <w:t>化粪池</w:t>
            </w:r>
          </w:p>
        </w:tc>
        <w:tc>
          <w:tcPr>
            <w:tcW w:w="522" w:type="pct"/>
            <w:vMerge w:val="restart"/>
            <w:vAlign w:val="center"/>
          </w:tcPr>
          <w:p w14:paraId="541096C7">
            <w:pPr>
              <w:pStyle w:val="41"/>
              <w:rPr>
                <w:rFonts w:hint="default" w:ascii="Times New Roman" w:hAnsi="Times New Roman" w:cs="Times New Roman"/>
                <w:color w:val="auto"/>
                <w:u w:val="none"/>
              </w:rPr>
            </w:pPr>
            <w:r>
              <w:rPr>
                <w:rFonts w:hint="default" w:ascii="Times New Roman" w:hAnsi="Times New Roman" w:cs="Times New Roman"/>
                <w:color w:val="auto"/>
                <w:u w:val="none"/>
              </w:rPr>
              <w:t>厌氧</w:t>
            </w:r>
          </w:p>
        </w:tc>
        <w:tc>
          <w:tcPr>
            <w:tcW w:w="462" w:type="pct"/>
            <w:vMerge w:val="restart"/>
            <w:vAlign w:val="center"/>
          </w:tcPr>
          <w:p w14:paraId="331425EA">
            <w:pPr>
              <w:pStyle w:val="41"/>
              <w:rPr>
                <w:rFonts w:hint="default" w:ascii="Times New Roman" w:hAnsi="Times New Roman" w:cs="Times New Roman"/>
                <w:color w:val="auto"/>
                <w:u w:val="none"/>
              </w:rPr>
            </w:pPr>
            <w:r>
              <w:rPr>
                <w:rFonts w:hint="default" w:ascii="Times New Roman" w:hAnsi="Times New Roman" w:cs="Times New Roman"/>
                <w:color w:val="auto"/>
                <w:u w:val="none"/>
              </w:rPr>
              <w:t>DW001</w:t>
            </w:r>
          </w:p>
        </w:tc>
        <w:tc>
          <w:tcPr>
            <w:tcW w:w="397" w:type="pct"/>
            <w:vMerge w:val="restart"/>
            <w:vAlign w:val="center"/>
          </w:tcPr>
          <w:p w14:paraId="51A54136">
            <w:pPr>
              <w:pStyle w:val="41"/>
              <w:rPr>
                <w:rFonts w:hint="default" w:ascii="Times New Roman" w:hAnsi="Times New Roman" w:cs="Times New Roman"/>
                <w:color w:val="auto"/>
                <w:u w:val="none"/>
              </w:rPr>
            </w:pPr>
            <w:r>
              <w:rPr>
                <w:rFonts w:hint="default" w:ascii="Times New Roman" w:hAnsi="Times New Roman" w:cs="Times New Roman"/>
                <w:color w:val="auto"/>
                <w:u w:val="none"/>
              </w:rPr>
              <w:t>☑是□否</w:t>
            </w:r>
          </w:p>
        </w:tc>
        <w:tc>
          <w:tcPr>
            <w:tcW w:w="787" w:type="pct"/>
            <w:vMerge w:val="restart"/>
            <w:vAlign w:val="center"/>
          </w:tcPr>
          <w:p w14:paraId="691480E7">
            <w:pPr>
              <w:pStyle w:val="41"/>
              <w:rPr>
                <w:rFonts w:hint="default" w:ascii="Times New Roman" w:hAnsi="Times New Roman" w:cs="Times New Roman"/>
                <w:color w:val="auto"/>
                <w:u w:val="none"/>
              </w:rPr>
            </w:pPr>
            <w:r>
              <w:rPr>
                <w:rFonts w:hint="default" w:ascii="Times New Roman" w:hAnsi="Times New Roman" w:cs="Times New Roman"/>
                <w:color w:val="auto"/>
                <w:u w:val="none"/>
              </w:rPr>
              <w:t>☑企业总排□雨水排放□清净下水排放□温排水排放□车间或车间处理设施排放口</w:t>
            </w:r>
          </w:p>
        </w:tc>
      </w:tr>
      <w:tr w14:paraId="0B08F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369" w:type="pct"/>
            <w:vMerge w:val="continue"/>
            <w:vAlign w:val="center"/>
          </w:tcPr>
          <w:p w14:paraId="7D741EE9">
            <w:pPr>
              <w:pStyle w:val="41"/>
              <w:rPr>
                <w:rFonts w:hint="default" w:ascii="Times New Roman" w:hAnsi="Times New Roman" w:cs="Times New Roman"/>
                <w:color w:val="auto"/>
                <w:u w:val="none"/>
              </w:rPr>
            </w:pPr>
          </w:p>
        </w:tc>
        <w:tc>
          <w:tcPr>
            <w:tcW w:w="571" w:type="pct"/>
            <w:vMerge w:val="continue"/>
            <w:vAlign w:val="center"/>
          </w:tcPr>
          <w:p w14:paraId="5565C075">
            <w:pPr>
              <w:pStyle w:val="41"/>
              <w:rPr>
                <w:rFonts w:hint="default" w:ascii="Times New Roman" w:hAnsi="Times New Roman" w:cs="Times New Roman"/>
                <w:color w:val="auto"/>
                <w:u w:val="none"/>
              </w:rPr>
            </w:pPr>
          </w:p>
        </w:tc>
        <w:tc>
          <w:tcPr>
            <w:tcW w:w="469" w:type="pct"/>
            <w:vMerge w:val="continue"/>
            <w:vAlign w:val="center"/>
          </w:tcPr>
          <w:p w14:paraId="7284D944">
            <w:pPr>
              <w:pStyle w:val="41"/>
              <w:rPr>
                <w:rFonts w:hint="default" w:ascii="Times New Roman" w:hAnsi="Times New Roman" w:cs="Times New Roman"/>
                <w:color w:val="auto"/>
                <w:u w:val="none"/>
              </w:rPr>
            </w:pPr>
          </w:p>
        </w:tc>
        <w:tc>
          <w:tcPr>
            <w:tcW w:w="428" w:type="pct"/>
            <w:vMerge w:val="continue"/>
            <w:vAlign w:val="center"/>
          </w:tcPr>
          <w:p w14:paraId="762586EE">
            <w:pPr>
              <w:pStyle w:val="41"/>
              <w:rPr>
                <w:rFonts w:hint="default" w:ascii="Times New Roman" w:hAnsi="Times New Roman" w:cs="Times New Roman"/>
                <w:color w:val="auto"/>
                <w:u w:val="none"/>
              </w:rPr>
            </w:pPr>
          </w:p>
        </w:tc>
        <w:tc>
          <w:tcPr>
            <w:tcW w:w="471" w:type="pct"/>
            <w:vAlign w:val="center"/>
          </w:tcPr>
          <w:p w14:paraId="2B8D495F">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519" w:type="pct"/>
            <w:vMerge w:val="continue"/>
            <w:vAlign w:val="center"/>
          </w:tcPr>
          <w:p w14:paraId="7546DA01">
            <w:pPr>
              <w:pStyle w:val="41"/>
              <w:rPr>
                <w:rFonts w:hint="default" w:ascii="Times New Roman" w:hAnsi="Times New Roman" w:cs="Times New Roman"/>
                <w:color w:val="auto"/>
                <w:u w:val="none"/>
              </w:rPr>
            </w:pPr>
          </w:p>
        </w:tc>
        <w:tc>
          <w:tcPr>
            <w:tcW w:w="522" w:type="pct"/>
            <w:vMerge w:val="continue"/>
            <w:vAlign w:val="center"/>
          </w:tcPr>
          <w:p w14:paraId="753EA7C8">
            <w:pPr>
              <w:pStyle w:val="41"/>
              <w:rPr>
                <w:rFonts w:hint="default" w:ascii="Times New Roman" w:hAnsi="Times New Roman" w:cs="Times New Roman"/>
                <w:color w:val="auto"/>
                <w:u w:val="none"/>
              </w:rPr>
            </w:pPr>
          </w:p>
        </w:tc>
        <w:tc>
          <w:tcPr>
            <w:tcW w:w="462" w:type="pct"/>
            <w:vMerge w:val="continue"/>
            <w:vAlign w:val="center"/>
          </w:tcPr>
          <w:p w14:paraId="78119937">
            <w:pPr>
              <w:pStyle w:val="41"/>
              <w:rPr>
                <w:rFonts w:hint="default" w:ascii="Times New Roman" w:hAnsi="Times New Roman" w:cs="Times New Roman"/>
                <w:color w:val="auto"/>
                <w:u w:val="none"/>
              </w:rPr>
            </w:pPr>
          </w:p>
        </w:tc>
        <w:tc>
          <w:tcPr>
            <w:tcW w:w="397" w:type="pct"/>
            <w:vMerge w:val="continue"/>
            <w:vAlign w:val="center"/>
          </w:tcPr>
          <w:p w14:paraId="4786637A">
            <w:pPr>
              <w:pStyle w:val="41"/>
              <w:rPr>
                <w:rFonts w:hint="default" w:ascii="Times New Roman" w:hAnsi="Times New Roman" w:cs="Times New Roman"/>
                <w:color w:val="auto"/>
                <w:u w:val="none"/>
              </w:rPr>
            </w:pPr>
          </w:p>
        </w:tc>
        <w:tc>
          <w:tcPr>
            <w:tcW w:w="787" w:type="pct"/>
            <w:vMerge w:val="continue"/>
            <w:vAlign w:val="center"/>
          </w:tcPr>
          <w:p w14:paraId="60F3E2C8">
            <w:pPr>
              <w:pStyle w:val="41"/>
              <w:rPr>
                <w:rFonts w:hint="default" w:ascii="Times New Roman" w:hAnsi="Times New Roman" w:cs="Times New Roman"/>
                <w:color w:val="auto"/>
                <w:u w:val="none"/>
              </w:rPr>
            </w:pPr>
          </w:p>
        </w:tc>
      </w:tr>
    </w:tbl>
    <w:p w14:paraId="4C2C1B25">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表6.2-</w:t>
      </w:r>
      <w:r>
        <w:rPr>
          <w:rFonts w:hint="eastAsia" w:ascii="Times New Roman" w:hAnsi="Times New Roman" w:cs="Times New Roman"/>
          <w:b/>
          <w:bCs/>
          <w:color w:val="auto"/>
          <w:u w:val="none"/>
          <w:lang w:val="en-US" w:eastAsia="zh-CN"/>
        </w:rPr>
        <w:t>19</w:t>
      </w:r>
      <w:r>
        <w:rPr>
          <w:rFonts w:hint="default" w:ascii="Times New Roman" w:hAnsi="Times New Roman" w:cs="Times New Roman"/>
          <w:b/>
          <w:bCs/>
          <w:color w:val="auto"/>
          <w:u w:val="none"/>
        </w:rPr>
        <w:t xml:space="preserve">  废水间接排放口基本情况表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779"/>
        <w:gridCol w:w="1112"/>
        <w:gridCol w:w="1113"/>
        <w:gridCol w:w="782"/>
        <w:gridCol w:w="547"/>
        <w:gridCol w:w="667"/>
        <w:gridCol w:w="667"/>
        <w:gridCol w:w="711"/>
        <w:gridCol w:w="980"/>
        <w:gridCol w:w="1059"/>
      </w:tblGrid>
      <w:tr w14:paraId="70960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restart"/>
            <w:vAlign w:val="center"/>
          </w:tcPr>
          <w:p w14:paraId="60C430D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排放口编号</w:t>
            </w:r>
          </w:p>
        </w:tc>
        <w:tc>
          <w:tcPr>
            <w:tcW w:w="1321" w:type="pct"/>
            <w:gridSpan w:val="2"/>
            <w:vAlign w:val="center"/>
          </w:tcPr>
          <w:p w14:paraId="050CA81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排放口地理坐标</w:t>
            </w:r>
          </w:p>
        </w:tc>
        <w:tc>
          <w:tcPr>
            <w:tcW w:w="464" w:type="pct"/>
            <w:vMerge w:val="restart"/>
            <w:vAlign w:val="center"/>
          </w:tcPr>
          <w:p w14:paraId="1306FA1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废水排放量（t/d）</w:t>
            </w:r>
          </w:p>
        </w:tc>
        <w:tc>
          <w:tcPr>
            <w:tcW w:w="325" w:type="pct"/>
            <w:vMerge w:val="restart"/>
            <w:vAlign w:val="center"/>
          </w:tcPr>
          <w:p w14:paraId="5BA53E3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排放去向</w:t>
            </w:r>
          </w:p>
        </w:tc>
        <w:tc>
          <w:tcPr>
            <w:tcW w:w="396" w:type="pct"/>
            <w:vMerge w:val="restart"/>
            <w:vAlign w:val="center"/>
          </w:tcPr>
          <w:p w14:paraId="0622789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排放规律</w:t>
            </w:r>
          </w:p>
        </w:tc>
        <w:tc>
          <w:tcPr>
            <w:tcW w:w="396" w:type="pct"/>
            <w:vMerge w:val="restart"/>
            <w:vAlign w:val="center"/>
          </w:tcPr>
          <w:p w14:paraId="79FF250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间歇排放时段</w:t>
            </w:r>
          </w:p>
        </w:tc>
        <w:tc>
          <w:tcPr>
            <w:tcW w:w="1633" w:type="pct"/>
            <w:gridSpan w:val="3"/>
            <w:vAlign w:val="center"/>
          </w:tcPr>
          <w:p w14:paraId="722589E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受纳污水处理厂信息</w:t>
            </w:r>
          </w:p>
        </w:tc>
      </w:tr>
      <w:tr w14:paraId="7340B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217EF24D">
            <w:pPr>
              <w:pStyle w:val="41"/>
              <w:rPr>
                <w:rFonts w:hint="default" w:ascii="Times New Roman" w:hAnsi="Times New Roman" w:cs="Times New Roman"/>
                <w:b/>
                <w:bCs/>
                <w:color w:val="auto"/>
                <w:u w:val="none"/>
              </w:rPr>
            </w:pPr>
          </w:p>
        </w:tc>
        <w:tc>
          <w:tcPr>
            <w:tcW w:w="660" w:type="pct"/>
            <w:vAlign w:val="center"/>
          </w:tcPr>
          <w:p w14:paraId="3ABCC1E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经度</w:t>
            </w:r>
          </w:p>
        </w:tc>
        <w:tc>
          <w:tcPr>
            <w:tcW w:w="661" w:type="pct"/>
            <w:vAlign w:val="center"/>
          </w:tcPr>
          <w:p w14:paraId="42C0F01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纬度</w:t>
            </w:r>
          </w:p>
        </w:tc>
        <w:tc>
          <w:tcPr>
            <w:tcW w:w="464" w:type="pct"/>
            <w:vMerge w:val="continue"/>
            <w:vAlign w:val="center"/>
          </w:tcPr>
          <w:p w14:paraId="386745FC">
            <w:pPr>
              <w:pStyle w:val="41"/>
              <w:rPr>
                <w:rFonts w:hint="default" w:ascii="Times New Roman" w:hAnsi="Times New Roman" w:cs="Times New Roman"/>
                <w:b/>
                <w:bCs/>
                <w:color w:val="auto"/>
                <w:u w:val="none"/>
              </w:rPr>
            </w:pPr>
          </w:p>
        </w:tc>
        <w:tc>
          <w:tcPr>
            <w:tcW w:w="325" w:type="pct"/>
            <w:vMerge w:val="continue"/>
            <w:vAlign w:val="center"/>
          </w:tcPr>
          <w:p w14:paraId="70FF62DB">
            <w:pPr>
              <w:pStyle w:val="41"/>
              <w:rPr>
                <w:rFonts w:hint="default" w:ascii="Times New Roman" w:hAnsi="Times New Roman" w:cs="Times New Roman"/>
                <w:b/>
                <w:bCs/>
                <w:color w:val="auto"/>
                <w:u w:val="none"/>
              </w:rPr>
            </w:pPr>
          </w:p>
        </w:tc>
        <w:tc>
          <w:tcPr>
            <w:tcW w:w="396" w:type="pct"/>
            <w:vMerge w:val="continue"/>
            <w:vAlign w:val="center"/>
          </w:tcPr>
          <w:p w14:paraId="72AC7814">
            <w:pPr>
              <w:pStyle w:val="41"/>
              <w:rPr>
                <w:rFonts w:hint="default" w:ascii="Times New Roman" w:hAnsi="Times New Roman" w:cs="Times New Roman"/>
                <w:b/>
                <w:bCs/>
                <w:color w:val="auto"/>
                <w:u w:val="none"/>
              </w:rPr>
            </w:pPr>
          </w:p>
        </w:tc>
        <w:tc>
          <w:tcPr>
            <w:tcW w:w="396" w:type="pct"/>
            <w:vMerge w:val="continue"/>
            <w:vAlign w:val="center"/>
          </w:tcPr>
          <w:p w14:paraId="06464E0B">
            <w:pPr>
              <w:pStyle w:val="41"/>
              <w:rPr>
                <w:rFonts w:hint="default" w:ascii="Times New Roman" w:hAnsi="Times New Roman" w:cs="Times New Roman"/>
                <w:b/>
                <w:bCs/>
                <w:color w:val="auto"/>
                <w:u w:val="none"/>
              </w:rPr>
            </w:pPr>
          </w:p>
        </w:tc>
        <w:tc>
          <w:tcPr>
            <w:tcW w:w="422" w:type="pct"/>
            <w:vAlign w:val="center"/>
          </w:tcPr>
          <w:p w14:paraId="753BE4C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582" w:type="pct"/>
            <w:vAlign w:val="center"/>
          </w:tcPr>
          <w:p w14:paraId="58A68D7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污染物种类</w:t>
            </w:r>
          </w:p>
        </w:tc>
        <w:tc>
          <w:tcPr>
            <w:tcW w:w="628" w:type="pct"/>
            <w:vAlign w:val="center"/>
          </w:tcPr>
          <w:p w14:paraId="2B88A47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标准浓度限值</w:t>
            </w:r>
          </w:p>
        </w:tc>
      </w:tr>
      <w:tr w14:paraId="777A0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restart"/>
            <w:vAlign w:val="center"/>
          </w:tcPr>
          <w:p w14:paraId="382072C9">
            <w:pPr>
              <w:pStyle w:val="41"/>
              <w:rPr>
                <w:rFonts w:hint="default" w:ascii="Times New Roman" w:hAnsi="Times New Roman" w:cs="Times New Roman"/>
                <w:color w:val="auto"/>
                <w:u w:val="none"/>
              </w:rPr>
            </w:pPr>
            <w:r>
              <w:rPr>
                <w:rFonts w:hint="default" w:ascii="Times New Roman" w:hAnsi="Times New Roman" w:cs="Times New Roman"/>
                <w:color w:val="auto"/>
                <w:u w:val="none"/>
              </w:rPr>
              <w:t>DW001</w:t>
            </w:r>
          </w:p>
        </w:tc>
        <w:tc>
          <w:tcPr>
            <w:tcW w:w="660" w:type="pct"/>
            <w:vMerge w:val="restart"/>
            <w:vAlign w:val="center"/>
          </w:tcPr>
          <w:p w14:paraId="63822ADA">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113.</w:t>
            </w:r>
            <w:r>
              <w:rPr>
                <w:rFonts w:hint="eastAsia" w:cs="Times New Roman"/>
                <w:color w:val="auto"/>
                <w:u w:val="none"/>
                <w:lang w:val="en-US" w:eastAsia="zh-CN"/>
              </w:rPr>
              <w:t>182562</w:t>
            </w:r>
          </w:p>
        </w:tc>
        <w:tc>
          <w:tcPr>
            <w:tcW w:w="661" w:type="pct"/>
            <w:vMerge w:val="restart"/>
            <w:vAlign w:val="center"/>
          </w:tcPr>
          <w:p w14:paraId="23596EE2">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29.46</w:t>
            </w:r>
            <w:r>
              <w:rPr>
                <w:rFonts w:hint="eastAsia" w:cs="Times New Roman"/>
                <w:color w:val="auto"/>
                <w:u w:val="none"/>
                <w:lang w:val="en-US" w:eastAsia="zh-CN"/>
              </w:rPr>
              <w:t>02456</w:t>
            </w:r>
          </w:p>
        </w:tc>
        <w:tc>
          <w:tcPr>
            <w:tcW w:w="464" w:type="pct"/>
            <w:vMerge w:val="restart"/>
            <w:vAlign w:val="center"/>
          </w:tcPr>
          <w:p w14:paraId="76DF2CA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228</w:t>
            </w:r>
          </w:p>
        </w:tc>
        <w:tc>
          <w:tcPr>
            <w:tcW w:w="325" w:type="pct"/>
            <w:vMerge w:val="restart"/>
            <w:vAlign w:val="center"/>
          </w:tcPr>
          <w:p w14:paraId="27A5A00E">
            <w:pPr>
              <w:pStyle w:val="41"/>
              <w:rPr>
                <w:rFonts w:hint="default" w:ascii="Times New Roman" w:hAnsi="Times New Roman" w:cs="Times New Roman"/>
                <w:color w:val="auto"/>
                <w:u w:val="none"/>
              </w:rPr>
            </w:pPr>
            <w:r>
              <w:rPr>
                <w:rFonts w:hint="default" w:ascii="Times New Roman" w:hAnsi="Times New Roman" w:cs="Times New Roman"/>
                <w:color w:val="auto"/>
                <w:u w:val="none"/>
              </w:rPr>
              <w:t>城市污水处理厂</w:t>
            </w:r>
          </w:p>
        </w:tc>
        <w:tc>
          <w:tcPr>
            <w:tcW w:w="396" w:type="pct"/>
            <w:vMerge w:val="restart"/>
            <w:vAlign w:val="center"/>
          </w:tcPr>
          <w:p w14:paraId="479767AD">
            <w:pPr>
              <w:pStyle w:val="41"/>
              <w:rPr>
                <w:rFonts w:hint="default" w:ascii="Times New Roman" w:hAnsi="Times New Roman" w:cs="Times New Roman"/>
                <w:color w:val="auto"/>
                <w:u w:val="none"/>
              </w:rPr>
            </w:pPr>
            <w:r>
              <w:rPr>
                <w:rFonts w:hint="default" w:ascii="Times New Roman" w:hAnsi="Times New Roman" w:cs="Times New Roman"/>
                <w:color w:val="auto"/>
                <w:u w:val="none"/>
              </w:rPr>
              <w:t>间歇排放，流量稳定，无周期性规律</w:t>
            </w:r>
          </w:p>
        </w:tc>
        <w:tc>
          <w:tcPr>
            <w:tcW w:w="396" w:type="pct"/>
            <w:vMerge w:val="restart"/>
            <w:vAlign w:val="center"/>
          </w:tcPr>
          <w:p w14:paraId="69483E8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22" w:type="pct"/>
            <w:vMerge w:val="restart"/>
            <w:vAlign w:val="center"/>
          </w:tcPr>
          <w:p w14:paraId="234A038C">
            <w:pPr>
              <w:pStyle w:val="41"/>
              <w:rPr>
                <w:rFonts w:hint="default" w:ascii="Times New Roman" w:hAnsi="Times New Roman" w:cs="Times New Roman"/>
                <w:color w:val="auto"/>
                <w:u w:val="none"/>
              </w:rPr>
            </w:pPr>
            <w:r>
              <w:rPr>
                <w:rFonts w:hint="default" w:ascii="Times New Roman" w:hAnsi="Times New Roman" w:cs="Times New Roman"/>
                <w:color w:val="auto"/>
                <w:u w:val="none"/>
              </w:rPr>
              <w:t>城陵矶临港产业新区污水处理厂</w:t>
            </w:r>
          </w:p>
        </w:tc>
        <w:tc>
          <w:tcPr>
            <w:tcW w:w="582" w:type="pct"/>
            <w:vAlign w:val="center"/>
          </w:tcPr>
          <w:p w14:paraId="2A08EFF9">
            <w:pPr>
              <w:pStyle w:val="41"/>
              <w:rPr>
                <w:rFonts w:hint="default" w:ascii="Times New Roman" w:hAnsi="Times New Roman" w:cs="Times New Roman"/>
                <w:color w:val="auto"/>
                <w:u w:val="none"/>
              </w:rPr>
            </w:pPr>
            <w:r>
              <w:rPr>
                <w:rFonts w:hint="default" w:ascii="Times New Roman" w:hAnsi="Times New Roman" w:cs="Times New Roman"/>
                <w:color w:val="auto"/>
                <w:u w:val="none"/>
              </w:rPr>
              <w:t>pH值</w:t>
            </w:r>
          </w:p>
        </w:tc>
        <w:tc>
          <w:tcPr>
            <w:tcW w:w="628" w:type="pct"/>
            <w:vAlign w:val="center"/>
          </w:tcPr>
          <w:p w14:paraId="346A44CF">
            <w:pPr>
              <w:pStyle w:val="41"/>
              <w:rPr>
                <w:rFonts w:hint="default" w:ascii="Times New Roman" w:hAnsi="Times New Roman" w:cs="Times New Roman"/>
                <w:color w:val="auto"/>
                <w:u w:val="none"/>
              </w:rPr>
            </w:pPr>
            <w:r>
              <w:rPr>
                <w:rFonts w:hint="default" w:ascii="Times New Roman" w:hAnsi="Times New Roman" w:cs="Times New Roman"/>
                <w:color w:val="auto"/>
                <w:u w:val="none"/>
              </w:rPr>
              <w:t>6~9（无量纲）</w:t>
            </w:r>
          </w:p>
        </w:tc>
      </w:tr>
      <w:tr w14:paraId="74F3A8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3AB4F9C6">
            <w:pPr>
              <w:pStyle w:val="41"/>
              <w:rPr>
                <w:rFonts w:hint="default" w:ascii="Times New Roman" w:hAnsi="Times New Roman" w:cs="Times New Roman"/>
                <w:color w:val="auto"/>
                <w:u w:val="none"/>
              </w:rPr>
            </w:pPr>
          </w:p>
        </w:tc>
        <w:tc>
          <w:tcPr>
            <w:tcW w:w="660" w:type="pct"/>
            <w:vMerge w:val="continue"/>
            <w:vAlign w:val="center"/>
          </w:tcPr>
          <w:p w14:paraId="291C203F">
            <w:pPr>
              <w:pStyle w:val="41"/>
              <w:rPr>
                <w:rFonts w:hint="default" w:ascii="Times New Roman" w:hAnsi="Times New Roman" w:cs="Times New Roman"/>
                <w:color w:val="auto"/>
                <w:u w:val="none"/>
              </w:rPr>
            </w:pPr>
          </w:p>
        </w:tc>
        <w:tc>
          <w:tcPr>
            <w:tcW w:w="661" w:type="pct"/>
            <w:vMerge w:val="continue"/>
            <w:vAlign w:val="center"/>
          </w:tcPr>
          <w:p w14:paraId="346D394A">
            <w:pPr>
              <w:pStyle w:val="41"/>
              <w:rPr>
                <w:rFonts w:hint="default" w:ascii="Times New Roman" w:hAnsi="Times New Roman" w:cs="Times New Roman"/>
                <w:color w:val="auto"/>
                <w:u w:val="none"/>
              </w:rPr>
            </w:pPr>
          </w:p>
        </w:tc>
        <w:tc>
          <w:tcPr>
            <w:tcW w:w="464" w:type="pct"/>
            <w:vMerge w:val="continue"/>
            <w:vAlign w:val="center"/>
          </w:tcPr>
          <w:p w14:paraId="68E2391F">
            <w:pPr>
              <w:pStyle w:val="41"/>
              <w:rPr>
                <w:rFonts w:hint="default" w:ascii="Times New Roman" w:hAnsi="Times New Roman" w:cs="Times New Roman"/>
                <w:color w:val="auto"/>
                <w:u w:val="none"/>
              </w:rPr>
            </w:pPr>
          </w:p>
        </w:tc>
        <w:tc>
          <w:tcPr>
            <w:tcW w:w="325" w:type="pct"/>
            <w:vMerge w:val="continue"/>
            <w:vAlign w:val="center"/>
          </w:tcPr>
          <w:p w14:paraId="3BEF3D12">
            <w:pPr>
              <w:pStyle w:val="41"/>
              <w:rPr>
                <w:rFonts w:hint="default" w:ascii="Times New Roman" w:hAnsi="Times New Roman" w:cs="Times New Roman"/>
                <w:color w:val="auto"/>
                <w:u w:val="none"/>
              </w:rPr>
            </w:pPr>
          </w:p>
        </w:tc>
        <w:tc>
          <w:tcPr>
            <w:tcW w:w="396" w:type="pct"/>
            <w:vMerge w:val="continue"/>
            <w:vAlign w:val="center"/>
          </w:tcPr>
          <w:p w14:paraId="0A7811FD">
            <w:pPr>
              <w:pStyle w:val="41"/>
              <w:rPr>
                <w:rFonts w:hint="default" w:ascii="Times New Roman" w:hAnsi="Times New Roman" w:cs="Times New Roman"/>
                <w:color w:val="auto"/>
                <w:u w:val="none"/>
              </w:rPr>
            </w:pPr>
          </w:p>
        </w:tc>
        <w:tc>
          <w:tcPr>
            <w:tcW w:w="396" w:type="pct"/>
            <w:vMerge w:val="continue"/>
            <w:vAlign w:val="center"/>
          </w:tcPr>
          <w:p w14:paraId="2B21945C">
            <w:pPr>
              <w:pStyle w:val="41"/>
              <w:rPr>
                <w:rFonts w:hint="default" w:ascii="Times New Roman" w:hAnsi="Times New Roman" w:cs="Times New Roman"/>
                <w:color w:val="auto"/>
                <w:u w:val="none"/>
              </w:rPr>
            </w:pPr>
          </w:p>
        </w:tc>
        <w:tc>
          <w:tcPr>
            <w:tcW w:w="422" w:type="pct"/>
            <w:vMerge w:val="continue"/>
            <w:vAlign w:val="center"/>
          </w:tcPr>
          <w:p w14:paraId="44231E1A">
            <w:pPr>
              <w:pStyle w:val="41"/>
              <w:rPr>
                <w:rFonts w:hint="default" w:ascii="Times New Roman" w:hAnsi="Times New Roman" w:cs="Times New Roman"/>
                <w:color w:val="auto"/>
                <w:u w:val="none"/>
              </w:rPr>
            </w:pPr>
          </w:p>
        </w:tc>
        <w:tc>
          <w:tcPr>
            <w:tcW w:w="582" w:type="pct"/>
            <w:vAlign w:val="center"/>
          </w:tcPr>
          <w:p w14:paraId="5A86C1B1">
            <w:pPr>
              <w:pStyle w:val="41"/>
              <w:rPr>
                <w:rFonts w:hint="default" w:ascii="Times New Roman" w:hAnsi="Times New Roman" w:cs="Times New Roman"/>
                <w:color w:val="auto"/>
                <w:u w:val="none"/>
              </w:rPr>
            </w:pPr>
            <w:r>
              <w:rPr>
                <w:rFonts w:hint="default" w:ascii="Times New Roman" w:hAnsi="Times New Roman" w:cs="Times New Roman"/>
                <w:color w:val="auto"/>
                <w:u w:val="none"/>
              </w:rPr>
              <w:t>COD</w:t>
            </w:r>
          </w:p>
        </w:tc>
        <w:tc>
          <w:tcPr>
            <w:tcW w:w="628" w:type="pct"/>
            <w:vAlign w:val="center"/>
          </w:tcPr>
          <w:p w14:paraId="4D920F4A">
            <w:pPr>
              <w:pStyle w:val="41"/>
              <w:rPr>
                <w:rFonts w:hint="default" w:ascii="Times New Roman" w:hAnsi="Times New Roman" w:cs="Times New Roman"/>
                <w:color w:val="auto"/>
                <w:u w:val="none"/>
              </w:rPr>
            </w:pPr>
            <w:r>
              <w:rPr>
                <w:rFonts w:hint="default" w:ascii="Times New Roman" w:hAnsi="Times New Roman" w:cs="Times New Roman"/>
                <w:color w:val="auto"/>
                <w:u w:val="none"/>
              </w:rPr>
              <w:t>50mg/L</w:t>
            </w:r>
          </w:p>
        </w:tc>
      </w:tr>
      <w:tr w14:paraId="6F524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44D7E9D1">
            <w:pPr>
              <w:pStyle w:val="41"/>
              <w:rPr>
                <w:rFonts w:hint="default" w:ascii="Times New Roman" w:hAnsi="Times New Roman" w:cs="Times New Roman"/>
                <w:color w:val="auto"/>
                <w:u w:val="none"/>
              </w:rPr>
            </w:pPr>
          </w:p>
        </w:tc>
        <w:tc>
          <w:tcPr>
            <w:tcW w:w="660" w:type="pct"/>
            <w:vMerge w:val="continue"/>
            <w:vAlign w:val="center"/>
          </w:tcPr>
          <w:p w14:paraId="26A26CC8">
            <w:pPr>
              <w:pStyle w:val="41"/>
              <w:rPr>
                <w:rFonts w:hint="default" w:ascii="Times New Roman" w:hAnsi="Times New Roman" w:cs="Times New Roman"/>
                <w:color w:val="auto"/>
                <w:u w:val="none"/>
              </w:rPr>
            </w:pPr>
          </w:p>
        </w:tc>
        <w:tc>
          <w:tcPr>
            <w:tcW w:w="661" w:type="pct"/>
            <w:vMerge w:val="continue"/>
            <w:vAlign w:val="center"/>
          </w:tcPr>
          <w:p w14:paraId="6F03C421">
            <w:pPr>
              <w:pStyle w:val="41"/>
              <w:rPr>
                <w:rFonts w:hint="default" w:ascii="Times New Roman" w:hAnsi="Times New Roman" w:cs="Times New Roman"/>
                <w:color w:val="auto"/>
                <w:u w:val="none"/>
              </w:rPr>
            </w:pPr>
          </w:p>
        </w:tc>
        <w:tc>
          <w:tcPr>
            <w:tcW w:w="464" w:type="pct"/>
            <w:vMerge w:val="continue"/>
            <w:vAlign w:val="center"/>
          </w:tcPr>
          <w:p w14:paraId="47F57575">
            <w:pPr>
              <w:pStyle w:val="41"/>
              <w:rPr>
                <w:rFonts w:hint="default" w:ascii="Times New Roman" w:hAnsi="Times New Roman" w:cs="Times New Roman"/>
                <w:color w:val="auto"/>
                <w:u w:val="none"/>
              </w:rPr>
            </w:pPr>
          </w:p>
        </w:tc>
        <w:tc>
          <w:tcPr>
            <w:tcW w:w="325" w:type="pct"/>
            <w:vMerge w:val="continue"/>
            <w:vAlign w:val="center"/>
          </w:tcPr>
          <w:p w14:paraId="7111C02E">
            <w:pPr>
              <w:pStyle w:val="41"/>
              <w:rPr>
                <w:rFonts w:hint="default" w:ascii="Times New Roman" w:hAnsi="Times New Roman" w:cs="Times New Roman"/>
                <w:color w:val="auto"/>
                <w:u w:val="none"/>
              </w:rPr>
            </w:pPr>
          </w:p>
        </w:tc>
        <w:tc>
          <w:tcPr>
            <w:tcW w:w="396" w:type="pct"/>
            <w:vMerge w:val="continue"/>
            <w:vAlign w:val="center"/>
          </w:tcPr>
          <w:p w14:paraId="0F69A2D7">
            <w:pPr>
              <w:pStyle w:val="41"/>
              <w:rPr>
                <w:rFonts w:hint="default" w:ascii="Times New Roman" w:hAnsi="Times New Roman" w:cs="Times New Roman"/>
                <w:color w:val="auto"/>
                <w:u w:val="none"/>
              </w:rPr>
            </w:pPr>
          </w:p>
        </w:tc>
        <w:tc>
          <w:tcPr>
            <w:tcW w:w="396" w:type="pct"/>
            <w:vMerge w:val="continue"/>
            <w:vAlign w:val="center"/>
          </w:tcPr>
          <w:p w14:paraId="01FAA1D7">
            <w:pPr>
              <w:pStyle w:val="41"/>
              <w:rPr>
                <w:rFonts w:hint="default" w:ascii="Times New Roman" w:hAnsi="Times New Roman" w:cs="Times New Roman"/>
                <w:color w:val="auto"/>
                <w:u w:val="none"/>
              </w:rPr>
            </w:pPr>
          </w:p>
        </w:tc>
        <w:tc>
          <w:tcPr>
            <w:tcW w:w="422" w:type="pct"/>
            <w:vMerge w:val="continue"/>
            <w:vAlign w:val="center"/>
          </w:tcPr>
          <w:p w14:paraId="7F39C50A">
            <w:pPr>
              <w:pStyle w:val="41"/>
              <w:rPr>
                <w:rFonts w:hint="default" w:ascii="Times New Roman" w:hAnsi="Times New Roman" w:cs="Times New Roman"/>
                <w:color w:val="auto"/>
                <w:u w:val="none"/>
              </w:rPr>
            </w:pPr>
          </w:p>
        </w:tc>
        <w:tc>
          <w:tcPr>
            <w:tcW w:w="582" w:type="pct"/>
            <w:vAlign w:val="center"/>
          </w:tcPr>
          <w:p w14:paraId="4106948C">
            <w:pPr>
              <w:pStyle w:val="41"/>
              <w:rPr>
                <w:rFonts w:hint="default" w:ascii="Times New Roman" w:hAnsi="Times New Roman" w:cs="Times New Roman"/>
                <w:color w:val="auto"/>
                <w:u w:val="none"/>
              </w:rPr>
            </w:pPr>
            <w:r>
              <w:rPr>
                <w:rFonts w:hint="default" w:ascii="Times New Roman" w:hAnsi="Times New Roman" w:cs="Times New Roman"/>
                <w:color w:val="auto"/>
                <w:u w:val="none"/>
              </w:rPr>
              <w:t>BOD</w:t>
            </w:r>
            <w:r>
              <w:rPr>
                <w:rFonts w:hint="default" w:ascii="Times New Roman" w:hAnsi="Times New Roman" w:cs="Times New Roman"/>
                <w:color w:val="auto"/>
                <w:u w:val="none"/>
                <w:vertAlign w:val="subscript"/>
              </w:rPr>
              <w:t>5</w:t>
            </w:r>
          </w:p>
        </w:tc>
        <w:tc>
          <w:tcPr>
            <w:tcW w:w="628" w:type="pct"/>
            <w:vAlign w:val="center"/>
          </w:tcPr>
          <w:p w14:paraId="1DAF0F57">
            <w:pPr>
              <w:pStyle w:val="41"/>
              <w:rPr>
                <w:rFonts w:hint="default" w:ascii="Times New Roman" w:hAnsi="Times New Roman" w:cs="Times New Roman"/>
                <w:color w:val="auto"/>
                <w:u w:val="none"/>
              </w:rPr>
            </w:pPr>
            <w:r>
              <w:rPr>
                <w:rFonts w:hint="default" w:ascii="Times New Roman" w:hAnsi="Times New Roman" w:cs="Times New Roman"/>
                <w:color w:val="auto"/>
                <w:u w:val="none"/>
              </w:rPr>
              <w:t>10mg/L</w:t>
            </w:r>
          </w:p>
        </w:tc>
      </w:tr>
      <w:tr w14:paraId="5E834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7BDC7A82">
            <w:pPr>
              <w:pStyle w:val="41"/>
              <w:rPr>
                <w:rFonts w:hint="default" w:ascii="Times New Roman" w:hAnsi="Times New Roman" w:cs="Times New Roman"/>
                <w:color w:val="auto"/>
                <w:u w:val="none"/>
              </w:rPr>
            </w:pPr>
          </w:p>
        </w:tc>
        <w:tc>
          <w:tcPr>
            <w:tcW w:w="660" w:type="pct"/>
            <w:vMerge w:val="continue"/>
            <w:vAlign w:val="center"/>
          </w:tcPr>
          <w:p w14:paraId="3D6CF38A">
            <w:pPr>
              <w:pStyle w:val="41"/>
              <w:rPr>
                <w:rFonts w:hint="default" w:ascii="Times New Roman" w:hAnsi="Times New Roman" w:cs="Times New Roman"/>
                <w:color w:val="auto"/>
                <w:u w:val="none"/>
              </w:rPr>
            </w:pPr>
          </w:p>
        </w:tc>
        <w:tc>
          <w:tcPr>
            <w:tcW w:w="661" w:type="pct"/>
            <w:vMerge w:val="continue"/>
            <w:vAlign w:val="center"/>
          </w:tcPr>
          <w:p w14:paraId="7144C18C">
            <w:pPr>
              <w:pStyle w:val="41"/>
              <w:rPr>
                <w:rFonts w:hint="default" w:ascii="Times New Roman" w:hAnsi="Times New Roman" w:cs="Times New Roman"/>
                <w:color w:val="auto"/>
                <w:u w:val="none"/>
              </w:rPr>
            </w:pPr>
          </w:p>
        </w:tc>
        <w:tc>
          <w:tcPr>
            <w:tcW w:w="464" w:type="pct"/>
            <w:vMerge w:val="continue"/>
            <w:vAlign w:val="center"/>
          </w:tcPr>
          <w:p w14:paraId="053D7A4B">
            <w:pPr>
              <w:pStyle w:val="41"/>
              <w:rPr>
                <w:rFonts w:hint="default" w:ascii="Times New Roman" w:hAnsi="Times New Roman" w:cs="Times New Roman"/>
                <w:color w:val="auto"/>
                <w:u w:val="none"/>
              </w:rPr>
            </w:pPr>
          </w:p>
        </w:tc>
        <w:tc>
          <w:tcPr>
            <w:tcW w:w="325" w:type="pct"/>
            <w:vMerge w:val="continue"/>
            <w:vAlign w:val="center"/>
          </w:tcPr>
          <w:p w14:paraId="4465BA31">
            <w:pPr>
              <w:pStyle w:val="41"/>
              <w:rPr>
                <w:rFonts w:hint="default" w:ascii="Times New Roman" w:hAnsi="Times New Roman" w:cs="Times New Roman"/>
                <w:color w:val="auto"/>
                <w:u w:val="none"/>
              </w:rPr>
            </w:pPr>
          </w:p>
        </w:tc>
        <w:tc>
          <w:tcPr>
            <w:tcW w:w="396" w:type="pct"/>
            <w:vMerge w:val="continue"/>
            <w:vAlign w:val="center"/>
          </w:tcPr>
          <w:p w14:paraId="47B3EFAC">
            <w:pPr>
              <w:pStyle w:val="41"/>
              <w:rPr>
                <w:rFonts w:hint="default" w:ascii="Times New Roman" w:hAnsi="Times New Roman" w:cs="Times New Roman"/>
                <w:color w:val="auto"/>
                <w:u w:val="none"/>
              </w:rPr>
            </w:pPr>
          </w:p>
        </w:tc>
        <w:tc>
          <w:tcPr>
            <w:tcW w:w="396" w:type="pct"/>
            <w:vMerge w:val="continue"/>
            <w:vAlign w:val="center"/>
          </w:tcPr>
          <w:p w14:paraId="06D1DF2C">
            <w:pPr>
              <w:pStyle w:val="41"/>
              <w:rPr>
                <w:rFonts w:hint="default" w:ascii="Times New Roman" w:hAnsi="Times New Roman" w:cs="Times New Roman"/>
                <w:color w:val="auto"/>
                <w:u w:val="none"/>
              </w:rPr>
            </w:pPr>
          </w:p>
        </w:tc>
        <w:tc>
          <w:tcPr>
            <w:tcW w:w="422" w:type="pct"/>
            <w:vMerge w:val="continue"/>
            <w:vAlign w:val="center"/>
          </w:tcPr>
          <w:p w14:paraId="16291A6E">
            <w:pPr>
              <w:pStyle w:val="41"/>
              <w:rPr>
                <w:rFonts w:hint="default" w:ascii="Times New Roman" w:hAnsi="Times New Roman" w:cs="Times New Roman"/>
                <w:color w:val="auto"/>
                <w:u w:val="none"/>
              </w:rPr>
            </w:pPr>
          </w:p>
        </w:tc>
        <w:tc>
          <w:tcPr>
            <w:tcW w:w="582" w:type="pct"/>
            <w:vAlign w:val="center"/>
          </w:tcPr>
          <w:p w14:paraId="7ED09824">
            <w:pPr>
              <w:pStyle w:val="41"/>
              <w:rPr>
                <w:rFonts w:hint="default" w:ascii="Times New Roman" w:hAnsi="Times New Roman" w:cs="Times New Roman"/>
                <w:color w:val="auto"/>
                <w:u w:val="none"/>
              </w:rPr>
            </w:pPr>
            <w:r>
              <w:rPr>
                <w:rFonts w:hint="default" w:ascii="Times New Roman" w:hAnsi="Times New Roman" w:cs="Times New Roman"/>
                <w:color w:val="auto"/>
                <w:u w:val="none"/>
              </w:rPr>
              <w:t>SS</w:t>
            </w:r>
          </w:p>
        </w:tc>
        <w:tc>
          <w:tcPr>
            <w:tcW w:w="628" w:type="pct"/>
            <w:vAlign w:val="center"/>
          </w:tcPr>
          <w:p w14:paraId="067F9C26">
            <w:pPr>
              <w:pStyle w:val="41"/>
              <w:rPr>
                <w:rFonts w:hint="default" w:ascii="Times New Roman" w:hAnsi="Times New Roman" w:cs="Times New Roman"/>
                <w:color w:val="auto"/>
                <w:u w:val="none"/>
              </w:rPr>
            </w:pPr>
            <w:r>
              <w:rPr>
                <w:rFonts w:hint="default" w:ascii="Times New Roman" w:hAnsi="Times New Roman" w:cs="Times New Roman"/>
                <w:color w:val="auto"/>
                <w:u w:val="none"/>
              </w:rPr>
              <w:t>10mg/L</w:t>
            </w:r>
          </w:p>
        </w:tc>
      </w:tr>
      <w:tr w14:paraId="2274B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3FB3EAB8">
            <w:pPr>
              <w:pStyle w:val="41"/>
              <w:rPr>
                <w:rFonts w:hint="default" w:ascii="Times New Roman" w:hAnsi="Times New Roman" w:cs="Times New Roman"/>
                <w:color w:val="auto"/>
                <w:u w:val="none"/>
              </w:rPr>
            </w:pPr>
          </w:p>
        </w:tc>
        <w:tc>
          <w:tcPr>
            <w:tcW w:w="660" w:type="pct"/>
            <w:vMerge w:val="continue"/>
            <w:vAlign w:val="center"/>
          </w:tcPr>
          <w:p w14:paraId="0ED1FDD7">
            <w:pPr>
              <w:pStyle w:val="41"/>
              <w:rPr>
                <w:rFonts w:hint="default" w:ascii="Times New Roman" w:hAnsi="Times New Roman" w:cs="Times New Roman"/>
                <w:color w:val="auto"/>
                <w:u w:val="none"/>
              </w:rPr>
            </w:pPr>
          </w:p>
        </w:tc>
        <w:tc>
          <w:tcPr>
            <w:tcW w:w="661" w:type="pct"/>
            <w:vMerge w:val="continue"/>
            <w:vAlign w:val="center"/>
          </w:tcPr>
          <w:p w14:paraId="28B81A94">
            <w:pPr>
              <w:pStyle w:val="41"/>
              <w:rPr>
                <w:rFonts w:hint="default" w:ascii="Times New Roman" w:hAnsi="Times New Roman" w:cs="Times New Roman"/>
                <w:color w:val="auto"/>
                <w:u w:val="none"/>
              </w:rPr>
            </w:pPr>
          </w:p>
        </w:tc>
        <w:tc>
          <w:tcPr>
            <w:tcW w:w="464" w:type="pct"/>
            <w:vMerge w:val="continue"/>
            <w:vAlign w:val="center"/>
          </w:tcPr>
          <w:p w14:paraId="3CF87E7D">
            <w:pPr>
              <w:pStyle w:val="41"/>
              <w:rPr>
                <w:rFonts w:hint="default" w:ascii="Times New Roman" w:hAnsi="Times New Roman" w:cs="Times New Roman"/>
                <w:color w:val="auto"/>
                <w:u w:val="none"/>
              </w:rPr>
            </w:pPr>
          </w:p>
        </w:tc>
        <w:tc>
          <w:tcPr>
            <w:tcW w:w="325" w:type="pct"/>
            <w:vMerge w:val="continue"/>
            <w:vAlign w:val="center"/>
          </w:tcPr>
          <w:p w14:paraId="104D8060">
            <w:pPr>
              <w:pStyle w:val="41"/>
              <w:rPr>
                <w:rFonts w:hint="default" w:ascii="Times New Roman" w:hAnsi="Times New Roman" w:cs="Times New Roman"/>
                <w:color w:val="auto"/>
                <w:u w:val="none"/>
              </w:rPr>
            </w:pPr>
          </w:p>
        </w:tc>
        <w:tc>
          <w:tcPr>
            <w:tcW w:w="396" w:type="pct"/>
            <w:vMerge w:val="continue"/>
            <w:vAlign w:val="center"/>
          </w:tcPr>
          <w:p w14:paraId="5FB2AFDD">
            <w:pPr>
              <w:pStyle w:val="41"/>
              <w:rPr>
                <w:rFonts w:hint="default" w:ascii="Times New Roman" w:hAnsi="Times New Roman" w:cs="Times New Roman"/>
                <w:color w:val="auto"/>
                <w:u w:val="none"/>
              </w:rPr>
            </w:pPr>
          </w:p>
        </w:tc>
        <w:tc>
          <w:tcPr>
            <w:tcW w:w="396" w:type="pct"/>
            <w:vMerge w:val="continue"/>
            <w:vAlign w:val="center"/>
          </w:tcPr>
          <w:p w14:paraId="4FF54F61">
            <w:pPr>
              <w:pStyle w:val="41"/>
              <w:rPr>
                <w:rFonts w:hint="default" w:ascii="Times New Roman" w:hAnsi="Times New Roman" w:cs="Times New Roman"/>
                <w:color w:val="auto"/>
                <w:u w:val="none"/>
              </w:rPr>
            </w:pPr>
          </w:p>
        </w:tc>
        <w:tc>
          <w:tcPr>
            <w:tcW w:w="422" w:type="pct"/>
            <w:vMerge w:val="continue"/>
            <w:vAlign w:val="center"/>
          </w:tcPr>
          <w:p w14:paraId="7E41B35F">
            <w:pPr>
              <w:pStyle w:val="41"/>
              <w:rPr>
                <w:rFonts w:hint="default" w:ascii="Times New Roman" w:hAnsi="Times New Roman" w:cs="Times New Roman"/>
                <w:color w:val="auto"/>
                <w:u w:val="none"/>
              </w:rPr>
            </w:pPr>
          </w:p>
        </w:tc>
        <w:tc>
          <w:tcPr>
            <w:tcW w:w="582" w:type="pct"/>
            <w:vAlign w:val="center"/>
          </w:tcPr>
          <w:p w14:paraId="66169BDD">
            <w:pPr>
              <w:pStyle w:val="41"/>
              <w:rPr>
                <w:rFonts w:hint="default" w:ascii="Times New Roman" w:hAnsi="Times New Roman" w:cs="Times New Roman"/>
                <w:color w:val="auto"/>
                <w:u w:val="none"/>
              </w:rPr>
            </w:pP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p>
        </w:tc>
        <w:tc>
          <w:tcPr>
            <w:tcW w:w="628" w:type="pct"/>
            <w:vAlign w:val="center"/>
          </w:tcPr>
          <w:p w14:paraId="230536DA">
            <w:pPr>
              <w:pStyle w:val="41"/>
              <w:rPr>
                <w:rFonts w:hint="default" w:ascii="Times New Roman" w:hAnsi="Times New Roman" w:cs="Times New Roman"/>
                <w:color w:val="auto"/>
                <w:u w:val="none"/>
              </w:rPr>
            </w:pPr>
            <w:r>
              <w:rPr>
                <w:rFonts w:hint="default" w:ascii="Times New Roman" w:hAnsi="Times New Roman" w:cs="Times New Roman"/>
                <w:color w:val="auto"/>
                <w:u w:val="none"/>
              </w:rPr>
              <w:t>5mg/L</w:t>
            </w:r>
          </w:p>
        </w:tc>
      </w:tr>
      <w:tr w14:paraId="68396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5D8999CD">
            <w:pPr>
              <w:pStyle w:val="41"/>
              <w:rPr>
                <w:rFonts w:hint="default" w:ascii="Times New Roman" w:hAnsi="Times New Roman" w:cs="Times New Roman"/>
                <w:color w:val="auto"/>
                <w:u w:val="none"/>
              </w:rPr>
            </w:pPr>
          </w:p>
        </w:tc>
        <w:tc>
          <w:tcPr>
            <w:tcW w:w="660" w:type="pct"/>
            <w:vMerge w:val="continue"/>
            <w:vAlign w:val="center"/>
          </w:tcPr>
          <w:p w14:paraId="6C38EFC3">
            <w:pPr>
              <w:pStyle w:val="41"/>
              <w:rPr>
                <w:rFonts w:hint="default" w:ascii="Times New Roman" w:hAnsi="Times New Roman" w:cs="Times New Roman"/>
                <w:color w:val="auto"/>
                <w:u w:val="none"/>
              </w:rPr>
            </w:pPr>
          </w:p>
        </w:tc>
        <w:tc>
          <w:tcPr>
            <w:tcW w:w="661" w:type="pct"/>
            <w:vMerge w:val="continue"/>
            <w:vAlign w:val="center"/>
          </w:tcPr>
          <w:p w14:paraId="6335CFE5">
            <w:pPr>
              <w:pStyle w:val="41"/>
              <w:rPr>
                <w:rFonts w:hint="default" w:ascii="Times New Roman" w:hAnsi="Times New Roman" w:cs="Times New Roman"/>
                <w:color w:val="auto"/>
                <w:u w:val="none"/>
              </w:rPr>
            </w:pPr>
          </w:p>
        </w:tc>
        <w:tc>
          <w:tcPr>
            <w:tcW w:w="464" w:type="pct"/>
            <w:vMerge w:val="continue"/>
            <w:vAlign w:val="center"/>
          </w:tcPr>
          <w:p w14:paraId="2D987800">
            <w:pPr>
              <w:pStyle w:val="41"/>
              <w:rPr>
                <w:rFonts w:hint="default" w:ascii="Times New Roman" w:hAnsi="Times New Roman" w:cs="Times New Roman"/>
                <w:color w:val="auto"/>
                <w:u w:val="none"/>
              </w:rPr>
            </w:pPr>
          </w:p>
        </w:tc>
        <w:tc>
          <w:tcPr>
            <w:tcW w:w="325" w:type="pct"/>
            <w:vMerge w:val="continue"/>
            <w:vAlign w:val="center"/>
          </w:tcPr>
          <w:p w14:paraId="4A3A2839">
            <w:pPr>
              <w:pStyle w:val="41"/>
              <w:rPr>
                <w:rFonts w:hint="default" w:ascii="Times New Roman" w:hAnsi="Times New Roman" w:cs="Times New Roman"/>
                <w:color w:val="auto"/>
                <w:u w:val="none"/>
              </w:rPr>
            </w:pPr>
          </w:p>
        </w:tc>
        <w:tc>
          <w:tcPr>
            <w:tcW w:w="396" w:type="pct"/>
            <w:vMerge w:val="continue"/>
            <w:vAlign w:val="center"/>
          </w:tcPr>
          <w:p w14:paraId="2C393BD2">
            <w:pPr>
              <w:pStyle w:val="41"/>
              <w:rPr>
                <w:rFonts w:hint="default" w:ascii="Times New Roman" w:hAnsi="Times New Roman" w:cs="Times New Roman"/>
                <w:color w:val="auto"/>
                <w:u w:val="none"/>
              </w:rPr>
            </w:pPr>
          </w:p>
        </w:tc>
        <w:tc>
          <w:tcPr>
            <w:tcW w:w="396" w:type="pct"/>
            <w:vMerge w:val="continue"/>
            <w:vAlign w:val="center"/>
          </w:tcPr>
          <w:p w14:paraId="277D3495">
            <w:pPr>
              <w:pStyle w:val="41"/>
              <w:rPr>
                <w:rFonts w:hint="default" w:ascii="Times New Roman" w:hAnsi="Times New Roman" w:cs="Times New Roman"/>
                <w:color w:val="auto"/>
                <w:u w:val="none"/>
              </w:rPr>
            </w:pPr>
          </w:p>
        </w:tc>
        <w:tc>
          <w:tcPr>
            <w:tcW w:w="422" w:type="pct"/>
            <w:vMerge w:val="continue"/>
            <w:vAlign w:val="center"/>
          </w:tcPr>
          <w:p w14:paraId="2C4619DC">
            <w:pPr>
              <w:pStyle w:val="41"/>
              <w:rPr>
                <w:rFonts w:hint="default" w:ascii="Times New Roman" w:hAnsi="Times New Roman" w:cs="Times New Roman"/>
                <w:color w:val="auto"/>
                <w:u w:val="none"/>
              </w:rPr>
            </w:pPr>
          </w:p>
        </w:tc>
        <w:tc>
          <w:tcPr>
            <w:tcW w:w="582" w:type="pct"/>
            <w:vAlign w:val="center"/>
          </w:tcPr>
          <w:p w14:paraId="57B2607B">
            <w:pPr>
              <w:pStyle w:val="41"/>
              <w:rPr>
                <w:rFonts w:hint="default" w:ascii="Times New Roman" w:hAnsi="Times New Roman" w:cs="Times New Roman"/>
                <w:color w:val="auto"/>
                <w:u w:val="none"/>
              </w:rPr>
            </w:pPr>
            <w:r>
              <w:rPr>
                <w:rFonts w:hint="default" w:ascii="Times New Roman" w:hAnsi="Times New Roman" w:cs="Times New Roman"/>
                <w:color w:val="auto"/>
                <w:u w:val="none"/>
              </w:rPr>
              <w:t>TP</w:t>
            </w:r>
          </w:p>
        </w:tc>
        <w:tc>
          <w:tcPr>
            <w:tcW w:w="628" w:type="pct"/>
            <w:vAlign w:val="center"/>
          </w:tcPr>
          <w:p w14:paraId="46BBA69C">
            <w:pPr>
              <w:pStyle w:val="41"/>
              <w:rPr>
                <w:rFonts w:hint="default" w:ascii="Times New Roman" w:hAnsi="Times New Roman" w:cs="Times New Roman"/>
                <w:color w:val="auto"/>
                <w:u w:val="none"/>
              </w:rPr>
            </w:pPr>
            <w:r>
              <w:rPr>
                <w:rFonts w:hint="default" w:ascii="Times New Roman" w:hAnsi="Times New Roman" w:cs="Times New Roman"/>
                <w:color w:val="auto"/>
                <w:u w:val="none"/>
              </w:rPr>
              <w:t>0.5mg/L</w:t>
            </w:r>
          </w:p>
        </w:tc>
      </w:tr>
      <w:tr w14:paraId="01904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462" w:type="pct"/>
            <w:vMerge w:val="continue"/>
            <w:vAlign w:val="center"/>
          </w:tcPr>
          <w:p w14:paraId="101E6331">
            <w:pPr>
              <w:pStyle w:val="41"/>
              <w:rPr>
                <w:rFonts w:hint="default" w:ascii="Times New Roman" w:hAnsi="Times New Roman" w:cs="Times New Roman"/>
                <w:color w:val="auto"/>
                <w:u w:val="none"/>
              </w:rPr>
            </w:pPr>
          </w:p>
        </w:tc>
        <w:tc>
          <w:tcPr>
            <w:tcW w:w="660" w:type="pct"/>
            <w:vMerge w:val="continue"/>
            <w:vAlign w:val="center"/>
          </w:tcPr>
          <w:p w14:paraId="59311A0C">
            <w:pPr>
              <w:pStyle w:val="41"/>
              <w:rPr>
                <w:rFonts w:hint="default" w:ascii="Times New Roman" w:hAnsi="Times New Roman" w:cs="Times New Roman"/>
                <w:color w:val="auto"/>
                <w:u w:val="none"/>
              </w:rPr>
            </w:pPr>
          </w:p>
        </w:tc>
        <w:tc>
          <w:tcPr>
            <w:tcW w:w="661" w:type="pct"/>
            <w:vMerge w:val="continue"/>
            <w:vAlign w:val="center"/>
          </w:tcPr>
          <w:p w14:paraId="31D01A19">
            <w:pPr>
              <w:pStyle w:val="41"/>
              <w:rPr>
                <w:rFonts w:hint="default" w:ascii="Times New Roman" w:hAnsi="Times New Roman" w:cs="Times New Roman"/>
                <w:color w:val="auto"/>
                <w:u w:val="none"/>
              </w:rPr>
            </w:pPr>
          </w:p>
        </w:tc>
        <w:tc>
          <w:tcPr>
            <w:tcW w:w="464" w:type="pct"/>
            <w:vMerge w:val="continue"/>
            <w:vAlign w:val="center"/>
          </w:tcPr>
          <w:p w14:paraId="3C689231">
            <w:pPr>
              <w:pStyle w:val="41"/>
              <w:rPr>
                <w:rFonts w:hint="default" w:ascii="Times New Roman" w:hAnsi="Times New Roman" w:cs="Times New Roman"/>
                <w:color w:val="auto"/>
                <w:u w:val="none"/>
              </w:rPr>
            </w:pPr>
          </w:p>
        </w:tc>
        <w:tc>
          <w:tcPr>
            <w:tcW w:w="325" w:type="pct"/>
            <w:vMerge w:val="continue"/>
            <w:vAlign w:val="center"/>
          </w:tcPr>
          <w:p w14:paraId="46490287">
            <w:pPr>
              <w:pStyle w:val="41"/>
              <w:rPr>
                <w:rFonts w:hint="default" w:ascii="Times New Roman" w:hAnsi="Times New Roman" w:cs="Times New Roman"/>
                <w:color w:val="auto"/>
                <w:u w:val="none"/>
              </w:rPr>
            </w:pPr>
          </w:p>
        </w:tc>
        <w:tc>
          <w:tcPr>
            <w:tcW w:w="396" w:type="pct"/>
            <w:vMerge w:val="continue"/>
            <w:vAlign w:val="center"/>
          </w:tcPr>
          <w:p w14:paraId="7065E6D6">
            <w:pPr>
              <w:pStyle w:val="41"/>
              <w:rPr>
                <w:rFonts w:hint="default" w:ascii="Times New Roman" w:hAnsi="Times New Roman" w:cs="Times New Roman"/>
                <w:color w:val="auto"/>
                <w:u w:val="none"/>
              </w:rPr>
            </w:pPr>
          </w:p>
        </w:tc>
        <w:tc>
          <w:tcPr>
            <w:tcW w:w="396" w:type="pct"/>
            <w:vMerge w:val="continue"/>
            <w:vAlign w:val="center"/>
          </w:tcPr>
          <w:p w14:paraId="4F7E2217">
            <w:pPr>
              <w:pStyle w:val="41"/>
              <w:rPr>
                <w:rFonts w:hint="default" w:ascii="Times New Roman" w:hAnsi="Times New Roman" w:cs="Times New Roman"/>
                <w:color w:val="auto"/>
                <w:u w:val="none"/>
              </w:rPr>
            </w:pPr>
          </w:p>
        </w:tc>
        <w:tc>
          <w:tcPr>
            <w:tcW w:w="422" w:type="pct"/>
            <w:vMerge w:val="continue"/>
            <w:vAlign w:val="center"/>
          </w:tcPr>
          <w:p w14:paraId="13ADF5BA">
            <w:pPr>
              <w:pStyle w:val="41"/>
              <w:rPr>
                <w:rFonts w:hint="default" w:ascii="Times New Roman" w:hAnsi="Times New Roman" w:cs="Times New Roman"/>
                <w:color w:val="auto"/>
                <w:u w:val="none"/>
              </w:rPr>
            </w:pPr>
          </w:p>
        </w:tc>
        <w:tc>
          <w:tcPr>
            <w:tcW w:w="582" w:type="pct"/>
            <w:vAlign w:val="center"/>
          </w:tcPr>
          <w:p w14:paraId="1DC7F423">
            <w:pPr>
              <w:pStyle w:val="41"/>
              <w:rPr>
                <w:rFonts w:hint="default" w:ascii="Times New Roman" w:hAnsi="Times New Roman" w:cs="Times New Roman"/>
                <w:color w:val="auto"/>
                <w:u w:val="none"/>
              </w:rPr>
            </w:pPr>
            <w:r>
              <w:rPr>
                <w:rFonts w:hint="default" w:ascii="Times New Roman" w:hAnsi="Times New Roman" w:cs="Times New Roman"/>
                <w:color w:val="auto"/>
                <w:u w:val="none"/>
              </w:rPr>
              <w:t>动植物油</w:t>
            </w:r>
          </w:p>
        </w:tc>
        <w:tc>
          <w:tcPr>
            <w:tcW w:w="628" w:type="pct"/>
            <w:vAlign w:val="center"/>
          </w:tcPr>
          <w:p w14:paraId="063215EF">
            <w:pPr>
              <w:pStyle w:val="41"/>
              <w:rPr>
                <w:rFonts w:hint="default" w:ascii="Times New Roman" w:hAnsi="Times New Roman" w:cs="Times New Roman"/>
                <w:color w:val="auto"/>
                <w:u w:val="none"/>
              </w:rPr>
            </w:pPr>
            <w:r>
              <w:rPr>
                <w:rFonts w:hint="default" w:ascii="Times New Roman" w:hAnsi="Times New Roman" w:cs="Times New Roman"/>
                <w:color w:val="auto"/>
                <w:u w:val="none"/>
              </w:rPr>
              <w:t>1.0mg/L</w:t>
            </w:r>
          </w:p>
        </w:tc>
      </w:tr>
    </w:tbl>
    <w:p w14:paraId="53BDF9CB">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表6.2-</w:t>
      </w:r>
      <w:r>
        <w:rPr>
          <w:rFonts w:hint="eastAsia" w:ascii="Times New Roman" w:hAnsi="Times New Roman" w:cs="Times New Roman"/>
          <w:b/>
          <w:bCs/>
          <w:color w:val="auto"/>
          <w:u w:val="none"/>
          <w:lang w:val="en-US" w:eastAsia="zh-CN"/>
        </w:rPr>
        <w:t>20</w:t>
      </w:r>
      <w:r>
        <w:rPr>
          <w:rFonts w:hint="default" w:ascii="Times New Roman" w:hAnsi="Times New Roman" w:cs="Times New Roman"/>
          <w:b/>
          <w:bCs/>
          <w:color w:val="auto"/>
          <w:u w:val="none"/>
        </w:rPr>
        <w:t xml:space="preserve"> 废水污染物排放执行标准表</w:t>
      </w:r>
    </w:p>
    <w:tbl>
      <w:tblPr>
        <w:tblStyle w:val="59"/>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47"/>
        <w:gridCol w:w="1075"/>
        <w:gridCol w:w="1460"/>
        <w:gridCol w:w="2664"/>
        <w:gridCol w:w="2487"/>
      </w:tblGrid>
      <w:tr w14:paraId="650CD4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restart"/>
            <w:tcBorders>
              <w:tl2br w:val="nil"/>
              <w:tr2bl w:val="nil"/>
            </w:tcBorders>
            <w:vAlign w:val="center"/>
          </w:tcPr>
          <w:p w14:paraId="5A3EBD8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645" w:type="pct"/>
            <w:vMerge w:val="restart"/>
            <w:tcBorders>
              <w:tl2br w:val="nil"/>
              <w:tr2bl w:val="nil"/>
            </w:tcBorders>
            <w:vAlign w:val="center"/>
          </w:tcPr>
          <w:p w14:paraId="04CDDD6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排放口编号</w:t>
            </w:r>
          </w:p>
        </w:tc>
        <w:tc>
          <w:tcPr>
            <w:tcW w:w="876" w:type="pct"/>
            <w:vMerge w:val="restart"/>
            <w:tcBorders>
              <w:tl2br w:val="nil"/>
              <w:tr2bl w:val="nil"/>
            </w:tcBorders>
            <w:vAlign w:val="center"/>
          </w:tcPr>
          <w:p w14:paraId="5A1BAEE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污染物种类</w:t>
            </w:r>
          </w:p>
        </w:tc>
        <w:tc>
          <w:tcPr>
            <w:tcW w:w="3090" w:type="pct"/>
            <w:gridSpan w:val="2"/>
            <w:tcBorders>
              <w:tl2br w:val="nil"/>
              <w:tr2bl w:val="nil"/>
            </w:tcBorders>
            <w:vAlign w:val="center"/>
          </w:tcPr>
          <w:p w14:paraId="7D03C01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国家或地方污染物排放标准及其他按规定商定的排放协议</w:t>
            </w:r>
          </w:p>
        </w:tc>
      </w:tr>
      <w:tr w14:paraId="41ED55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388" w:type="pct"/>
            <w:vMerge w:val="continue"/>
            <w:tcBorders>
              <w:tl2br w:val="nil"/>
              <w:tr2bl w:val="nil"/>
            </w:tcBorders>
            <w:vAlign w:val="center"/>
          </w:tcPr>
          <w:p w14:paraId="648166C1">
            <w:pPr>
              <w:pStyle w:val="41"/>
              <w:rPr>
                <w:rFonts w:hint="default" w:ascii="Times New Roman" w:hAnsi="Times New Roman" w:cs="Times New Roman"/>
                <w:b/>
                <w:bCs/>
                <w:color w:val="auto"/>
                <w:u w:val="none"/>
              </w:rPr>
            </w:pPr>
          </w:p>
        </w:tc>
        <w:tc>
          <w:tcPr>
            <w:tcW w:w="645" w:type="pct"/>
            <w:vMerge w:val="continue"/>
            <w:tcBorders>
              <w:tl2br w:val="nil"/>
              <w:tr2bl w:val="nil"/>
            </w:tcBorders>
            <w:vAlign w:val="center"/>
          </w:tcPr>
          <w:p w14:paraId="52548660">
            <w:pPr>
              <w:pStyle w:val="41"/>
              <w:rPr>
                <w:rFonts w:hint="default" w:ascii="Times New Roman" w:hAnsi="Times New Roman" w:cs="Times New Roman"/>
                <w:b/>
                <w:bCs/>
                <w:color w:val="auto"/>
                <w:u w:val="none"/>
              </w:rPr>
            </w:pPr>
          </w:p>
        </w:tc>
        <w:tc>
          <w:tcPr>
            <w:tcW w:w="876" w:type="pct"/>
            <w:vMerge w:val="continue"/>
            <w:tcBorders>
              <w:tl2br w:val="nil"/>
              <w:tr2bl w:val="nil"/>
            </w:tcBorders>
            <w:vAlign w:val="center"/>
          </w:tcPr>
          <w:p w14:paraId="4DA0086A">
            <w:pPr>
              <w:pStyle w:val="41"/>
              <w:rPr>
                <w:rFonts w:hint="default" w:ascii="Times New Roman" w:hAnsi="Times New Roman" w:cs="Times New Roman"/>
                <w:b/>
                <w:bCs/>
                <w:color w:val="auto"/>
                <w:u w:val="none"/>
              </w:rPr>
            </w:pPr>
          </w:p>
        </w:tc>
        <w:tc>
          <w:tcPr>
            <w:tcW w:w="1598" w:type="pct"/>
            <w:tcBorders>
              <w:tl2br w:val="nil"/>
              <w:tr2bl w:val="nil"/>
            </w:tcBorders>
            <w:vAlign w:val="center"/>
          </w:tcPr>
          <w:p w14:paraId="76CAA0A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名称</w:t>
            </w:r>
          </w:p>
        </w:tc>
        <w:tc>
          <w:tcPr>
            <w:tcW w:w="1491" w:type="pct"/>
            <w:tcBorders>
              <w:tl2br w:val="nil"/>
              <w:tr2bl w:val="nil"/>
            </w:tcBorders>
            <w:vAlign w:val="center"/>
          </w:tcPr>
          <w:p w14:paraId="2C3025B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浓度限值/（mg/L）</w:t>
            </w:r>
          </w:p>
        </w:tc>
      </w:tr>
      <w:tr w14:paraId="0D11D9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388" w:type="pct"/>
            <w:vMerge w:val="restart"/>
            <w:tcBorders>
              <w:tl2br w:val="nil"/>
              <w:tr2bl w:val="nil"/>
            </w:tcBorders>
            <w:vAlign w:val="center"/>
          </w:tcPr>
          <w:p w14:paraId="78C88BBA">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45" w:type="pct"/>
            <w:vMerge w:val="restart"/>
            <w:tcBorders>
              <w:tl2br w:val="nil"/>
              <w:tr2bl w:val="nil"/>
            </w:tcBorders>
            <w:vAlign w:val="center"/>
          </w:tcPr>
          <w:p w14:paraId="7C3B5216">
            <w:pPr>
              <w:pStyle w:val="41"/>
              <w:rPr>
                <w:rFonts w:hint="default" w:ascii="Times New Roman" w:hAnsi="Times New Roman" w:cs="Times New Roman"/>
                <w:color w:val="auto"/>
                <w:u w:val="none"/>
              </w:rPr>
            </w:pPr>
            <w:r>
              <w:rPr>
                <w:rFonts w:hint="default" w:ascii="Times New Roman" w:hAnsi="Times New Roman" w:cs="Times New Roman"/>
                <w:color w:val="auto"/>
                <w:u w:val="none"/>
              </w:rPr>
              <w:t>DW001</w:t>
            </w:r>
          </w:p>
        </w:tc>
        <w:tc>
          <w:tcPr>
            <w:tcW w:w="876" w:type="pct"/>
            <w:tcBorders>
              <w:tl2br w:val="nil"/>
              <w:tr2bl w:val="nil"/>
            </w:tcBorders>
            <w:vAlign w:val="center"/>
          </w:tcPr>
          <w:p w14:paraId="3C3DF10C">
            <w:pPr>
              <w:pStyle w:val="41"/>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1598" w:type="pct"/>
            <w:vMerge w:val="restart"/>
            <w:tcBorders>
              <w:tl2br w:val="nil"/>
              <w:tr2bl w:val="nil"/>
            </w:tcBorders>
            <w:vAlign w:val="center"/>
          </w:tcPr>
          <w:p w14:paraId="72B9DF61">
            <w:pPr>
              <w:pStyle w:val="41"/>
              <w:rPr>
                <w:rFonts w:hint="default" w:ascii="Times New Roman" w:hAnsi="Times New Roman" w:cs="Times New Roman"/>
                <w:color w:val="auto"/>
                <w:u w:val="none"/>
              </w:rPr>
            </w:pPr>
            <w:r>
              <w:rPr>
                <w:rFonts w:hint="default" w:ascii="Times New Roman" w:hAnsi="Times New Roman" w:cs="Times New Roman"/>
                <w:color w:val="auto"/>
                <w:u w:val="none"/>
              </w:rPr>
              <w:t>《污水综合排放标准》（GB8978-1996）中表4三级标准及临港污水处理厂的纳管协议标准</w:t>
            </w:r>
          </w:p>
        </w:tc>
        <w:tc>
          <w:tcPr>
            <w:tcW w:w="1491" w:type="pct"/>
            <w:tcBorders>
              <w:tl2br w:val="nil"/>
              <w:tr2bl w:val="nil"/>
            </w:tcBorders>
            <w:vAlign w:val="center"/>
          </w:tcPr>
          <w:p w14:paraId="348B1532">
            <w:pPr>
              <w:pStyle w:val="41"/>
              <w:rPr>
                <w:rFonts w:hint="default" w:ascii="Times New Roman" w:hAnsi="Times New Roman" w:cs="Times New Roman"/>
                <w:color w:val="auto"/>
                <w:u w:val="none"/>
              </w:rPr>
            </w:pPr>
            <w:r>
              <w:rPr>
                <w:rFonts w:hint="default" w:ascii="Times New Roman" w:hAnsi="Times New Roman" w:cs="Times New Roman"/>
                <w:color w:val="auto"/>
                <w:u w:val="none"/>
              </w:rPr>
              <w:t>6~9（无量纲）</w:t>
            </w:r>
          </w:p>
        </w:tc>
      </w:tr>
      <w:tr w14:paraId="272B7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5" w:hRule="atLeast"/>
        </w:trPr>
        <w:tc>
          <w:tcPr>
            <w:tcW w:w="388" w:type="pct"/>
            <w:vMerge w:val="continue"/>
            <w:tcBorders>
              <w:tl2br w:val="nil"/>
              <w:tr2bl w:val="nil"/>
            </w:tcBorders>
            <w:vAlign w:val="center"/>
          </w:tcPr>
          <w:p w14:paraId="771D15CE">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28F613ED">
            <w:pPr>
              <w:pStyle w:val="41"/>
              <w:rPr>
                <w:rFonts w:hint="default" w:ascii="Times New Roman" w:hAnsi="Times New Roman" w:cs="Times New Roman"/>
                <w:color w:val="auto"/>
                <w:u w:val="none"/>
              </w:rPr>
            </w:pPr>
          </w:p>
        </w:tc>
        <w:tc>
          <w:tcPr>
            <w:tcW w:w="876" w:type="pct"/>
            <w:tcBorders>
              <w:tl2br w:val="nil"/>
              <w:tr2bl w:val="nil"/>
            </w:tcBorders>
            <w:vAlign w:val="center"/>
          </w:tcPr>
          <w:p w14:paraId="39109397">
            <w:pPr>
              <w:pStyle w:val="41"/>
              <w:rPr>
                <w:rFonts w:hint="default" w:ascii="Times New Roman" w:hAnsi="Times New Roman" w:cs="Times New Roman"/>
                <w:color w:val="auto"/>
                <w:u w:val="none"/>
              </w:rPr>
            </w:pPr>
            <w:r>
              <w:rPr>
                <w:rFonts w:hint="default" w:ascii="Times New Roman" w:hAnsi="Times New Roman" w:cs="Times New Roman"/>
                <w:color w:val="auto"/>
                <w:u w:val="none"/>
              </w:rPr>
              <w:t>COD</w:t>
            </w:r>
          </w:p>
        </w:tc>
        <w:tc>
          <w:tcPr>
            <w:tcW w:w="1598" w:type="pct"/>
            <w:vMerge w:val="continue"/>
            <w:tcBorders>
              <w:tl2br w:val="nil"/>
              <w:tr2bl w:val="nil"/>
            </w:tcBorders>
            <w:vAlign w:val="center"/>
          </w:tcPr>
          <w:p w14:paraId="51E4AD9F">
            <w:pPr>
              <w:pStyle w:val="41"/>
              <w:rPr>
                <w:rFonts w:hint="default" w:ascii="Times New Roman" w:hAnsi="Times New Roman" w:cs="Times New Roman"/>
                <w:color w:val="auto"/>
                <w:u w:val="none"/>
              </w:rPr>
            </w:pPr>
          </w:p>
        </w:tc>
        <w:tc>
          <w:tcPr>
            <w:tcW w:w="1491" w:type="pct"/>
            <w:tcBorders>
              <w:tl2br w:val="nil"/>
              <w:tr2bl w:val="nil"/>
            </w:tcBorders>
            <w:vAlign w:val="center"/>
          </w:tcPr>
          <w:p w14:paraId="0CEA731E">
            <w:pPr>
              <w:pStyle w:val="41"/>
              <w:rPr>
                <w:rFonts w:hint="default" w:ascii="Times New Roman" w:hAnsi="Times New Roman" w:cs="Times New Roman"/>
                <w:color w:val="auto"/>
                <w:u w:val="none"/>
              </w:rPr>
            </w:pPr>
            <w:r>
              <w:rPr>
                <w:rFonts w:hint="default" w:ascii="Times New Roman" w:hAnsi="Times New Roman" w:cs="Times New Roman"/>
                <w:color w:val="auto"/>
                <w:u w:val="none"/>
              </w:rPr>
              <w:t>500</w:t>
            </w:r>
          </w:p>
        </w:tc>
      </w:tr>
      <w:tr w14:paraId="6E596E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388" w:type="pct"/>
            <w:vMerge w:val="continue"/>
            <w:tcBorders>
              <w:tl2br w:val="nil"/>
              <w:tr2bl w:val="nil"/>
            </w:tcBorders>
            <w:vAlign w:val="center"/>
          </w:tcPr>
          <w:p w14:paraId="30AE924A">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56513F62">
            <w:pPr>
              <w:pStyle w:val="41"/>
              <w:rPr>
                <w:rFonts w:hint="default" w:ascii="Times New Roman" w:hAnsi="Times New Roman" w:cs="Times New Roman"/>
                <w:color w:val="auto"/>
                <w:u w:val="none"/>
              </w:rPr>
            </w:pPr>
          </w:p>
        </w:tc>
        <w:tc>
          <w:tcPr>
            <w:tcW w:w="876" w:type="pct"/>
            <w:tcBorders>
              <w:tl2br w:val="nil"/>
              <w:tr2bl w:val="nil"/>
            </w:tcBorders>
            <w:vAlign w:val="center"/>
          </w:tcPr>
          <w:p w14:paraId="3EDFF3D3">
            <w:pPr>
              <w:pStyle w:val="41"/>
              <w:rPr>
                <w:rFonts w:hint="default" w:ascii="Times New Roman" w:hAnsi="Times New Roman" w:cs="Times New Roman"/>
                <w:color w:val="auto"/>
                <w:u w:val="none"/>
              </w:rPr>
            </w:pPr>
            <w:r>
              <w:rPr>
                <w:rFonts w:hint="default" w:ascii="Times New Roman" w:hAnsi="Times New Roman" w:cs="Times New Roman"/>
                <w:color w:val="auto"/>
                <w:u w:val="none"/>
              </w:rPr>
              <w:t>BOD</w:t>
            </w:r>
            <w:r>
              <w:rPr>
                <w:rFonts w:hint="default" w:ascii="Times New Roman" w:hAnsi="Times New Roman" w:cs="Times New Roman"/>
                <w:color w:val="auto"/>
                <w:u w:val="none"/>
                <w:vertAlign w:val="subscript"/>
              </w:rPr>
              <w:t>5</w:t>
            </w:r>
          </w:p>
        </w:tc>
        <w:tc>
          <w:tcPr>
            <w:tcW w:w="1598" w:type="pct"/>
            <w:vMerge w:val="continue"/>
            <w:tcBorders>
              <w:tl2br w:val="nil"/>
              <w:tr2bl w:val="nil"/>
            </w:tcBorders>
            <w:vAlign w:val="center"/>
          </w:tcPr>
          <w:p w14:paraId="59EFD0C5">
            <w:pPr>
              <w:pStyle w:val="41"/>
              <w:rPr>
                <w:rFonts w:hint="default" w:ascii="Times New Roman" w:hAnsi="Times New Roman" w:cs="Times New Roman"/>
                <w:color w:val="auto"/>
                <w:u w:val="none"/>
              </w:rPr>
            </w:pPr>
          </w:p>
        </w:tc>
        <w:tc>
          <w:tcPr>
            <w:tcW w:w="1491" w:type="pct"/>
            <w:tcBorders>
              <w:tl2br w:val="nil"/>
              <w:tr2bl w:val="nil"/>
            </w:tcBorders>
            <w:vAlign w:val="center"/>
          </w:tcPr>
          <w:p w14:paraId="1712CE32">
            <w:pPr>
              <w:pStyle w:val="41"/>
              <w:rPr>
                <w:rFonts w:hint="default" w:ascii="Times New Roman" w:hAnsi="Times New Roman" w:cs="Times New Roman"/>
                <w:color w:val="auto"/>
                <w:u w:val="none"/>
              </w:rPr>
            </w:pPr>
            <w:r>
              <w:rPr>
                <w:rFonts w:hint="default" w:ascii="Times New Roman" w:hAnsi="Times New Roman" w:cs="Times New Roman"/>
                <w:color w:val="auto"/>
                <w:u w:val="none"/>
              </w:rPr>
              <w:t>300</w:t>
            </w:r>
          </w:p>
        </w:tc>
      </w:tr>
      <w:tr w14:paraId="1857E9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388" w:type="pct"/>
            <w:vMerge w:val="continue"/>
            <w:tcBorders>
              <w:tl2br w:val="nil"/>
              <w:tr2bl w:val="nil"/>
            </w:tcBorders>
            <w:vAlign w:val="center"/>
          </w:tcPr>
          <w:p w14:paraId="27BE1462">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44145462">
            <w:pPr>
              <w:pStyle w:val="41"/>
              <w:rPr>
                <w:rFonts w:hint="default" w:ascii="Times New Roman" w:hAnsi="Times New Roman" w:cs="Times New Roman"/>
                <w:color w:val="auto"/>
                <w:u w:val="none"/>
              </w:rPr>
            </w:pPr>
          </w:p>
        </w:tc>
        <w:tc>
          <w:tcPr>
            <w:tcW w:w="876" w:type="pct"/>
            <w:tcBorders>
              <w:tl2br w:val="nil"/>
              <w:tr2bl w:val="nil"/>
            </w:tcBorders>
            <w:vAlign w:val="center"/>
          </w:tcPr>
          <w:p w14:paraId="5F597EF9">
            <w:pPr>
              <w:pStyle w:val="41"/>
              <w:rPr>
                <w:rFonts w:hint="default" w:ascii="Times New Roman" w:hAnsi="Times New Roman" w:cs="Times New Roman"/>
                <w:color w:val="auto"/>
                <w:u w:val="none"/>
              </w:rPr>
            </w:pPr>
            <w:r>
              <w:rPr>
                <w:rFonts w:hint="default" w:ascii="Times New Roman" w:hAnsi="Times New Roman" w:cs="Times New Roman"/>
                <w:color w:val="auto"/>
                <w:u w:val="none"/>
              </w:rPr>
              <w:t>SS</w:t>
            </w:r>
          </w:p>
        </w:tc>
        <w:tc>
          <w:tcPr>
            <w:tcW w:w="1598" w:type="pct"/>
            <w:vMerge w:val="continue"/>
            <w:tcBorders>
              <w:tl2br w:val="nil"/>
              <w:tr2bl w:val="nil"/>
            </w:tcBorders>
            <w:vAlign w:val="center"/>
          </w:tcPr>
          <w:p w14:paraId="50711A90">
            <w:pPr>
              <w:pStyle w:val="41"/>
              <w:rPr>
                <w:rFonts w:hint="default" w:ascii="Times New Roman" w:hAnsi="Times New Roman" w:cs="Times New Roman"/>
                <w:color w:val="auto"/>
                <w:u w:val="none"/>
              </w:rPr>
            </w:pPr>
          </w:p>
        </w:tc>
        <w:tc>
          <w:tcPr>
            <w:tcW w:w="1491" w:type="pct"/>
            <w:tcBorders>
              <w:tl2br w:val="nil"/>
              <w:tr2bl w:val="nil"/>
            </w:tcBorders>
            <w:vAlign w:val="center"/>
          </w:tcPr>
          <w:p w14:paraId="744CDC25">
            <w:pPr>
              <w:pStyle w:val="41"/>
              <w:rPr>
                <w:rFonts w:hint="default" w:ascii="Times New Roman" w:hAnsi="Times New Roman" w:cs="Times New Roman"/>
                <w:color w:val="auto"/>
                <w:u w:val="none"/>
              </w:rPr>
            </w:pPr>
            <w:r>
              <w:rPr>
                <w:rFonts w:hint="default" w:ascii="Times New Roman" w:hAnsi="Times New Roman" w:cs="Times New Roman"/>
                <w:color w:val="auto"/>
                <w:u w:val="none"/>
              </w:rPr>
              <w:t>400</w:t>
            </w:r>
          </w:p>
        </w:tc>
      </w:tr>
      <w:tr w14:paraId="05E50A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388" w:type="pct"/>
            <w:vMerge w:val="continue"/>
            <w:tcBorders>
              <w:tl2br w:val="nil"/>
              <w:tr2bl w:val="nil"/>
            </w:tcBorders>
            <w:vAlign w:val="center"/>
          </w:tcPr>
          <w:p w14:paraId="21625114">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771CC35A">
            <w:pPr>
              <w:pStyle w:val="41"/>
              <w:rPr>
                <w:rFonts w:hint="default" w:ascii="Times New Roman" w:hAnsi="Times New Roman" w:cs="Times New Roman"/>
                <w:color w:val="auto"/>
                <w:u w:val="none"/>
              </w:rPr>
            </w:pPr>
          </w:p>
        </w:tc>
        <w:tc>
          <w:tcPr>
            <w:tcW w:w="876" w:type="pct"/>
            <w:tcBorders>
              <w:tl2br w:val="nil"/>
              <w:tr2bl w:val="nil"/>
            </w:tcBorders>
            <w:vAlign w:val="center"/>
          </w:tcPr>
          <w:p w14:paraId="12A5E2AF">
            <w:pPr>
              <w:pStyle w:val="41"/>
              <w:rPr>
                <w:rFonts w:hint="default" w:ascii="Times New Roman" w:hAnsi="Times New Roman" w:cs="Times New Roman"/>
                <w:color w:val="auto"/>
                <w:u w:val="none"/>
              </w:rPr>
            </w:pPr>
            <w:r>
              <w:rPr>
                <w:rFonts w:hint="default" w:ascii="Times New Roman" w:hAnsi="Times New Roman" w:cs="Times New Roman"/>
                <w:color w:val="auto"/>
                <w:u w:val="none"/>
              </w:rPr>
              <w:t>氨氮</w:t>
            </w:r>
          </w:p>
        </w:tc>
        <w:tc>
          <w:tcPr>
            <w:tcW w:w="1598" w:type="pct"/>
            <w:vMerge w:val="continue"/>
            <w:tcBorders>
              <w:tl2br w:val="nil"/>
              <w:tr2bl w:val="nil"/>
            </w:tcBorders>
            <w:vAlign w:val="center"/>
          </w:tcPr>
          <w:p w14:paraId="19C04EE4">
            <w:pPr>
              <w:pStyle w:val="41"/>
              <w:rPr>
                <w:rFonts w:hint="default" w:ascii="Times New Roman" w:hAnsi="Times New Roman" w:cs="Times New Roman"/>
                <w:color w:val="auto"/>
                <w:u w:val="none"/>
              </w:rPr>
            </w:pPr>
          </w:p>
        </w:tc>
        <w:tc>
          <w:tcPr>
            <w:tcW w:w="1491" w:type="pct"/>
            <w:tcBorders>
              <w:tl2br w:val="nil"/>
              <w:tr2bl w:val="nil"/>
            </w:tcBorders>
            <w:vAlign w:val="center"/>
          </w:tcPr>
          <w:p w14:paraId="2E9B6A5A">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30</w:t>
            </w:r>
          </w:p>
        </w:tc>
      </w:tr>
      <w:tr w14:paraId="3B0EA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continue"/>
            <w:tcBorders>
              <w:tl2br w:val="nil"/>
              <w:tr2bl w:val="nil"/>
            </w:tcBorders>
            <w:vAlign w:val="center"/>
          </w:tcPr>
          <w:p w14:paraId="71087E27">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2CA7D38E">
            <w:pPr>
              <w:pStyle w:val="41"/>
              <w:rPr>
                <w:rFonts w:hint="default" w:ascii="Times New Roman" w:hAnsi="Times New Roman" w:cs="Times New Roman"/>
                <w:color w:val="auto"/>
                <w:u w:val="none"/>
              </w:rPr>
            </w:pPr>
          </w:p>
        </w:tc>
        <w:tc>
          <w:tcPr>
            <w:tcW w:w="876" w:type="pct"/>
            <w:tcBorders>
              <w:tl2br w:val="nil"/>
              <w:tr2bl w:val="nil"/>
            </w:tcBorders>
            <w:vAlign w:val="center"/>
          </w:tcPr>
          <w:p w14:paraId="602FB27E">
            <w:pPr>
              <w:pStyle w:val="41"/>
              <w:rPr>
                <w:rFonts w:hint="default" w:ascii="Times New Roman" w:hAnsi="Times New Roman" w:cs="Times New Roman"/>
                <w:color w:val="auto"/>
                <w:u w:val="none"/>
              </w:rPr>
            </w:pPr>
            <w:r>
              <w:rPr>
                <w:rFonts w:hint="default" w:ascii="Times New Roman" w:hAnsi="Times New Roman" w:cs="Times New Roman"/>
                <w:color w:val="auto"/>
                <w:u w:val="none"/>
              </w:rPr>
              <w:t>动植物油</w:t>
            </w:r>
          </w:p>
        </w:tc>
        <w:tc>
          <w:tcPr>
            <w:tcW w:w="1598" w:type="pct"/>
            <w:vMerge w:val="continue"/>
            <w:tcBorders>
              <w:tl2br w:val="nil"/>
              <w:tr2bl w:val="nil"/>
            </w:tcBorders>
            <w:vAlign w:val="center"/>
          </w:tcPr>
          <w:p w14:paraId="332361B7">
            <w:pPr>
              <w:pStyle w:val="41"/>
              <w:rPr>
                <w:rFonts w:hint="default" w:ascii="Times New Roman" w:hAnsi="Times New Roman" w:cs="Times New Roman"/>
                <w:color w:val="auto"/>
                <w:u w:val="none"/>
              </w:rPr>
            </w:pPr>
          </w:p>
        </w:tc>
        <w:tc>
          <w:tcPr>
            <w:tcW w:w="1491" w:type="pct"/>
            <w:tcBorders>
              <w:tl2br w:val="nil"/>
              <w:tr2bl w:val="nil"/>
            </w:tcBorders>
            <w:vAlign w:val="center"/>
          </w:tcPr>
          <w:p w14:paraId="059D1477">
            <w:pPr>
              <w:pStyle w:val="41"/>
              <w:rPr>
                <w:rFonts w:hint="default" w:ascii="Times New Roman" w:hAnsi="Times New Roman" w:cs="Times New Roman"/>
                <w:color w:val="auto"/>
                <w:u w:val="none"/>
              </w:rPr>
            </w:pPr>
            <w:r>
              <w:rPr>
                <w:rFonts w:hint="default" w:ascii="Times New Roman" w:hAnsi="Times New Roman" w:cs="Times New Roman"/>
                <w:color w:val="auto"/>
                <w:u w:val="none"/>
              </w:rPr>
              <w:t>100</w:t>
            </w:r>
          </w:p>
        </w:tc>
      </w:tr>
      <w:tr w14:paraId="19028B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restart"/>
            <w:tcBorders>
              <w:tl2br w:val="nil"/>
              <w:tr2bl w:val="nil"/>
            </w:tcBorders>
            <w:vAlign w:val="center"/>
          </w:tcPr>
          <w:p w14:paraId="45F83706">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45" w:type="pct"/>
            <w:vMerge w:val="restart"/>
            <w:tcBorders>
              <w:tl2br w:val="nil"/>
              <w:tr2bl w:val="nil"/>
            </w:tcBorders>
            <w:vAlign w:val="center"/>
          </w:tcPr>
          <w:p w14:paraId="7838E243">
            <w:pPr>
              <w:pStyle w:val="41"/>
              <w:rPr>
                <w:rFonts w:hint="default" w:ascii="Times New Roman" w:hAnsi="Times New Roman" w:cs="Times New Roman"/>
                <w:color w:val="auto"/>
                <w:u w:val="none"/>
              </w:rPr>
            </w:pPr>
            <w:r>
              <w:rPr>
                <w:rFonts w:hint="default" w:ascii="Times New Roman" w:hAnsi="Times New Roman" w:cs="Times New Roman"/>
                <w:color w:val="auto"/>
                <w:u w:val="none"/>
              </w:rPr>
              <w:t>DW002</w:t>
            </w:r>
          </w:p>
        </w:tc>
        <w:tc>
          <w:tcPr>
            <w:tcW w:w="876" w:type="pct"/>
            <w:tcBorders>
              <w:tl2br w:val="nil"/>
              <w:tr2bl w:val="nil"/>
            </w:tcBorders>
            <w:vAlign w:val="center"/>
          </w:tcPr>
          <w:p w14:paraId="27F4229D">
            <w:pPr>
              <w:pStyle w:val="41"/>
              <w:rPr>
                <w:rFonts w:hint="default" w:ascii="Times New Roman" w:hAnsi="Times New Roman" w:cs="Times New Roman"/>
                <w:color w:val="auto"/>
                <w:u w:val="none"/>
              </w:rPr>
            </w:pPr>
            <w:r>
              <w:rPr>
                <w:rFonts w:hint="default" w:ascii="Times New Roman" w:hAnsi="Times New Roman" w:cs="Times New Roman"/>
                <w:color w:val="auto"/>
                <w:u w:val="none"/>
              </w:rPr>
              <w:t>pH</w:t>
            </w:r>
          </w:p>
        </w:tc>
        <w:tc>
          <w:tcPr>
            <w:tcW w:w="1598" w:type="pct"/>
            <w:vMerge w:val="restart"/>
            <w:tcBorders>
              <w:tl2br w:val="nil"/>
              <w:tr2bl w:val="nil"/>
            </w:tcBorders>
            <w:vAlign w:val="center"/>
          </w:tcPr>
          <w:p w14:paraId="5A7A43B8">
            <w:pPr>
              <w:pStyle w:val="41"/>
              <w:rPr>
                <w:rFonts w:hint="default" w:ascii="Times New Roman" w:hAnsi="Times New Roman" w:cs="Times New Roman"/>
                <w:color w:val="auto"/>
                <w:u w:val="none"/>
              </w:rPr>
            </w:pPr>
            <w:r>
              <w:rPr>
                <w:rFonts w:hint="default" w:ascii="Times New Roman" w:hAnsi="Times New Roman" w:cs="Times New Roman"/>
                <w:color w:val="auto"/>
                <w:u w:val="none"/>
              </w:rPr>
              <w:t>湖南城陵矶临港产业新区污水处理厂</w:t>
            </w:r>
            <w:r>
              <w:rPr>
                <w:rFonts w:hint="default" w:ascii="Times New Roman" w:hAnsi="Times New Roman" w:cs="Times New Roman"/>
                <w:color w:val="auto"/>
                <w:u w:val="none"/>
                <w:lang w:val="en-US" w:eastAsia="zh-CN"/>
              </w:rPr>
              <w:t>纳管协议</w:t>
            </w:r>
            <w:r>
              <w:rPr>
                <w:rFonts w:hint="default" w:ascii="Times New Roman" w:hAnsi="Times New Roman" w:cs="Times New Roman"/>
                <w:color w:val="auto"/>
                <w:u w:val="none"/>
              </w:rPr>
              <w:t>标准</w:t>
            </w:r>
          </w:p>
        </w:tc>
        <w:tc>
          <w:tcPr>
            <w:tcW w:w="1491" w:type="pct"/>
            <w:tcBorders>
              <w:tl2br w:val="nil"/>
              <w:tr2bl w:val="nil"/>
            </w:tcBorders>
            <w:vAlign w:val="center"/>
          </w:tcPr>
          <w:p w14:paraId="4EBFD958">
            <w:pPr>
              <w:pStyle w:val="41"/>
              <w:rPr>
                <w:rFonts w:hint="default" w:ascii="Times New Roman" w:hAnsi="Times New Roman" w:cs="Times New Roman"/>
                <w:color w:val="auto"/>
                <w:u w:val="none"/>
              </w:rPr>
            </w:pPr>
            <w:r>
              <w:rPr>
                <w:rFonts w:hint="default" w:ascii="Times New Roman" w:hAnsi="Times New Roman" w:cs="Times New Roman"/>
                <w:color w:val="auto"/>
                <w:u w:val="none"/>
              </w:rPr>
              <w:t>6~9（无量纲）</w:t>
            </w:r>
          </w:p>
        </w:tc>
      </w:tr>
      <w:tr w14:paraId="679D63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continue"/>
            <w:tcBorders>
              <w:tl2br w:val="nil"/>
              <w:tr2bl w:val="nil"/>
            </w:tcBorders>
            <w:vAlign w:val="center"/>
          </w:tcPr>
          <w:p w14:paraId="56969C58">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0D077115">
            <w:pPr>
              <w:pStyle w:val="41"/>
              <w:rPr>
                <w:rFonts w:hint="default" w:ascii="Times New Roman" w:hAnsi="Times New Roman" w:cs="Times New Roman"/>
                <w:color w:val="auto"/>
                <w:u w:val="none"/>
              </w:rPr>
            </w:pPr>
          </w:p>
        </w:tc>
        <w:tc>
          <w:tcPr>
            <w:tcW w:w="876" w:type="pct"/>
            <w:tcBorders>
              <w:tl2br w:val="nil"/>
              <w:tr2bl w:val="nil"/>
            </w:tcBorders>
            <w:vAlign w:val="center"/>
          </w:tcPr>
          <w:p w14:paraId="3FA7C720">
            <w:pPr>
              <w:pStyle w:val="41"/>
              <w:rPr>
                <w:rFonts w:hint="default" w:ascii="Times New Roman" w:hAnsi="Times New Roman" w:cs="Times New Roman"/>
                <w:color w:val="auto"/>
                <w:u w:val="none"/>
              </w:rPr>
            </w:pPr>
            <w:r>
              <w:rPr>
                <w:rFonts w:hint="default" w:ascii="Times New Roman" w:hAnsi="Times New Roman" w:cs="Times New Roman"/>
                <w:color w:val="auto"/>
                <w:u w:val="none"/>
              </w:rPr>
              <w:t>COD</w:t>
            </w:r>
          </w:p>
        </w:tc>
        <w:tc>
          <w:tcPr>
            <w:tcW w:w="1598" w:type="pct"/>
            <w:vMerge w:val="continue"/>
            <w:tcBorders>
              <w:tl2br w:val="nil"/>
              <w:tr2bl w:val="nil"/>
            </w:tcBorders>
            <w:vAlign w:val="center"/>
          </w:tcPr>
          <w:p w14:paraId="4CE0754D">
            <w:pPr>
              <w:pStyle w:val="41"/>
              <w:rPr>
                <w:rFonts w:hint="default" w:ascii="Times New Roman" w:hAnsi="Times New Roman" w:cs="Times New Roman"/>
                <w:color w:val="auto"/>
                <w:u w:val="none"/>
              </w:rPr>
            </w:pPr>
          </w:p>
        </w:tc>
        <w:tc>
          <w:tcPr>
            <w:tcW w:w="1491" w:type="pct"/>
            <w:tcBorders>
              <w:tl2br w:val="nil"/>
              <w:tr2bl w:val="nil"/>
            </w:tcBorders>
            <w:vAlign w:val="center"/>
          </w:tcPr>
          <w:p w14:paraId="0A48D8D2">
            <w:pPr>
              <w:pStyle w:val="41"/>
              <w:rPr>
                <w:rFonts w:hint="default" w:ascii="Times New Roman" w:hAnsi="Times New Roman" w:cs="Times New Roman"/>
                <w:color w:val="auto"/>
                <w:u w:val="none"/>
              </w:rPr>
            </w:pPr>
            <w:r>
              <w:rPr>
                <w:rFonts w:hint="default" w:ascii="Times New Roman" w:hAnsi="Times New Roman" w:cs="Times New Roman"/>
                <w:color w:val="auto"/>
                <w:u w:val="none"/>
              </w:rPr>
              <w:t>500</w:t>
            </w:r>
          </w:p>
        </w:tc>
      </w:tr>
      <w:tr w14:paraId="3719DE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continue"/>
            <w:tcBorders>
              <w:tl2br w:val="nil"/>
              <w:tr2bl w:val="nil"/>
            </w:tcBorders>
            <w:vAlign w:val="center"/>
          </w:tcPr>
          <w:p w14:paraId="24D61221">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7709F89E">
            <w:pPr>
              <w:pStyle w:val="41"/>
              <w:rPr>
                <w:rFonts w:hint="default" w:ascii="Times New Roman" w:hAnsi="Times New Roman" w:cs="Times New Roman"/>
                <w:color w:val="auto"/>
                <w:u w:val="none"/>
              </w:rPr>
            </w:pPr>
          </w:p>
        </w:tc>
        <w:tc>
          <w:tcPr>
            <w:tcW w:w="876" w:type="pct"/>
            <w:tcBorders>
              <w:tl2br w:val="nil"/>
              <w:tr2bl w:val="nil"/>
            </w:tcBorders>
            <w:vAlign w:val="center"/>
          </w:tcPr>
          <w:p w14:paraId="01F29B96">
            <w:pPr>
              <w:pStyle w:val="41"/>
              <w:rPr>
                <w:rFonts w:hint="default" w:ascii="Times New Roman" w:hAnsi="Times New Roman" w:cs="Times New Roman"/>
                <w:color w:val="auto"/>
                <w:u w:val="none"/>
              </w:rPr>
            </w:pPr>
            <w:r>
              <w:rPr>
                <w:rFonts w:hint="default" w:ascii="Times New Roman" w:hAnsi="Times New Roman" w:cs="Times New Roman"/>
                <w:color w:val="auto"/>
                <w:u w:val="none"/>
              </w:rPr>
              <w:t>BOD</w:t>
            </w:r>
            <w:r>
              <w:rPr>
                <w:rFonts w:hint="default" w:ascii="Times New Roman" w:hAnsi="Times New Roman" w:cs="Times New Roman"/>
                <w:color w:val="auto"/>
                <w:u w:val="none"/>
                <w:vertAlign w:val="subscript"/>
              </w:rPr>
              <w:t>5</w:t>
            </w:r>
          </w:p>
        </w:tc>
        <w:tc>
          <w:tcPr>
            <w:tcW w:w="1598" w:type="pct"/>
            <w:vMerge w:val="continue"/>
            <w:tcBorders>
              <w:tl2br w:val="nil"/>
              <w:tr2bl w:val="nil"/>
            </w:tcBorders>
            <w:vAlign w:val="center"/>
          </w:tcPr>
          <w:p w14:paraId="396C0403">
            <w:pPr>
              <w:pStyle w:val="41"/>
              <w:rPr>
                <w:rFonts w:hint="default" w:ascii="Times New Roman" w:hAnsi="Times New Roman" w:cs="Times New Roman"/>
                <w:color w:val="auto"/>
                <w:u w:val="none"/>
              </w:rPr>
            </w:pPr>
          </w:p>
        </w:tc>
        <w:tc>
          <w:tcPr>
            <w:tcW w:w="1491" w:type="pct"/>
            <w:tcBorders>
              <w:tl2br w:val="nil"/>
              <w:tr2bl w:val="nil"/>
            </w:tcBorders>
            <w:vAlign w:val="center"/>
          </w:tcPr>
          <w:p w14:paraId="2BA27675">
            <w:pPr>
              <w:pStyle w:val="41"/>
              <w:rPr>
                <w:rFonts w:hint="default" w:ascii="Times New Roman" w:hAnsi="Times New Roman" w:cs="Times New Roman"/>
                <w:color w:val="auto"/>
                <w:u w:val="none"/>
              </w:rPr>
            </w:pPr>
            <w:r>
              <w:rPr>
                <w:rFonts w:hint="default" w:ascii="Times New Roman" w:hAnsi="Times New Roman" w:cs="Times New Roman"/>
                <w:color w:val="auto"/>
                <w:u w:val="none"/>
              </w:rPr>
              <w:t>300</w:t>
            </w:r>
          </w:p>
        </w:tc>
      </w:tr>
      <w:tr w14:paraId="76C14A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continue"/>
            <w:tcBorders>
              <w:tl2br w:val="nil"/>
              <w:tr2bl w:val="nil"/>
            </w:tcBorders>
            <w:vAlign w:val="center"/>
          </w:tcPr>
          <w:p w14:paraId="2D549549">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0EB63AF8">
            <w:pPr>
              <w:pStyle w:val="41"/>
              <w:rPr>
                <w:rFonts w:hint="default" w:ascii="Times New Roman" w:hAnsi="Times New Roman" w:cs="Times New Roman"/>
                <w:color w:val="auto"/>
                <w:u w:val="none"/>
              </w:rPr>
            </w:pPr>
          </w:p>
        </w:tc>
        <w:tc>
          <w:tcPr>
            <w:tcW w:w="876" w:type="pct"/>
            <w:tcBorders>
              <w:tl2br w:val="nil"/>
              <w:tr2bl w:val="nil"/>
            </w:tcBorders>
            <w:vAlign w:val="center"/>
          </w:tcPr>
          <w:p w14:paraId="7B040DA2">
            <w:pPr>
              <w:pStyle w:val="41"/>
              <w:rPr>
                <w:rFonts w:hint="default" w:ascii="Times New Roman" w:hAnsi="Times New Roman" w:cs="Times New Roman"/>
                <w:color w:val="auto"/>
                <w:u w:val="none"/>
              </w:rPr>
            </w:pPr>
            <w:r>
              <w:rPr>
                <w:rFonts w:hint="default" w:ascii="Times New Roman" w:hAnsi="Times New Roman" w:cs="Times New Roman"/>
                <w:color w:val="auto"/>
                <w:u w:val="none"/>
              </w:rPr>
              <w:t>SS</w:t>
            </w:r>
          </w:p>
        </w:tc>
        <w:tc>
          <w:tcPr>
            <w:tcW w:w="1598" w:type="pct"/>
            <w:vMerge w:val="continue"/>
            <w:tcBorders>
              <w:tl2br w:val="nil"/>
              <w:tr2bl w:val="nil"/>
            </w:tcBorders>
            <w:vAlign w:val="center"/>
          </w:tcPr>
          <w:p w14:paraId="22F4D701">
            <w:pPr>
              <w:pStyle w:val="41"/>
              <w:rPr>
                <w:rFonts w:hint="default" w:ascii="Times New Roman" w:hAnsi="Times New Roman" w:cs="Times New Roman"/>
                <w:color w:val="auto"/>
                <w:u w:val="none"/>
              </w:rPr>
            </w:pPr>
          </w:p>
        </w:tc>
        <w:tc>
          <w:tcPr>
            <w:tcW w:w="1491" w:type="pct"/>
            <w:tcBorders>
              <w:tl2br w:val="nil"/>
              <w:tr2bl w:val="nil"/>
            </w:tcBorders>
            <w:vAlign w:val="center"/>
          </w:tcPr>
          <w:p w14:paraId="4BAE76A9">
            <w:pPr>
              <w:pStyle w:val="41"/>
              <w:rPr>
                <w:rFonts w:hint="default" w:ascii="Times New Roman" w:hAnsi="Times New Roman" w:cs="Times New Roman"/>
                <w:color w:val="auto"/>
                <w:u w:val="none"/>
              </w:rPr>
            </w:pPr>
            <w:r>
              <w:rPr>
                <w:rFonts w:hint="default" w:ascii="Times New Roman" w:hAnsi="Times New Roman" w:cs="Times New Roman"/>
                <w:color w:val="auto"/>
                <w:u w:val="none"/>
              </w:rPr>
              <w:t>400</w:t>
            </w:r>
          </w:p>
        </w:tc>
      </w:tr>
      <w:tr w14:paraId="2CE470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continue"/>
            <w:tcBorders>
              <w:tl2br w:val="nil"/>
              <w:tr2bl w:val="nil"/>
            </w:tcBorders>
            <w:vAlign w:val="center"/>
          </w:tcPr>
          <w:p w14:paraId="7C8D201F">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6148AB37">
            <w:pPr>
              <w:pStyle w:val="41"/>
              <w:rPr>
                <w:rFonts w:hint="default" w:ascii="Times New Roman" w:hAnsi="Times New Roman" w:cs="Times New Roman"/>
                <w:color w:val="auto"/>
                <w:u w:val="none"/>
              </w:rPr>
            </w:pPr>
          </w:p>
        </w:tc>
        <w:tc>
          <w:tcPr>
            <w:tcW w:w="876" w:type="pct"/>
            <w:tcBorders>
              <w:tl2br w:val="nil"/>
              <w:tr2bl w:val="nil"/>
            </w:tcBorders>
            <w:vAlign w:val="center"/>
          </w:tcPr>
          <w:p w14:paraId="6950DA42">
            <w:pPr>
              <w:pStyle w:val="41"/>
              <w:rPr>
                <w:rFonts w:hint="default" w:ascii="Times New Roman" w:hAnsi="Times New Roman" w:cs="Times New Roman"/>
                <w:color w:val="auto"/>
                <w:u w:val="none"/>
              </w:rPr>
            </w:pPr>
            <w:r>
              <w:rPr>
                <w:rFonts w:hint="default" w:ascii="Times New Roman" w:hAnsi="Times New Roman" w:cs="Times New Roman"/>
                <w:color w:val="auto"/>
                <w:u w:val="none"/>
              </w:rPr>
              <w:t>氨氮</w:t>
            </w:r>
          </w:p>
        </w:tc>
        <w:tc>
          <w:tcPr>
            <w:tcW w:w="1598" w:type="pct"/>
            <w:vMerge w:val="continue"/>
            <w:tcBorders>
              <w:tl2br w:val="nil"/>
              <w:tr2bl w:val="nil"/>
            </w:tcBorders>
            <w:vAlign w:val="center"/>
          </w:tcPr>
          <w:p w14:paraId="663671C6">
            <w:pPr>
              <w:pStyle w:val="41"/>
              <w:rPr>
                <w:rFonts w:hint="default" w:ascii="Times New Roman" w:hAnsi="Times New Roman" w:cs="Times New Roman"/>
                <w:color w:val="auto"/>
                <w:u w:val="none"/>
              </w:rPr>
            </w:pPr>
          </w:p>
        </w:tc>
        <w:tc>
          <w:tcPr>
            <w:tcW w:w="1491" w:type="pct"/>
            <w:tcBorders>
              <w:tl2br w:val="nil"/>
              <w:tr2bl w:val="nil"/>
            </w:tcBorders>
            <w:vAlign w:val="center"/>
          </w:tcPr>
          <w:p w14:paraId="467AD726">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lang w:val="en-US" w:eastAsia="zh-CN"/>
              </w:rPr>
              <w:t>30</w:t>
            </w:r>
          </w:p>
        </w:tc>
      </w:tr>
      <w:tr w14:paraId="736DC2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88" w:type="pct"/>
            <w:vMerge w:val="continue"/>
            <w:tcBorders>
              <w:tl2br w:val="nil"/>
              <w:tr2bl w:val="nil"/>
            </w:tcBorders>
            <w:vAlign w:val="center"/>
          </w:tcPr>
          <w:p w14:paraId="730E1D1E">
            <w:pPr>
              <w:pStyle w:val="41"/>
              <w:rPr>
                <w:rFonts w:hint="default" w:ascii="Times New Roman" w:hAnsi="Times New Roman" w:cs="Times New Roman"/>
                <w:color w:val="auto"/>
                <w:u w:val="none"/>
              </w:rPr>
            </w:pPr>
          </w:p>
        </w:tc>
        <w:tc>
          <w:tcPr>
            <w:tcW w:w="645" w:type="pct"/>
            <w:vMerge w:val="continue"/>
            <w:tcBorders>
              <w:tl2br w:val="nil"/>
              <w:tr2bl w:val="nil"/>
            </w:tcBorders>
            <w:vAlign w:val="center"/>
          </w:tcPr>
          <w:p w14:paraId="21D252E6">
            <w:pPr>
              <w:pStyle w:val="41"/>
              <w:rPr>
                <w:rFonts w:hint="default" w:ascii="Times New Roman" w:hAnsi="Times New Roman" w:cs="Times New Roman"/>
                <w:color w:val="auto"/>
                <w:u w:val="none"/>
              </w:rPr>
            </w:pPr>
          </w:p>
        </w:tc>
        <w:tc>
          <w:tcPr>
            <w:tcW w:w="876" w:type="pct"/>
            <w:tcBorders>
              <w:tl2br w:val="nil"/>
              <w:tr2bl w:val="nil"/>
            </w:tcBorders>
            <w:vAlign w:val="center"/>
          </w:tcPr>
          <w:p w14:paraId="548B366C">
            <w:pPr>
              <w:pStyle w:val="41"/>
              <w:rPr>
                <w:rFonts w:hint="default" w:ascii="Times New Roman" w:hAnsi="Times New Roman" w:cs="Times New Roman"/>
                <w:color w:val="auto"/>
                <w:u w:val="none"/>
              </w:rPr>
            </w:pPr>
            <w:r>
              <w:rPr>
                <w:rFonts w:hint="default" w:ascii="Times New Roman" w:hAnsi="Times New Roman" w:cs="Times New Roman"/>
                <w:color w:val="auto"/>
                <w:u w:val="none"/>
              </w:rPr>
              <w:t>总磷</w:t>
            </w:r>
          </w:p>
        </w:tc>
        <w:tc>
          <w:tcPr>
            <w:tcW w:w="1598" w:type="pct"/>
            <w:vMerge w:val="continue"/>
            <w:tcBorders>
              <w:tl2br w:val="nil"/>
              <w:tr2bl w:val="nil"/>
            </w:tcBorders>
            <w:vAlign w:val="center"/>
          </w:tcPr>
          <w:p w14:paraId="0C02EB16">
            <w:pPr>
              <w:pStyle w:val="41"/>
              <w:rPr>
                <w:rFonts w:hint="default" w:ascii="Times New Roman" w:hAnsi="Times New Roman" w:cs="Times New Roman"/>
                <w:color w:val="auto"/>
                <w:u w:val="none"/>
              </w:rPr>
            </w:pPr>
          </w:p>
        </w:tc>
        <w:tc>
          <w:tcPr>
            <w:tcW w:w="1491" w:type="pct"/>
            <w:tcBorders>
              <w:tl2br w:val="nil"/>
              <w:tr2bl w:val="nil"/>
            </w:tcBorders>
            <w:vAlign w:val="center"/>
          </w:tcPr>
          <w:p w14:paraId="49E63288">
            <w:pPr>
              <w:pStyle w:val="41"/>
              <w:rPr>
                <w:rFonts w:hint="default" w:ascii="Times New Roman" w:hAnsi="Times New Roman" w:eastAsia="宋体" w:cs="Times New Roman"/>
                <w:color w:val="auto"/>
                <w:u w:val="none"/>
                <w:lang w:eastAsia="zh-CN"/>
              </w:rPr>
            </w:pPr>
            <w:r>
              <w:rPr>
                <w:rFonts w:hint="default" w:ascii="Times New Roman" w:hAnsi="Times New Roman" w:cs="Times New Roman"/>
                <w:color w:val="auto"/>
                <w:u w:val="none"/>
                <w:lang w:val="en-US" w:eastAsia="zh-CN"/>
              </w:rPr>
              <w:t>3</w:t>
            </w:r>
          </w:p>
        </w:tc>
      </w:tr>
    </w:tbl>
    <w:p w14:paraId="3BBB6DD6">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表6.2-2</w:t>
      </w:r>
      <w:r>
        <w:rPr>
          <w:rFonts w:hint="eastAsia" w:ascii="Times New Roman" w:hAnsi="Times New Roman" w:cs="Times New Roman"/>
          <w:b/>
          <w:bCs/>
          <w:color w:val="auto"/>
          <w:u w:val="none"/>
          <w:lang w:val="en-US" w:eastAsia="zh-CN"/>
        </w:rPr>
        <w:t xml:space="preserve">1  </w:t>
      </w:r>
      <w:r>
        <w:rPr>
          <w:rFonts w:hint="default" w:ascii="Times New Roman" w:hAnsi="Times New Roman" w:cs="Times New Roman"/>
          <w:b/>
          <w:bCs/>
          <w:color w:val="auto"/>
          <w:u w:val="none"/>
        </w:rPr>
        <w:t xml:space="preserve"> 废水污染物排放信息表</w:t>
      </w:r>
    </w:p>
    <w:tbl>
      <w:tblPr>
        <w:tblStyle w:val="30"/>
        <w:tblW w:w="502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 w:type="dxa"/>
          <w:bottom w:w="0" w:type="dxa"/>
          <w:right w:w="10" w:type="dxa"/>
        </w:tblCellMar>
      </w:tblPr>
      <w:tblGrid>
        <w:gridCol w:w="538"/>
        <w:gridCol w:w="1323"/>
        <w:gridCol w:w="1318"/>
        <w:gridCol w:w="1861"/>
        <w:gridCol w:w="1769"/>
        <w:gridCol w:w="1572"/>
      </w:tblGrid>
      <w:tr w14:paraId="000A10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473" w:hRule="exact"/>
          <w:jc w:val="center"/>
        </w:trPr>
        <w:tc>
          <w:tcPr>
            <w:tcW w:w="321" w:type="pct"/>
            <w:vAlign w:val="center"/>
          </w:tcPr>
          <w:p w14:paraId="5E332A8F">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序号</w:t>
            </w:r>
          </w:p>
        </w:tc>
        <w:tc>
          <w:tcPr>
            <w:tcW w:w="789" w:type="pct"/>
            <w:vAlign w:val="center"/>
          </w:tcPr>
          <w:p w14:paraId="3E750009">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排放口编号</w:t>
            </w:r>
          </w:p>
        </w:tc>
        <w:tc>
          <w:tcPr>
            <w:tcW w:w="786" w:type="pct"/>
            <w:vAlign w:val="center"/>
          </w:tcPr>
          <w:p w14:paraId="655DBD6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污染物种类</w:t>
            </w:r>
          </w:p>
        </w:tc>
        <w:tc>
          <w:tcPr>
            <w:tcW w:w="1110" w:type="pct"/>
            <w:vAlign w:val="center"/>
          </w:tcPr>
          <w:p w14:paraId="3B5F5B5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排放浓度</w:t>
            </w:r>
            <w:r>
              <w:rPr>
                <w:rFonts w:hint="default" w:ascii="Times New Roman" w:hAnsi="Times New Roman" w:cs="Times New Roman"/>
                <w:b/>
                <w:bCs/>
                <w:color w:val="auto"/>
                <w:kern w:val="2"/>
                <w:u w:val="none"/>
                <w:lang w:val="zh-TW"/>
              </w:rPr>
              <w:t>/</w:t>
            </w:r>
            <w:r>
              <w:rPr>
                <w:rFonts w:hint="default" w:ascii="Times New Roman" w:hAnsi="Times New Roman" w:cs="Times New Roman"/>
                <w:b/>
                <w:bCs/>
                <w:color w:val="auto"/>
                <w:kern w:val="2"/>
                <w:u w:val="none"/>
              </w:rPr>
              <w:t>(mg/L)</w:t>
            </w:r>
          </w:p>
        </w:tc>
        <w:tc>
          <w:tcPr>
            <w:tcW w:w="1054" w:type="pct"/>
            <w:vAlign w:val="center"/>
          </w:tcPr>
          <w:p w14:paraId="366CE941">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日排放量</w:t>
            </w:r>
            <w:r>
              <w:rPr>
                <w:rFonts w:hint="default" w:ascii="Times New Roman" w:hAnsi="Times New Roman" w:cs="Times New Roman"/>
                <w:b/>
                <w:bCs/>
                <w:color w:val="auto"/>
                <w:kern w:val="2"/>
                <w:u w:val="none"/>
                <w:lang w:val="zh-TW"/>
              </w:rPr>
              <w:t>/</w:t>
            </w:r>
            <w:r>
              <w:rPr>
                <w:rFonts w:hint="default" w:ascii="Times New Roman" w:hAnsi="Times New Roman" w:cs="Times New Roman"/>
                <w:b/>
                <w:bCs/>
                <w:color w:val="auto"/>
                <w:kern w:val="2"/>
                <w:u w:val="none"/>
              </w:rPr>
              <w:t>(t/d)</w:t>
            </w:r>
          </w:p>
        </w:tc>
        <w:tc>
          <w:tcPr>
            <w:tcW w:w="937" w:type="pct"/>
            <w:vAlign w:val="center"/>
          </w:tcPr>
          <w:p w14:paraId="2ED381BC">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年排放量</w:t>
            </w:r>
            <w:r>
              <w:rPr>
                <w:rFonts w:hint="default" w:ascii="Times New Roman" w:hAnsi="Times New Roman" w:cs="Times New Roman"/>
                <w:b/>
                <w:bCs/>
                <w:color w:val="auto"/>
                <w:kern w:val="2"/>
                <w:u w:val="none"/>
                <w:lang w:val="zh-TW"/>
              </w:rPr>
              <w:t>/</w:t>
            </w:r>
            <w:r>
              <w:rPr>
                <w:rFonts w:hint="default" w:ascii="Times New Roman" w:hAnsi="Times New Roman" w:cs="Times New Roman"/>
                <w:b/>
                <w:bCs/>
                <w:color w:val="auto"/>
                <w:kern w:val="2"/>
                <w:u w:val="none"/>
              </w:rPr>
              <w:t>(t/a)</w:t>
            </w:r>
          </w:p>
        </w:tc>
      </w:tr>
      <w:tr w14:paraId="378A7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restart"/>
            <w:vAlign w:val="center"/>
          </w:tcPr>
          <w:p w14:paraId="5C8DC2D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2</w:t>
            </w:r>
          </w:p>
        </w:tc>
        <w:tc>
          <w:tcPr>
            <w:tcW w:w="789" w:type="pct"/>
            <w:vMerge w:val="restart"/>
            <w:vAlign w:val="center"/>
          </w:tcPr>
          <w:p w14:paraId="1B321BA0">
            <w:pPr>
              <w:pStyle w:val="41"/>
              <w:rPr>
                <w:rFonts w:hint="default" w:ascii="Times New Roman" w:hAnsi="Times New Roman" w:eastAsia="宋体" w:cs="Times New Roman"/>
                <w:color w:val="auto"/>
                <w:kern w:val="2"/>
                <w:u w:val="none"/>
                <w:lang w:eastAsia="zh-CN"/>
              </w:rPr>
            </w:pPr>
            <w:r>
              <w:rPr>
                <w:rFonts w:hint="default" w:ascii="Times New Roman" w:hAnsi="Times New Roman" w:cs="Times New Roman"/>
                <w:color w:val="auto"/>
                <w:kern w:val="2"/>
                <w:u w:val="none"/>
              </w:rPr>
              <w:t>DW00</w:t>
            </w:r>
            <w:r>
              <w:rPr>
                <w:rFonts w:hint="default" w:ascii="Times New Roman" w:hAnsi="Times New Roman" w:cs="Times New Roman"/>
                <w:color w:val="auto"/>
                <w:kern w:val="2"/>
                <w:u w:val="none"/>
                <w:lang w:val="en-US" w:eastAsia="zh-CN"/>
              </w:rPr>
              <w:t>1</w:t>
            </w:r>
          </w:p>
        </w:tc>
        <w:tc>
          <w:tcPr>
            <w:tcW w:w="786" w:type="pct"/>
            <w:vAlign w:val="center"/>
          </w:tcPr>
          <w:p w14:paraId="311A6C70">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COD</w:t>
            </w:r>
            <w:r>
              <w:rPr>
                <w:rFonts w:hint="default" w:ascii="Times New Roman" w:hAnsi="Times New Roman" w:cs="Times New Roman"/>
                <w:color w:val="auto"/>
                <w:kern w:val="2"/>
                <w:u w:val="none"/>
                <w:vertAlign w:val="subscript"/>
              </w:rPr>
              <w:t>cr</w:t>
            </w:r>
          </w:p>
        </w:tc>
        <w:tc>
          <w:tcPr>
            <w:tcW w:w="1110" w:type="pct"/>
            <w:vAlign w:val="center"/>
          </w:tcPr>
          <w:p w14:paraId="2DE1E4E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w:t>
            </w:r>
          </w:p>
        </w:tc>
        <w:tc>
          <w:tcPr>
            <w:tcW w:w="1769" w:type="dxa"/>
            <w:vAlign w:val="bottom"/>
          </w:tcPr>
          <w:p w14:paraId="34E92AD8">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0.000038</w:t>
            </w:r>
          </w:p>
        </w:tc>
        <w:tc>
          <w:tcPr>
            <w:tcW w:w="1572" w:type="dxa"/>
            <w:vAlign w:val="bottom"/>
          </w:tcPr>
          <w:p w14:paraId="57A17C32">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0.0114</w:t>
            </w:r>
          </w:p>
        </w:tc>
      </w:tr>
      <w:tr w14:paraId="207BE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continue"/>
            <w:vAlign w:val="center"/>
          </w:tcPr>
          <w:p w14:paraId="10AB7CE4">
            <w:pPr>
              <w:pStyle w:val="41"/>
              <w:rPr>
                <w:rFonts w:hint="default" w:ascii="Times New Roman" w:hAnsi="Times New Roman" w:cs="Times New Roman"/>
                <w:color w:val="auto"/>
                <w:kern w:val="2"/>
                <w:u w:val="none"/>
              </w:rPr>
            </w:pPr>
          </w:p>
        </w:tc>
        <w:tc>
          <w:tcPr>
            <w:tcW w:w="789" w:type="pct"/>
            <w:vMerge w:val="continue"/>
            <w:vAlign w:val="center"/>
          </w:tcPr>
          <w:p w14:paraId="677CBE8E">
            <w:pPr>
              <w:pStyle w:val="41"/>
              <w:rPr>
                <w:rFonts w:hint="default" w:ascii="Times New Roman" w:hAnsi="Times New Roman" w:cs="Times New Roman"/>
                <w:color w:val="auto"/>
                <w:kern w:val="2"/>
                <w:u w:val="none"/>
              </w:rPr>
            </w:pPr>
          </w:p>
        </w:tc>
        <w:tc>
          <w:tcPr>
            <w:tcW w:w="786" w:type="pct"/>
            <w:vAlign w:val="center"/>
          </w:tcPr>
          <w:p w14:paraId="6F227EE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BOD</w:t>
            </w:r>
            <w:r>
              <w:rPr>
                <w:rFonts w:hint="default" w:ascii="Times New Roman" w:hAnsi="Times New Roman" w:cs="Times New Roman"/>
                <w:color w:val="auto"/>
                <w:kern w:val="2"/>
                <w:u w:val="none"/>
                <w:vertAlign w:val="subscript"/>
              </w:rPr>
              <w:t>5</w:t>
            </w:r>
          </w:p>
        </w:tc>
        <w:tc>
          <w:tcPr>
            <w:tcW w:w="1110" w:type="pct"/>
            <w:vAlign w:val="center"/>
          </w:tcPr>
          <w:p w14:paraId="49D9BD2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w:t>
            </w:r>
          </w:p>
        </w:tc>
        <w:tc>
          <w:tcPr>
            <w:tcW w:w="1769" w:type="dxa"/>
            <w:vAlign w:val="bottom"/>
          </w:tcPr>
          <w:p w14:paraId="26E1466D">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0.0000076</w:t>
            </w:r>
          </w:p>
        </w:tc>
        <w:tc>
          <w:tcPr>
            <w:tcW w:w="1572" w:type="dxa"/>
            <w:vAlign w:val="bottom"/>
          </w:tcPr>
          <w:p w14:paraId="55F709DF">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0.00228</w:t>
            </w:r>
          </w:p>
        </w:tc>
      </w:tr>
      <w:tr w14:paraId="0CBE6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continue"/>
            <w:vAlign w:val="center"/>
          </w:tcPr>
          <w:p w14:paraId="42BE280D">
            <w:pPr>
              <w:pStyle w:val="41"/>
              <w:rPr>
                <w:rFonts w:hint="default" w:ascii="Times New Roman" w:hAnsi="Times New Roman" w:cs="Times New Roman"/>
                <w:color w:val="auto"/>
                <w:kern w:val="2"/>
                <w:u w:val="none"/>
              </w:rPr>
            </w:pPr>
          </w:p>
        </w:tc>
        <w:tc>
          <w:tcPr>
            <w:tcW w:w="789" w:type="pct"/>
            <w:vMerge w:val="continue"/>
            <w:vAlign w:val="center"/>
          </w:tcPr>
          <w:p w14:paraId="2A1108DF">
            <w:pPr>
              <w:pStyle w:val="41"/>
              <w:rPr>
                <w:rFonts w:hint="default" w:ascii="Times New Roman" w:hAnsi="Times New Roman" w:cs="Times New Roman"/>
                <w:color w:val="auto"/>
                <w:kern w:val="2"/>
                <w:u w:val="none"/>
              </w:rPr>
            </w:pPr>
          </w:p>
        </w:tc>
        <w:tc>
          <w:tcPr>
            <w:tcW w:w="786" w:type="pct"/>
            <w:vAlign w:val="center"/>
          </w:tcPr>
          <w:p w14:paraId="45AD18BD">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SS</w:t>
            </w:r>
          </w:p>
        </w:tc>
        <w:tc>
          <w:tcPr>
            <w:tcW w:w="1110" w:type="pct"/>
            <w:vAlign w:val="center"/>
          </w:tcPr>
          <w:p w14:paraId="1A51272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w:t>
            </w:r>
          </w:p>
        </w:tc>
        <w:tc>
          <w:tcPr>
            <w:tcW w:w="1769" w:type="dxa"/>
            <w:vAlign w:val="bottom"/>
          </w:tcPr>
          <w:p w14:paraId="30FEB86E">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0.0000076</w:t>
            </w:r>
          </w:p>
        </w:tc>
        <w:tc>
          <w:tcPr>
            <w:tcW w:w="1572" w:type="dxa"/>
            <w:vAlign w:val="bottom"/>
          </w:tcPr>
          <w:p w14:paraId="3DF06F57">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0.00228</w:t>
            </w:r>
          </w:p>
        </w:tc>
      </w:tr>
      <w:tr w14:paraId="3B516F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continue"/>
            <w:vAlign w:val="center"/>
          </w:tcPr>
          <w:p w14:paraId="08717778">
            <w:pPr>
              <w:pStyle w:val="41"/>
              <w:rPr>
                <w:rFonts w:hint="default" w:ascii="Times New Roman" w:hAnsi="Times New Roman" w:cs="Times New Roman"/>
                <w:color w:val="auto"/>
                <w:kern w:val="2"/>
                <w:u w:val="none"/>
              </w:rPr>
            </w:pPr>
          </w:p>
        </w:tc>
        <w:tc>
          <w:tcPr>
            <w:tcW w:w="789" w:type="pct"/>
            <w:vMerge w:val="continue"/>
            <w:vAlign w:val="center"/>
          </w:tcPr>
          <w:p w14:paraId="0AD25D0B">
            <w:pPr>
              <w:pStyle w:val="41"/>
              <w:rPr>
                <w:rFonts w:hint="default" w:ascii="Times New Roman" w:hAnsi="Times New Roman" w:cs="Times New Roman"/>
                <w:color w:val="auto"/>
                <w:kern w:val="2"/>
                <w:u w:val="none"/>
              </w:rPr>
            </w:pPr>
          </w:p>
        </w:tc>
        <w:tc>
          <w:tcPr>
            <w:tcW w:w="786" w:type="pct"/>
            <w:vAlign w:val="center"/>
          </w:tcPr>
          <w:p w14:paraId="4914593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NH</w:t>
            </w:r>
            <w:r>
              <w:rPr>
                <w:rFonts w:hint="default" w:ascii="Times New Roman" w:hAnsi="Times New Roman" w:cs="Times New Roman"/>
                <w:color w:val="auto"/>
                <w:kern w:val="2"/>
                <w:u w:val="none"/>
                <w:vertAlign w:val="subscript"/>
              </w:rPr>
              <w:t>3</w:t>
            </w:r>
            <w:r>
              <w:rPr>
                <w:rFonts w:hint="default" w:ascii="Times New Roman" w:hAnsi="Times New Roman" w:cs="Times New Roman"/>
                <w:color w:val="auto"/>
                <w:kern w:val="2"/>
                <w:u w:val="none"/>
              </w:rPr>
              <w:t>-N</w:t>
            </w:r>
          </w:p>
        </w:tc>
        <w:tc>
          <w:tcPr>
            <w:tcW w:w="1110" w:type="pct"/>
            <w:vAlign w:val="center"/>
          </w:tcPr>
          <w:p w14:paraId="4692229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w:t>
            </w:r>
          </w:p>
        </w:tc>
        <w:tc>
          <w:tcPr>
            <w:tcW w:w="1769" w:type="dxa"/>
            <w:vAlign w:val="bottom"/>
          </w:tcPr>
          <w:p w14:paraId="665684D4">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0.0000038</w:t>
            </w:r>
          </w:p>
        </w:tc>
        <w:tc>
          <w:tcPr>
            <w:tcW w:w="1572" w:type="dxa"/>
            <w:vAlign w:val="bottom"/>
          </w:tcPr>
          <w:p w14:paraId="10DD7A39">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0.00114</w:t>
            </w:r>
          </w:p>
        </w:tc>
      </w:tr>
      <w:tr w14:paraId="20FF7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continue"/>
            <w:vAlign w:val="center"/>
          </w:tcPr>
          <w:p w14:paraId="6B5D2C80">
            <w:pPr>
              <w:pStyle w:val="41"/>
              <w:rPr>
                <w:rFonts w:hint="default" w:ascii="Times New Roman" w:hAnsi="Times New Roman" w:cs="Times New Roman"/>
                <w:color w:val="auto"/>
                <w:kern w:val="2"/>
                <w:u w:val="none"/>
              </w:rPr>
            </w:pPr>
          </w:p>
        </w:tc>
        <w:tc>
          <w:tcPr>
            <w:tcW w:w="789" w:type="pct"/>
            <w:vMerge w:val="continue"/>
            <w:vAlign w:val="center"/>
          </w:tcPr>
          <w:p w14:paraId="52665D59">
            <w:pPr>
              <w:pStyle w:val="41"/>
              <w:rPr>
                <w:rFonts w:hint="default" w:ascii="Times New Roman" w:hAnsi="Times New Roman" w:cs="Times New Roman"/>
                <w:color w:val="auto"/>
                <w:kern w:val="2"/>
                <w:u w:val="none"/>
              </w:rPr>
            </w:pPr>
          </w:p>
        </w:tc>
        <w:tc>
          <w:tcPr>
            <w:tcW w:w="786" w:type="pct"/>
            <w:vAlign w:val="center"/>
          </w:tcPr>
          <w:p w14:paraId="2735A7B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TP</w:t>
            </w:r>
          </w:p>
        </w:tc>
        <w:tc>
          <w:tcPr>
            <w:tcW w:w="1110" w:type="pct"/>
            <w:vAlign w:val="center"/>
          </w:tcPr>
          <w:p w14:paraId="3B275E57">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0.5</w:t>
            </w:r>
          </w:p>
        </w:tc>
        <w:tc>
          <w:tcPr>
            <w:tcW w:w="1769" w:type="dxa"/>
            <w:vAlign w:val="bottom"/>
          </w:tcPr>
          <w:p w14:paraId="2BA19BF2">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0.00000038</w:t>
            </w:r>
          </w:p>
        </w:tc>
        <w:tc>
          <w:tcPr>
            <w:tcW w:w="1572" w:type="dxa"/>
            <w:vAlign w:val="bottom"/>
          </w:tcPr>
          <w:p w14:paraId="51EBEEA9">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0.000114</w:t>
            </w:r>
          </w:p>
        </w:tc>
      </w:tr>
      <w:tr w14:paraId="58C47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restart"/>
            <w:vAlign w:val="center"/>
          </w:tcPr>
          <w:p w14:paraId="0FF52BD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w:t>
            </w:r>
          </w:p>
        </w:tc>
        <w:tc>
          <w:tcPr>
            <w:tcW w:w="789" w:type="pct"/>
            <w:vMerge w:val="restart"/>
            <w:vAlign w:val="center"/>
          </w:tcPr>
          <w:p w14:paraId="5A6AA9C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DW002</w:t>
            </w:r>
          </w:p>
        </w:tc>
        <w:tc>
          <w:tcPr>
            <w:tcW w:w="786" w:type="pct"/>
            <w:vAlign w:val="center"/>
          </w:tcPr>
          <w:p w14:paraId="3DD99363">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COD</w:t>
            </w:r>
            <w:r>
              <w:rPr>
                <w:rFonts w:hint="default" w:ascii="Times New Roman" w:hAnsi="Times New Roman" w:cs="Times New Roman"/>
                <w:color w:val="auto"/>
                <w:kern w:val="2"/>
                <w:u w:val="none"/>
                <w:vertAlign w:val="subscript"/>
              </w:rPr>
              <w:t>cr</w:t>
            </w:r>
          </w:p>
        </w:tc>
        <w:tc>
          <w:tcPr>
            <w:tcW w:w="1110" w:type="pct"/>
            <w:vAlign w:val="center"/>
          </w:tcPr>
          <w:p w14:paraId="0E1AD24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50</w:t>
            </w:r>
          </w:p>
        </w:tc>
        <w:tc>
          <w:tcPr>
            <w:tcW w:w="1769" w:type="dxa"/>
            <w:vAlign w:val="bottom"/>
          </w:tcPr>
          <w:p w14:paraId="3A430F72">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0.002173335</w:t>
            </w:r>
          </w:p>
        </w:tc>
        <w:tc>
          <w:tcPr>
            <w:tcW w:w="1572" w:type="dxa"/>
            <w:vAlign w:val="bottom"/>
          </w:tcPr>
          <w:p w14:paraId="097B4A98">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0.6520005</w:t>
            </w:r>
          </w:p>
        </w:tc>
      </w:tr>
      <w:tr w14:paraId="42B84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continue"/>
            <w:vAlign w:val="center"/>
          </w:tcPr>
          <w:p w14:paraId="71359096">
            <w:pPr>
              <w:pStyle w:val="41"/>
              <w:rPr>
                <w:rFonts w:hint="default" w:ascii="Times New Roman" w:hAnsi="Times New Roman" w:cs="Times New Roman"/>
                <w:color w:val="auto"/>
                <w:kern w:val="2"/>
                <w:u w:val="none"/>
              </w:rPr>
            </w:pPr>
          </w:p>
        </w:tc>
        <w:tc>
          <w:tcPr>
            <w:tcW w:w="789" w:type="pct"/>
            <w:vMerge w:val="continue"/>
            <w:vAlign w:val="center"/>
          </w:tcPr>
          <w:p w14:paraId="6B090C7D">
            <w:pPr>
              <w:pStyle w:val="41"/>
              <w:rPr>
                <w:rFonts w:hint="default" w:ascii="Times New Roman" w:hAnsi="Times New Roman" w:cs="Times New Roman"/>
                <w:color w:val="auto"/>
                <w:kern w:val="2"/>
                <w:u w:val="none"/>
              </w:rPr>
            </w:pPr>
          </w:p>
        </w:tc>
        <w:tc>
          <w:tcPr>
            <w:tcW w:w="786" w:type="pct"/>
            <w:vAlign w:val="center"/>
          </w:tcPr>
          <w:p w14:paraId="5AED55A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BOD</w:t>
            </w:r>
            <w:r>
              <w:rPr>
                <w:rFonts w:hint="default" w:ascii="Times New Roman" w:hAnsi="Times New Roman" w:cs="Times New Roman"/>
                <w:color w:val="auto"/>
                <w:kern w:val="2"/>
                <w:u w:val="none"/>
                <w:vertAlign w:val="subscript"/>
              </w:rPr>
              <w:t>5</w:t>
            </w:r>
          </w:p>
        </w:tc>
        <w:tc>
          <w:tcPr>
            <w:tcW w:w="1110" w:type="pct"/>
            <w:vAlign w:val="center"/>
          </w:tcPr>
          <w:p w14:paraId="15BA9D5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w:t>
            </w:r>
          </w:p>
        </w:tc>
        <w:tc>
          <w:tcPr>
            <w:tcW w:w="1769" w:type="dxa"/>
            <w:vAlign w:val="bottom"/>
          </w:tcPr>
          <w:p w14:paraId="2828E0E5">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0.000434667</w:t>
            </w:r>
          </w:p>
        </w:tc>
        <w:tc>
          <w:tcPr>
            <w:tcW w:w="1572" w:type="dxa"/>
            <w:vAlign w:val="bottom"/>
          </w:tcPr>
          <w:p w14:paraId="4C131703">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0.1304001</w:t>
            </w:r>
          </w:p>
        </w:tc>
      </w:tr>
      <w:tr w14:paraId="1AE56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33" w:hRule="exact"/>
          <w:jc w:val="center"/>
        </w:trPr>
        <w:tc>
          <w:tcPr>
            <w:tcW w:w="321" w:type="pct"/>
            <w:vMerge w:val="continue"/>
            <w:vAlign w:val="center"/>
          </w:tcPr>
          <w:p w14:paraId="4E3A68E8">
            <w:pPr>
              <w:pStyle w:val="41"/>
              <w:rPr>
                <w:rFonts w:hint="default" w:ascii="Times New Roman" w:hAnsi="Times New Roman" w:cs="Times New Roman"/>
                <w:color w:val="auto"/>
                <w:kern w:val="2"/>
                <w:u w:val="none"/>
              </w:rPr>
            </w:pPr>
          </w:p>
        </w:tc>
        <w:tc>
          <w:tcPr>
            <w:tcW w:w="789" w:type="pct"/>
            <w:vMerge w:val="continue"/>
            <w:vAlign w:val="center"/>
          </w:tcPr>
          <w:p w14:paraId="3730CB11">
            <w:pPr>
              <w:pStyle w:val="41"/>
              <w:rPr>
                <w:rFonts w:hint="default" w:ascii="Times New Roman" w:hAnsi="Times New Roman" w:cs="Times New Roman"/>
                <w:color w:val="auto"/>
                <w:kern w:val="2"/>
                <w:u w:val="none"/>
              </w:rPr>
            </w:pPr>
          </w:p>
        </w:tc>
        <w:tc>
          <w:tcPr>
            <w:tcW w:w="786" w:type="pct"/>
            <w:vAlign w:val="center"/>
          </w:tcPr>
          <w:p w14:paraId="414EE9B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SS</w:t>
            </w:r>
          </w:p>
        </w:tc>
        <w:tc>
          <w:tcPr>
            <w:tcW w:w="1110" w:type="pct"/>
            <w:vAlign w:val="center"/>
          </w:tcPr>
          <w:p w14:paraId="4C273988">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10</w:t>
            </w:r>
          </w:p>
        </w:tc>
        <w:tc>
          <w:tcPr>
            <w:tcW w:w="1769" w:type="dxa"/>
            <w:vAlign w:val="bottom"/>
          </w:tcPr>
          <w:p w14:paraId="7210CEB3">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0.000434667</w:t>
            </w:r>
          </w:p>
        </w:tc>
        <w:tc>
          <w:tcPr>
            <w:tcW w:w="1572" w:type="dxa"/>
            <w:vAlign w:val="bottom"/>
          </w:tcPr>
          <w:p w14:paraId="50FDABF5">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0.1304001</w:t>
            </w:r>
          </w:p>
        </w:tc>
      </w:tr>
      <w:tr w14:paraId="54627E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3" w:hRule="exact"/>
          <w:jc w:val="center"/>
        </w:trPr>
        <w:tc>
          <w:tcPr>
            <w:tcW w:w="321" w:type="pct"/>
            <w:vMerge w:val="continue"/>
            <w:vAlign w:val="center"/>
          </w:tcPr>
          <w:p w14:paraId="6F3F8C61">
            <w:pPr>
              <w:pStyle w:val="41"/>
              <w:rPr>
                <w:rFonts w:hint="default" w:ascii="Times New Roman" w:hAnsi="Times New Roman" w:cs="Times New Roman"/>
                <w:color w:val="auto"/>
                <w:kern w:val="2"/>
                <w:u w:val="none"/>
              </w:rPr>
            </w:pPr>
          </w:p>
        </w:tc>
        <w:tc>
          <w:tcPr>
            <w:tcW w:w="789" w:type="pct"/>
            <w:vMerge w:val="continue"/>
            <w:vAlign w:val="center"/>
          </w:tcPr>
          <w:p w14:paraId="57E79478">
            <w:pPr>
              <w:pStyle w:val="41"/>
              <w:rPr>
                <w:rFonts w:hint="default" w:ascii="Times New Roman" w:hAnsi="Times New Roman" w:cs="Times New Roman"/>
                <w:color w:val="auto"/>
                <w:kern w:val="2"/>
                <w:u w:val="none"/>
              </w:rPr>
            </w:pPr>
          </w:p>
        </w:tc>
        <w:tc>
          <w:tcPr>
            <w:tcW w:w="786" w:type="pct"/>
            <w:vAlign w:val="center"/>
          </w:tcPr>
          <w:p w14:paraId="4C24998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NH</w:t>
            </w:r>
            <w:r>
              <w:rPr>
                <w:rFonts w:hint="default" w:ascii="Times New Roman" w:hAnsi="Times New Roman" w:cs="Times New Roman"/>
                <w:color w:val="auto"/>
                <w:kern w:val="2"/>
                <w:u w:val="none"/>
                <w:vertAlign w:val="subscript"/>
              </w:rPr>
              <w:t>3</w:t>
            </w:r>
            <w:r>
              <w:rPr>
                <w:rFonts w:hint="default" w:ascii="Times New Roman" w:hAnsi="Times New Roman" w:cs="Times New Roman"/>
                <w:color w:val="auto"/>
                <w:kern w:val="2"/>
                <w:u w:val="none"/>
              </w:rPr>
              <w:t>-N</w:t>
            </w:r>
          </w:p>
        </w:tc>
        <w:tc>
          <w:tcPr>
            <w:tcW w:w="1110" w:type="pct"/>
            <w:vAlign w:val="center"/>
          </w:tcPr>
          <w:p w14:paraId="36A72C74">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5</w:t>
            </w:r>
          </w:p>
        </w:tc>
        <w:tc>
          <w:tcPr>
            <w:tcW w:w="1769" w:type="dxa"/>
            <w:vAlign w:val="bottom"/>
          </w:tcPr>
          <w:p w14:paraId="7F96D8BB">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0.000217334</w:t>
            </w:r>
          </w:p>
        </w:tc>
        <w:tc>
          <w:tcPr>
            <w:tcW w:w="1572" w:type="dxa"/>
            <w:vAlign w:val="bottom"/>
          </w:tcPr>
          <w:p w14:paraId="77A374D2">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0.06520005</w:t>
            </w:r>
          </w:p>
        </w:tc>
      </w:tr>
      <w:tr w14:paraId="268CEB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83" w:hRule="exact"/>
          <w:jc w:val="center"/>
        </w:trPr>
        <w:tc>
          <w:tcPr>
            <w:tcW w:w="321" w:type="pct"/>
            <w:vMerge w:val="continue"/>
            <w:vAlign w:val="center"/>
          </w:tcPr>
          <w:p w14:paraId="1FA2904D">
            <w:pPr>
              <w:pStyle w:val="41"/>
              <w:rPr>
                <w:rFonts w:hint="default" w:ascii="Times New Roman" w:hAnsi="Times New Roman" w:cs="Times New Roman"/>
                <w:color w:val="auto"/>
                <w:kern w:val="2"/>
                <w:u w:val="none"/>
              </w:rPr>
            </w:pPr>
          </w:p>
        </w:tc>
        <w:tc>
          <w:tcPr>
            <w:tcW w:w="789" w:type="pct"/>
            <w:vMerge w:val="continue"/>
            <w:vAlign w:val="center"/>
          </w:tcPr>
          <w:p w14:paraId="255EFE7E">
            <w:pPr>
              <w:pStyle w:val="41"/>
              <w:rPr>
                <w:rFonts w:hint="default" w:ascii="Times New Roman" w:hAnsi="Times New Roman" w:cs="Times New Roman"/>
                <w:color w:val="auto"/>
                <w:kern w:val="2"/>
                <w:u w:val="none"/>
              </w:rPr>
            </w:pPr>
          </w:p>
        </w:tc>
        <w:tc>
          <w:tcPr>
            <w:tcW w:w="786" w:type="pct"/>
            <w:vAlign w:val="center"/>
          </w:tcPr>
          <w:p w14:paraId="192867E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TP</w:t>
            </w:r>
          </w:p>
        </w:tc>
        <w:tc>
          <w:tcPr>
            <w:tcW w:w="1110" w:type="pct"/>
            <w:vAlign w:val="center"/>
          </w:tcPr>
          <w:p w14:paraId="3422872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0.5</w:t>
            </w:r>
          </w:p>
        </w:tc>
        <w:tc>
          <w:tcPr>
            <w:tcW w:w="1769" w:type="dxa"/>
            <w:vAlign w:val="bottom"/>
          </w:tcPr>
          <w:p w14:paraId="46E116C5">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2.17334E-05</w:t>
            </w:r>
          </w:p>
        </w:tc>
        <w:tc>
          <w:tcPr>
            <w:tcW w:w="1572" w:type="dxa"/>
            <w:vAlign w:val="bottom"/>
          </w:tcPr>
          <w:p w14:paraId="62D997C1">
            <w:pPr>
              <w:pStyle w:val="41"/>
              <w:rPr>
                <w:rFonts w:hint="default" w:ascii="Times New Roman" w:hAnsi="Times New Roman" w:eastAsia="宋体" w:cs="Times New Roman"/>
                <w:color w:val="auto"/>
                <w:kern w:val="2"/>
                <w:u w:val="none"/>
              </w:rPr>
            </w:pPr>
            <w:r>
              <w:rPr>
                <w:rFonts w:hint="eastAsia" w:ascii="Times New Roman" w:hAnsi="Times New Roman" w:eastAsia="宋体" w:cs="Times New Roman"/>
                <w:color w:val="auto"/>
                <w:kern w:val="2"/>
                <w:u w:val="none"/>
                <w:lang w:val="en-US" w:eastAsia="zh-CN"/>
              </w:rPr>
              <w:t>0.006520005</w:t>
            </w:r>
          </w:p>
        </w:tc>
      </w:tr>
      <w:tr w14:paraId="79D894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7" w:hRule="exact"/>
          <w:jc w:val="center"/>
        </w:trPr>
        <w:tc>
          <w:tcPr>
            <w:tcW w:w="1110" w:type="pct"/>
            <w:gridSpan w:val="2"/>
            <w:vMerge w:val="restart"/>
            <w:vAlign w:val="center"/>
          </w:tcPr>
          <w:p w14:paraId="74C1E0B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全厂排放口合计</w:t>
            </w:r>
          </w:p>
        </w:tc>
        <w:tc>
          <w:tcPr>
            <w:tcW w:w="2951" w:type="pct"/>
            <w:gridSpan w:val="3"/>
            <w:vAlign w:val="center"/>
          </w:tcPr>
          <w:p w14:paraId="5718AFB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COD</w:t>
            </w:r>
            <w:r>
              <w:rPr>
                <w:rFonts w:hint="default" w:ascii="Times New Roman" w:hAnsi="Times New Roman" w:cs="Times New Roman"/>
                <w:color w:val="auto"/>
                <w:kern w:val="2"/>
                <w:u w:val="none"/>
                <w:vertAlign w:val="subscript"/>
              </w:rPr>
              <w:t>cr</w:t>
            </w:r>
          </w:p>
        </w:tc>
        <w:tc>
          <w:tcPr>
            <w:tcW w:w="1572" w:type="dxa"/>
            <w:vAlign w:val="center"/>
          </w:tcPr>
          <w:p w14:paraId="2A90B482">
            <w:pPr>
              <w:pStyle w:val="45"/>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0.6634</w:t>
            </w:r>
          </w:p>
        </w:tc>
      </w:tr>
      <w:tr w14:paraId="64A19C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7" w:hRule="exact"/>
          <w:jc w:val="center"/>
        </w:trPr>
        <w:tc>
          <w:tcPr>
            <w:tcW w:w="1110" w:type="pct"/>
            <w:gridSpan w:val="2"/>
            <w:vMerge w:val="continue"/>
            <w:vAlign w:val="center"/>
          </w:tcPr>
          <w:p w14:paraId="273774CD">
            <w:pPr>
              <w:pStyle w:val="41"/>
              <w:rPr>
                <w:rFonts w:hint="default" w:ascii="Times New Roman" w:hAnsi="Times New Roman" w:cs="Times New Roman"/>
                <w:color w:val="auto"/>
                <w:kern w:val="2"/>
                <w:u w:val="none"/>
              </w:rPr>
            </w:pPr>
          </w:p>
        </w:tc>
        <w:tc>
          <w:tcPr>
            <w:tcW w:w="2951" w:type="pct"/>
            <w:gridSpan w:val="3"/>
            <w:vAlign w:val="center"/>
          </w:tcPr>
          <w:p w14:paraId="37A725B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BOD</w:t>
            </w:r>
            <w:r>
              <w:rPr>
                <w:rFonts w:hint="default" w:ascii="Times New Roman" w:hAnsi="Times New Roman" w:cs="Times New Roman"/>
                <w:color w:val="auto"/>
                <w:kern w:val="2"/>
                <w:u w:val="none"/>
                <w:vertAlign w:val="subscript"/>
              </w:rPr>
              <w:t>5</w:t>
            </w:r>
          </w:p>
        </w:tc>
        <w:tc>
          <w:tcPr>
            <w:tcW w:w="1572" w:type="dxa"/>
            <w:vAlign w:val="center"/>
          </w:tcPr>
          <w:p w14:paraId="7C190D9E">
            <w:pPr>
              <w:pStyle w:val="45"/>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0.1326</w:t>
            </w:r>
          </w:p>
        </w:tc>
      </w:tr>
      <w:tr w14:paraId="07C7E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7" w:hRule="exact"/>
          <w:jc w:val="center"/>
        </w:trPr>
        <w:tc>
          <w:tcPr>
            <w:tcW w:w="1110" w:type="pct"/>
            <w:gridSpan w:val="2"/>
            <w:vMerge w:val="continue"/>
            <w:vAlign w:val="center"/>
          </w:tcPr>
          <w:p w14:paraId="0935765C">
            <w:pPr>
              <w:pStyle w:val="41"/>
              <w:rPr>
                <w:rFonts w:hint="default" w:ascii="Times New Roman" w:hAnsi="Times New Roman" w:cs="Times New Roman"/>
                <w:color w:val="auto"/>
                <w:kern w:val="2"/>
                <w:u w:val="none"/>
              </w:rPr>
            </w:pPr>
          </w:p>
        </w:tc>
        <w:tc>
          <w:tcPr>
            <w:tcW w:w="2951" w:type="pct"/>
            <w:gridSpan w:val="3"/>
            <w:vAlign w:val="center"/>
          </w:tcPr>
          <w:p w14:paraId="07E0BFD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SS</w:t>
            </w:r>
          </w:p>
        </w:tc>
        <w:tc>
          <w:tcPr>
            <w:tcW w:w="1572" w:type="dxa"/>
            <w:vAlign w:val="center"/>
          </w:tcPr>
          <w:p w14:paraId="640D979A">
            <w:pPr>
              <w:pStyle w:val="45"/>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0.1326</w:t>
            </w:r>
          </w:p>
        </w:tc>
      </w:tr>
      <w:tr w14:paraId="7036C5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1" w:hRule="exact"/>
          <w:jc w:val="center"/>
        </w:trPr>
        <w:tc>
          <w:tcPr>
            <w:tcW w:w="1110" w:type="pct"/>
            <w:gridSpan w:val="2"/>
            <w:vMerge w:val="continue"/>
            <w:vAlign w:val="center"/>
          </w:tcPr>
          <w:p w14:paraId="32ADA56D">
            <w:pPr>
              <w:pStyle w:val="41"/>
              <w:rPr>
                <w:rFonts w:hint="default" w:ascii="Times New Roman" w:hAnsi="Times New Roman" w:cs="Times New Roman"/>
                <w:color w:val="auto"/>
                <w:kern w:val="2"/>
                <w:u w:val="none"/>
              </w:rPr>
            </w:pPr>
          </w:p>
        </w:tc>
        <w:tc>
          <w:tcPr>
            <w:tcW w:w="2951" w:type="pct"/>
            <w:gridSpan w:val="3"/>
            <w:vAlign w:val="center"/>
          </w:tcPr>
          <w:p w14:paraId="4D75D9DB">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NH</w:t>
            </w:r>
            <w:r>
              <w:rPr>
                <w:rFonts w:hint="default" w:ascii="Times New Roman" w:hAnsi="Times New Roman" w:cs="Times New Roman"/>
                <w:color w:val="auto"/>
                <w:kern w:val="2"/>
                <w:u w:val="none"/>
                <w:vertAlign w:val="subscript"/>
              </w:rPr>
              <w:t>3</w:t>
            </w:r>
            <w:r>
              <w:rPr>
                <w:rFonts w:hint="default" w:ascii="Times New Roman" w:hAnsi="Times New Roman" w:cs="Times New Roman"/>
                <w:color w:val="auto"/>
                <w:kern w:val="2"/>
                <w:u w:val="none"/>
              </w:rPr>
              <w:t>-N</w:t>
            </w:r>
          </w:p>
        </w:tc>
        <w:tc>
          <w:tcPr>
            <w:tcW w:w="1572" w:type="dxa"/>
            <w:vAlign w:val="center"/>
          </w:tcPr>
          <w:p w14:paraId="4206B498">
            <w:pPr>
              <w:pStyle w:val="45"/>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0.0663</w:t>
            </w:r>
          </w:p>
        </w:tc>
      </w:tr>
      <w:tr w14:paraId="173B5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trHeight w:val="361" w:hRule="exact"/>
          <w:jc w:val="center"/>
        </w:trPr>
        <w:tc>
          <w:tcPr>
            <w:tcW w:w="1110" w:type="pct"/>
            <w:gridSpan w:val="2"/>
            <w:vMerge w:val="continue"/>
            <w:vAlign w:val="center"/>
          </w:tcPr>
          <w:p w14:paraId="651F3049">
            <w:pPr>
              <w:pStyle w:val="41"/>
              <w:rPr>
                <w:rFonts w:hint="default" w:ascii="Times New Roman" w:hAnsi="Times New Roman" w:cs="Times New Roman"/>
                <w:color w:val="auto"/>
                <w:kern w:val="2"/>
                <w:u w:val="none"/>
              </w:rPr>
            </w:pPr>
          </w:p>
        </w:tc>
        <w:tc>
          <w:tcPr>
            <w:tcW w:w="2951" w:type="pct"/>
            <w:gridSpan w:val="3"/>
            <w:vAlign w:val="center"/>
          </w:tcPr>
          <w:p w14:paraId="77A9A252">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TP</w:t>
            </w:r>
          </w:p>
        </w:tc>
        <w:tc>
          <w:tcPr>
            <w:tcW w:w="1572" w:type="dxa"/>
            <w:vAlign w:val="center"/>
          </w:tcPr>
          <w:p w14:paraId="188DD77A">
            <w:pPr>
              <w:pStyle w:val="45"/>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0.0066</w:t>
            </w:r>
          </w:p>
        </w:tc>
      </w:tr>
    </w:tbl>
    <w:p w14:paraId="241D3B91">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⑥评价结论</w:t>
      </w:r>
    </w:p>
    <w:p w14:paraId="1DF82FB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镍废水、含镍废液、含磷废水、含铬废水经单独收集处理后用泵打至中水回用处理系统；含油废液、碱废液经预处理与综合废水一并排入综合废水处理系统处理达标后，通过生产废水排放口（DW002）排入市政污水管网，经城陵矶临港产业新区污水处理厂处理达《城镇污水处理厂污染物排放标准》（GB18918-2002）及修改单中一级A标准，经象骨港汇入长江。生活污水经化粪池预处理后达《污水综合排放标准》(GB8978-1996)表4的三级标准后及污水处理厂的纳管协议标准，通过生活污水排放口（DW001）排入市政污水管网，经城陵矶临港产业新区污水处理厂处理达《城镇污水处理厂污染物排放标准》（GB18918-2002）及修改单中一级A标准，经象骨港汇入长江。项目水污染控制和水环境影响减缓措施技术可行，经济合理，项目废水经处理后，对地表水环境影响不大，环境影响可接受。</w:t>
      </w:r>
    </w:p>
    <w:p w14:paraId="28392583">
      <w:pPr>
        <w:pStyle w:val="5"/>
        <w:rPr>
          <w:rFonts w:hint="default" w:ascii="Times New Roman" w:hAnsi="Times New Roman" w:cs="Times New Roman"/>
          <w:color w:val="auto"/>
          <w:u w:val="none"/>
        </w:rPr>
      </w:pPr>
      <w:bookmarkStart w:id="132" w:name="_Toc28374"/>
      <w:r>
        <w:rPr>
          <w:rFonts w:hint="default" w:ascii="Times New Roman" w:hAnsi="Times New Roman" w:cs="Times New Roman"/>
          <w:color w:val="auto"/>
          <w:u w:val="none"/>
        </w:rPr>
        <w:t>营运期地下水环境影响分析</w:t>
      </w:r>
      <w:bookmarkEnd w:id="132"/>
    </w:p>
    <w:p w14:paraId="65CAE87E">
      <w:pPr>
        <w:pStyle w:val="6"/>
        <w:ind w:left="-480" w:firstLineChars="0"/>
        <w:rPr>
          <w:rFonts w:hint="default" w:ascii="Times New Roman" w:hAnsi="Times New Roman" w:cs="Times New Roman"/>
          <w:color w:val="auto"/>
          <w:u w:val="none"/>
        </w:rPr>
      </w:pPr>
      <w:bookmarkStart w:id="133" w:name="_Toc27703"/>
      <w:r>
        <w:rPr>
          <w:rFonts w:hint="default" w:ascii="Times New Roman" w:hAnsi="Times New Roman" w:cs="Times New Roman"/>
          <w:color w:val="auto"/>
          <w:u w:val="none"/>
        </w:rPr>
        <w:t>水文地质概况</w:t>
      </w:r>
    </w:p>
    <w:p w14:paraId="35E4DFCA">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1、区域地质构造</w:t>
      </w:r>
    </w:p>
    <w:p w14:paraId="44138830">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岳阳市属幕阜山脉向江汉平原过渡地带，地貌多样、交相穿插，整个地势由东南向西北倾斜。地表组成物质65%为变质岩，其余为沙质岩，土壤组成以第四纪红色粘土和第四纪全新河、湖沉积物为主。工业园属低山丘陵地形，用地多为山地和河湖，园区内丘岗与盆地相穿插、平原与湖泊交错，海拔高程40—60米，最大高差为35米左右。根据《中国地震烈度区划图》，该区地震设防烈度为6度。</w:t>
      </w:r>
    </w:p>
    <w:p w14:paraId="1E54BDF8">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2、厂区岩土分层及其特征</w:t>
      </w:r>
    </w:p>
    <w:p w14:paraId="5D270996">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依据场地已有地质资料，项目区场地各地层从上至下依次为：</w:t>
      </w:r>
    </w:p>
    <w:p w14:paraId="3C8592D0">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（1）人工填土</w:t>
      </w:r>
    </w:p>
    <w:p w14:paraId="64D51A3E">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褐黄、褐红、灰黑等色。主要由粘性土、砂土、碎石或少量建筑垃圾组成，结构松散，其中碎石粒径2～15cm，次棱角状，含量约20%～40%。场地内普遍分布，层厚1.5～3.8m。为Ⅱ级普通土。</w:t>
      </w:r>
    </w:p>
    <w:p w14:paraId="37D22E0B">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（2）第四系上全新全新统湖沼沉积淤泥质粘土层</w:t>
      </w:r>
    </w:p>
    <w:p w14:paraId="5AD6EE09">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淤泥质粘土：浅灰、灰黑色，局部混砂及腐木，很湿～饱和，软塑状为主，局部可塑，光滑，摇振反应慢，干强度高，韧性高，压缩性高，局部表现为粘土（含淤泥质）场地内普遍分布，为Ⅱ级普通土。</w:t>
      </w:r>
    </w:p>
    <w:p w14:paraId="21ACF901">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（3）第四系全新统可塑粉质粘土</w:t>
      </w:r>
    </w:p>
    <w:p w14:paraId="07EBB986">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褐灰色、褐黄色，粉粒成分为主，粘粒成分次之，稍有光泽，无摇震反应，中等干强度，韧性中，中等压缩性，标贯击数5—8击，呈可塑状态，层厚0.7～3.4m。</w:t>
      </w:r>
    </w:p>
    <w:p w14:paraId="552E2CC1">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（4）第四系全新统硬塑粉质粘土</w:t>
      </w:r>
    </w:p>
    <w:p w14:paraId="7A99275A">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褐黄色，粉粒成分为主，粘粒成分次之，稍有光滑，无摇震反应，较高干强度，韧性较高，含铁锰氧化物，结构密实，较低压缩性，呈硬塑状态，层厚为0.7～5.2m。</w:t>
      </w:r>
    </w:p>
    <w:p w14:paraId="4F0B780E">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（5）第四系上更新统坚硬粉质粘土</w:t>
      </w:r>
    </w:p>
    <w:p w14:paraId="287BD7F1">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黄褐色、褐红色，粉粒成分为主，粘粒成分次之，上部含少量铁锰氧化物，稍有光泽，无摇震反应，干强度高，韧性高，密实，较低压缩性，具网纹状构造，层厚2.3～6.7m。</w:t>
      </w:r>
    </w:p>
    <w:p w14:paraId="197DE855">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（6）第四系上更新统冲洪积层</w:t>
      </w:r>
    </w:p>
    <w:p w14:paraId="7C7FFD59">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粉质粘土，浅黄、灰白等色，湿，可塑～硬塑，光滑，摇振反应无，干强度中等，韧性中等，压缩性中等，底部偶见砾砂夹层。层顶标高-15.89～-12.04m，层顶深度18.20～24.00m，层厚1.70～5.50m，为Ⅱ级普通土。</w:t>
      </w:r>
    </w:p>
    <w:p w14:paraId="501868E3">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（7）前震旦系冷家溪群崔家坳组中风化板岩</w:t>
      </w:r>
    </w:p>
    <w:p w14:paraId="1F772F8D">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黄绿色、底部灰绿色，泥质成分，变余结构，中厚层夹薄层状，产状陡，岩石中等风化，属软岩，强度高，下部坚硬，板状结构，裂隙不甚发育，层理清晰，结构面以裂隙面和层面为主，组合一般，岩体上部稍破碎，下部较完整，岩石基本质量等级为Ⅳ类，岩芯呈碎块状、块状、短柱状，局部钻孔内呈柱状体，采取率较高，勘探深度2.0～11.0m。</w:t>
      </w:r>
    </w:p>
    <w:p w14:paraId="4746C016">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（8）前震旦系冷家溪群崔家坳组微风化板岩</w:t>
      </w:r>
    </w:p>
    <w:p w14:paraId="60E34E1F">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青灰色，泥质成分，变余结构，中厚层夹薄层状，产状陡，岩石微弱风化，属较软岩，强度高，坚硬，板状结构，裂隙不甚发育，层理清晰，结构面以裂隙面和层面为主，组合一般，岩体较完整，岩石基本质量等级为Ⅳ类，岩芯呈碎块状、块状、短柱状，采取率较高。</w:t>
      </w:r>
    </w:p>
    <w:p w14:paraId="1A092D9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3、场地地下水条件</w:t>
      </w:r>
    </w:p>
    <w:p w14:paraId="7DCFF37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项目区地下水主要赋存在杂填土以下，粉质粘土以上，接受大气降水和地表水补给，地下水径流条件较好，水量较小，由地下水原始的山坡向冲沟河道排泄，在项目评价区范围内，地下水总体由东北往西南排泄。</w:t>
      </w:r>
    </w:p>
    <w:p w14:paraId="3A312BD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4、地下水开发利用现状</w:t>
      </w:r>
    </w:p>
    <w:p w14:paraId="2B48301C">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项目所在区域用水由工业园区统一提供，不采用地下水，项目地下水评价范围内无集中式饮用水源，无矿泉水、温泉等特殊地下水资源。</w:t>
      </w:r>
    </w:p>
    <w:p w14:paraId="0EC2DDF2">
      <w:pPr>
        <w:pStyle w:val="6"/>
        <w:ind w:left="-480" w:firstLineChars="0"/>
        <w:rPr>
          <w:rFonts w:hint="default" w:ascii="Times New Roman" w:hAnsi="Times New Roman" w:cs="Times New Roman"/>
          <w:color w:val="auto"/>
          <w:u w:val="none"/>
        </w:rPr>
      </w:pPr>
      <w:r>
        <w:rPr>
          <w:rFonts w:hint="default" w:ascii="Times New Roman" w:hAnsi="Times New Roman" w:cs="Times New Roman"/>
          <w:color w:val="auto"/>
          <w:u w:val="none"/>
        </w:rPr>
        <w:t>地下水水质影响分析</w:t>
      </w:r>
    </w:p>
    <w:p w14:paraId="169AD8ED">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 地下水环境》（HJ610-2016），本项目厂区划分为重点防渗区及一般防渗区，根据防渗级别采取不同的防渗材料，地下水防渗措施均能符合行业普遍采取的成熟措施。为防止项目运营对地下水的影响，根据工程特点和当地的实际情况，按照“源头控制、分区防治”的原则。</w:t>
      </w:r>
    </w:p>
    <w:p w14:paraId="6893B1DB">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（1）实施源头控制措施</w:t>
      </w:r>
    </w:p>
    <w:p w14:paraId="261D135C">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①本项目对产生的废水进行合理的治理和综合利用，尽量从源头减少可能污染物的产生。</w:t>
      </w:r>
    </w:p>
    <w:p w14:paraId="7650C45B">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②严格按照国家相关规范要求，对管道、设备、粪便储存及处理的构筑物采取相应的措施，以防止和降低可能污染物的跑冒滴漏，将废水、物料泄漏的环境事故降低到最低程度。</w:t>
      </w:r>
    </w:p>
    <w:p w14:paraId="67E95B82">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③污水排放是造成地表水污染从而造成地下水污染的重要原因。因此，防止地下水污染最根本的方法就是减少废水的排放。本项目产生的含重金属废水，实现综合利用，无外排，从而减少对地下水可能造成的污染。</w:t>
      </w:r>
    </w:p>
    <w:p w14:paraId="66C95EFD">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④进行质量体系认证，实现“质量、安全、环境”三位一体的全面质量管理目标。建立有关规章制度和岗位责任制。</w:t>
      </w:r>
    </w:p>
    <w:p w14:paraId="7465136F">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（2）分区防渗措施</w:t>
      </w:r>
    </w:p>
    <w:p w14:paraId="6C171DF6">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根据本项目厂区可能</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至地面区域污染物的性质和生产单元的构筑方式，将厂区划分为重点防渗区、一般防渗区和简单防渗区，针对不同的区域提出相应的防渗要求。</w:t>
      </w:r>
    </w:p>
    <w:p w14:paraId="16374D8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根据《环境影响评价技术导则地下水环境》（HJ610-2016），地下水防渗分区要求见下表。</w:t>
      </w:r>
    </w:p>
    <w:p w14:paraId="7DB3EB3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表6.2-26  地下水污染防渗区参照表</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75"/>
        <w:gridCol w:w="1566"/>
        <w:gridCol w:w="1284"/>
        <w:gridCol w:w="2279"/>
        <w:gridCol w:w="1929"/>
      </w:tblGrid>
      <w:tr w14:paraId="43DA40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65" w:type="pct"/>
            <w:tcBorders>
              <w:tl2br w:val="nil"/>
              <w:tr2bl w:val="nil"/>
            </w:tcBorders>
            <w:vAlign w:val="center"/>
          </w:tcPr>
          <w:p w14:paraId="1BA01588">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防渗分区</w:t>
            </w:r>
          </w:p>
        </w:tc>
        <w:tc>
          <w:tcPr>
            <w:tcW w:w="939" w:type="pct"/>
            <w:tcBorders>
              <w:tl2br w:val="nil"/>
              <w:tr2bl w:val="nil"/>
            </w:tcBorders>
            <w:vAlign w:val="center"/>
          </w:tcPr>
          <w:p w14:paraId="23E6F1FD">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天然包气带防污性能</w:t>
            </w:r>
          </w:p>
        </w:tc>
        <w:tc>
          <w:tcPr>
            <w:tcW w:w="770" w:type="pct"/>
            <w:tcBorders>
              <w:tl2br w:val="nil"/>
              <w:tr2bl w:val="nil"/>
            </w:tcBorders>
            <w:vAlign w:val="center"/>
          </w:tcPr>
          <w:p w14:paraId="6FE854B6">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污染控制难易程度</w:t>
            </w:r>
          </w:p>
        </w:tc>
        <w:tc>
          <w:tcPr>
            <w:tcW w:w="1367" w:type="pct"/>
            <w:tcBorders>
              <w:tl2br w:val="nil"/>
              <w:tr2bl w:val="nil"/>
            </w:tcBorders>
            <w:vAlign w:val="center"/>
          </w:tcPr>
          <w:p w14:paraId="3316DF11">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污染物类型</w:t>
            </w:r>
          </w:p>
        </w:tc>
        <w:tc>
          <w:tcPr>
            <w:tcW w:w="1157" w:type="pct"/>
            <w:tcBorders>
              <w:tl2br w:val="nil"/>
              <w:tr2bl w:val="nil"/>
            </w:tcBorders>
            <w:vAlign w:val="center"/>
          </w:tcPr>
          <w:p w14:paraId="1969FD0A">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防渗技术要求</w:t>
            </w:r>
          </w:p>
        </w:tc>
      </w:tr>
      <w:tr w14:paraId="341E13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65" w:type="pct"/>
            <w:vMerge w:val="restart"/>
            <w:tcBorders>
              <w:tl2br w:val="nil"/>
              <w:tr2bl w:val="nil"/>
            </w:tcBorders>
            <w:vAlign w:val="center"/>
          </w:tcPr>
          <w:p w14:paraId="5AC68C40">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重点防渗区</w:t>
            </w:r>
          </w:p>
        </w:tc>
        <w:tc>
          <w:tcPr>
            <w:tcW w:w="939" w:type="pct"/>
            <w:tcBorders>
              <w:tl2br w:val="nil"/>
              <w:tr2bl w:val="nil"/>
            </w:tcBorders>
            <w:vAlign w:val="center"/>
          </w:tcPr>
          <w:p w14:paraId="020F1A5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弱</w:t>
            </w:r>
          </w:p>
        </w:tc>
        <w:tc>
          <w:tcPr>
            <w:tcW w:w="770" w:type="pct"/>
            <w:tcBorders>
              <w:tl2br w:val="nil"/>
              <w:tr2bl w:val="nil"/>
            </w:tcBorders>
            <w:vAlign w:val="center"/>
          </w:tcPr>
          <w:p w14:paraId="280A67A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难</w:t>
            </w:r>
          </w:p>
        </w:tc>
        <w:tc>
          <w:tcPr>
            <w:tcW w:w="1367" w:type="pct"/>
            <w:vMerge w:val="restart"/>
            <w:tcBorders>
              <w:tl2br w:val="nil"/>
              <w:tr2bl w:val="nil"/>
            </w:tcBorders>
            <w:vAlign w:val="center"/>
          </w:tcPr>
          <w:p w14:paraId="6ECBF1A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重金属、持久性有机污染物</w:t>
            </w:r>
          </w:p>
        </w:tc>
        <w:tc>
          <w:tcPr>
            <w:tcW w:w="1157" w:type="pct"/>
            <w:vMerge w:val="restart"/>
            <w:tcBorders>
              <w:tl2br w:val="nil"/>
              <w:tr2bl w:val="nil"/>
            </w:tcBorders>
            <w:vAlign w:val="center"/>
          </w:tcPr>
          <w:p w14:paraId="1255F06B">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等效黏土防渗层Mb≥6.0m，K≤1×10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cm/s；或参照GB18598执行</w:t>
            </w:r>
          </w:p>
        </w:tc>
      </w:tr>
      <w:tr w14:paraId="329C4A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65" w:type="pct"/>
            <w:vMerge w:val="continue"/>
            <w:tcBorders>
              <w:tl2br w:val="nil"/>
              <w:tr2bl w:val="nil"/>
            </w:tcBorders>
            <w:vAlign w:val="center"/>
          </w:tcPr>
          <w:p w14:paraId="2C0E07D5">
            <w:pPr>
              <w:pStyle w:val="41"/>
              <w:adjustRightInd w:val="0"/>
              <w:snapToGrid w:val="0"/>
              <w:rPr>
                <w:rFonts w:hint="default" w:ascii="Times New Roman" w:hAnsi="Times New Roman" w:cs="Times New Roman"/>
                <w:color w:val="auto"/>
                <w:u w:val="none"/>
              </w:rPr>
            </w:pPr>
          </w:p>
        </w:tc>
        <w:tc>
          <w:tcPr>
            <w:tcW w:w="939" w:type="pct"/>
            <w:tcBorders>
              <w:tl2br w:val="nil"/>
              <w:tr2bl w:val="nil"/>
            </w:tcBorders>
            <w:vAlign w:val="center"/>
          </w:tcPr>
          <w:p w14:paraId="66BC6FD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中-强</w:t>
            </w:r>
          </w:p>
        </w:tc>
        <w:tc>
          <w:tcPr>
            <w:tcW w:w="770" w:type="pct"/>
            <w:tcBorders>
              <w:tl2br w:val="nil"/>
              <w:tr2bl w:val="nil"/>
            </w:tcBorders>
            <w:vAlign w:val="center"/>
          </w:tcPr>
          <w:p w14:paraId="6B0B5533">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难</w:t>
            </w:r>
          </w:p>
        </w:tc>
        <w:tc>
          <w:tcPr>
            <w:tcW w:w="1367" w:type="pct"/>
            <w:vMerge w:val="continue"/>
            <w:tcBorders>
              <w:tl2br w:val="nil"/>
              <w:tr2bl w:val="nil"/>
            </w:tcBorders>
            <w:vAlign w:val="center"/>
          </w:tcPr>
          <w:p w14:paraId="200347D3">
            <w:pPr>
              <w:pStyle w:val="41"/>
              <w:adjustRightInd w:val="0"/>
              <w:snapToGrid w:val="0"/>
              <w:rPr>
                <w:rFonts w:hint="default" w:ascii="Times New Roman" w:hAnsi="Times New Roman" w:cs="Times New Roman"/>
                <w:color w:val="auto"/>
                <w:u w:val="none"/>
              </w:rPr>
            </w:pPr>
          </w:p>
        </w:tc>
        <w:tc>
          <w:tcPr>
            <w:tcW w:w="1157" w:type="pct"/>
            <w:vMerge w:val="continue"/>
            <w:tcBorders>
              <w:tl2br w:val="nil"/>
              <w:tr2bl w:val="nil"/>
            </w:tcBorders>
            <w:vAlign w:val="center"/>
          </w:tcPr>
          <w:p w14:paraId="5066B0C9">
            <w:pPr>
              <w:pStyle w:val="41"/>
              <w:adjustRightInd w:val="0"/>
              <w:snapToGrid w:val="0"/>
              <w:rPr>
                <w:rFonts w:hint="default" w:ascii="Times New Roman" w:hAnsi="Times New Roman" w:cs="Times New Roman"/>
                <w:color w:val="auto"/>
                <w:u w:val="none"/>
              </w:rPr>
            </w:pPr>
          </w:p>
        </w:tc>
      </w:tr>
      <w:tr w14:paraId="7DDAE7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03" w:hRule="atLeast"/>
          <w:jc w:val="center"/>
        </w:trPr>
        <w:tc>
          <w:tcPr>
            <w:tcW w:w="765" w:type="pct"/>
            <w:vMerge w:val="continue"/>
            <w:tcBorders>
              <w:tl2br w:val="nil"/>
              <w:tr2bl w:val="nil"/>
            </w:tcBorders>
            <w:vAlign w:val="center"/>
          </w:tcPr>
          <w:p w14:paraId="2FFD818E">
            <w:pPr>
              <w:pStyle w:val="41"/>
              <w:adjustRightInd w:val="0"/>
              <w:snapToGrid w:val="0"/>
              <w:rPr>
                <w:rFonts w:hint="default" w:ascii="Times New Roman" w:hAnsi="Times New Roman" w:cs="Times New Roman"/>
                <w:color w:val="auto"/>
                <w:u w:val="none"/>
              </w:rPr>
            </w:pPr>
          </w:p>
        </w:tc>
        <w:tc>
          <w:tcPr>
            <w:tcW w:w="939" w:type="pct"/>
            <w:tcBorders>
              <w:tl2br w:val="nil"/>
              <w:tr2bl w:val="nil"/>
            </w:tcBorders>
            <w:vAlign w:val="center"/>
          </w:tcPr>
          <w:p w14:paraId="59EA4308">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弱</w:t>
            </w:r>
          </w:p>
        </w:tc>
        <w:tc>
          <w:tcPr>
            <w:tcW w:w="770" w:type="pct"/>
            <w:tcBorders>
              <w:tl2br w:val="nil"/>
              <w:tr2bl w:val="nil"/>
            </w:tcBorders>
            <w:vAlign w:val="center"/>
          </w:tcPr>
          <w:p w14:paraId="43B2A5B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易</w:t>
            </w:r>
          </w:p>
        </w:tc>
        <w:tc>
          <w:tcPr>
            <w:tcW w:w="1367" w:type="pct"/>
            <w:vMerge w:val="continue"/>
            <w:tcBorders>
              <w:tl2br w:val="nil"/>
              <w:tr2bl w:val="nil"/>
            </w:tcBorders>
            <w:vAlign w:val="center"/>
          </w:tcPr>
          <w:p w14:paraId="1F5311F5">
            <w:pPr>
              <w:pStyle w:val="41"/>
              <w:adjustRightInd w:val="0"/>
              <w:snapToGrid w:val="0"/>
              <w:rPr>
                <w:rFonts w:hint="default" w:ascii="Times New Roman" w:hAnsi="Times New Roman" w:cs="Times New Roman"/>
                <w:color w:val="auto"/>
                <w:u w:val="none"/>
              </w:rPr>
            </w:pPr>
          </w:p>
        </w:tc>
        <w:tc>
          <w:tcPr>
            <w:tcW w:w="1157" w:type="pct"/>
            <w:vMerge w:val="continue"/>
            <w:tcBorders>
              <w:tl2br w:val="nil"/>
              <w:tr2bl w:val="nil"/>
            </w:tcBorders>
            <w:vAlign w:val="center"/>
          </w:tcPr>
          <w:p w14:paraId="557E3C7F">
            <w:pPr>
              <w:pStyle w:val="41"/>
              <w:adjustRightInd w:val="0"/>
              <w:snapToGrid w:val="0"/>
              <w:rPr>
                <w:rFonts w:hint="default" w:ascii="Times New Roman" w:hAnsi="Times New Roman" w:cs="Times New Roman"/>
                <w:color w:val="auto"/>
                <w:u w:val="none"/>
              </w:rPr>
            </w:pPr>
          </w:p>
        </w:tc>
      </w:tr>
      <w:tr w14:paraId="59E959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65" w:type="pct"/>
            <w:vMerge w:val="restart"/>
            <w:tcBorders>
              <w:tl2br w:val="nil"/>
              <w:tr2bl w:val="nil"/>
            </w:tcBorders>
            <w:vAlign w:val="center"/>
          </w:tcPr>
          <w:p w14:paraId="676B3E8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一般防渗区</w:t>
            </w:r>
          </w:p>
        </w:tc>
        <w:tc>
          <w:tcPr>
            <w:tcW w:w="939" w:type="pct"/>
            <w:tcBorders>
              <w:tl2br w:val="nil"/>
              <w:tr2bl w:val="nil"/>
            </w:tcBorders>
            <w:vAlign w:val="center"/>
          </w:tcPr>
          <w:p w14:paraId="23CAD29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弱</w:t>
            </w:r>
          </w:p>
        </w:tc>
        <w:tc>
          <w:tcPr>
            <w:tcW w:w="770" w:type="pct"/>
            <w:tcBorders>
              <w:tl2br w:val="nil"/>
              <w:tr2bl w:val="nil"/>
            </w:tcBorders>
            <w:vAlign w:val="center"/>
          </w:tcPr>
          <w:p w14:paraId="14B93BE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易-难</w:t>
            </w:r>
          </w:p>
        </w:tc>
        <w:tc>
          <w:tcPr>
            <w:tcW w:w="1367" w:type="pct"/>
            <w:vMerge w:val="restart"/>
            <w:tcBorders>
              <w:tl2br w:val="nil"/>
              <w:tr2bl w:val="nil"/>
            </w:tcBorders>
            <w:vAlign w:val="center"/>
          </w:tcPr>
          <w:p w14:paraId="401ABB6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其他类型</w:t>
            </w:r>
          </w:p>
        </w:tc>
        <w:tc>
          <w:tcPr>
            <w:tcW w:w="1157" w:type="pct"/>
            <w:vMerge w:val="restart"/>
            <w:tcBorders>
              <w:tl2br w:val="nil"/>
              <w:tr2bl w:val="nil"/>
            </w:tcBorders>
            <w:vAlign w:val="center"/>
          </w:tcPr>
          <w:p w14:paraId="353CFE01">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等效黏土防渗层Mb≥1.5m，K≤1×10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cm/s；或参照GB16889执行</w:t>
            </w:r>
          </w:p>
        </w:tc>
      </w:tr>
      <w:tr w14:paraId="786A8D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65" w:type="pct"/>
            <w:vMerge w:val="continue"/>
            <w:tcBorders>
              <w:tl2br w:val="nil"/>
              <w:tr2bl w:val="nil"/>
            </w:tcBorders>
            <w:vAlign w:val="center"/>
          </w:tcPr>
          <w:p w14:paraId="744C8A3A">
            <w:pPr>
              <w:pStyle w:val="41"/>
              <w:adjustRightInd w:val="0"/>
              <w:snapToGrid w:val="0"/>
              <w:rPr>
                <w:rFonts w:hint="default" w:ascii="Times New Roman" w:hAnsi="Times New Roman" w:cs="Times New Roman"/>
                <w:color w:val="auto"/>
                <w:u w:val="none"/>
              </w:rPr>
            </w:pPr>
          </w:p>
        </w:tc>
        <w:tc>
          <w:tcPr>
            <w:tcW w:w="939" w:type="pct"/>
            <w:tcBorders>
              <w:tl2br w:val="nil"/>
              <w:tr2bl w:val="nil"/>
            </w:tcBorders>
            <w:vAlign w:val="center"/>
          </w:tcPr>
          <w:p w14:paraId="52668A1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中-强</w:t>
            </w:r>
          </w:p>
        </w:tc>
        <w:tc>
          <w:tcPr>
            <w:tcW w:w="770" w:type="pct"/>
            <w:tcBorders>
              <w:tl2br w:val="nil"/>
              <w:tr2bl w:val="nil"/>
            </w:tcBorders>
            <w:vAlign w:val="center"/>
          </w:tcPr>
          <w:p w14:paraId="01277F45">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难</w:t>
            </w:r>
          </w:p>
        </w:tc>
        <w:tc>
          <w:tcPr>
            <w:tcW w:w="1367" w:type="pct"/>
            <w:vMerge w:val="continue"/>
            <w:tcBorders>
              <w:tl2br w:val="nil"/>
              <w:tr2bl w:val="nil"/>
            </w:tcBorders>
            <w:vAlign w:val="center"/>
          </w:tcPr>
          <w:p w14:paraId="28B6D908">
            <w:pPr>
              <w:pStyle w:val="41"/>
              <w:adjustRightInd w:val="0"/>
              <w:snapToGrid w:val="0"/>
              <w:rPr>
                <w:rFonts w:hint="default" w:ascii="Times New Roman" w:hAnsi="Times New Roman" w:cs="Times New Roman"/>
                <w:color w:val="auto"/>
                <w:u w:val="none"/>
              </w:rPr>
            </w:pPr>
          </w:p>
        </w:tc>
        <w:tc>
          <w:tcPr>
            <w:tcW w:w="1157" w:type="pct"/>
            <w:vMerge w:val="continue"/>
            <w:tcBorders>
              <w:tl2br w:val="nil"/>
              <w:tr2bl w:val="nil"/>
            </w:tcBorders>
            <w:vAlign w:val="center"/>
          </w:tcPr>
          <w:p w14:paraId="1E0CF274">
            <w:pPr>
              <w:pStyle w:val="41"/>
              <w:adjustRightInd w:val="0"/>
              <w:snapToGrid w:val="0"/>
              <w:rPr>
                <w:rFonts w:hint="default" w:ascii="Times New Roman" w:hAnsi="Times New Roman" w:cs="Times New Roman"/>
                <w:color w:val="auto"/>
                <w:u w:val="none"/>
              </w:rPr>
            </w:pPr>
          </w:p>
        </w:tc>
      </w:tr>
      <w:tr w14:paraId="038528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65" w:type="pct"/>
            <w:vMerge w:val="continue"/>
            <w:tcBorders>
              <w:tl2br w:val="nil"/>
              <w:tr2bl w:val="nil"/>
            </w:tcBorders>
            <w:vAlign w:val="center"/>
          </w:tcPr>
          <w:p w14:paraId="44F9B40E">
            <w:pPr>
              <w:pStyle w:val="41"/>
              <w:adjustRightInd w:val="0"/>
              <w:snapToGrid w:val="0"/>
              <w:rPr>
                <w:rFonts w:hint="default" w:ascii="Times New Roman" w:hAnsi="Times New Roman" w:cs="Times New Roman"/>
                <w:color w:val="auto"/>
                <w:u w:val="none"/>
              </w:rPr>
            </w:pPr>
          </w:p>
        </w:tc>
        <w:tc>
          <w:tcPr>
            <w:tcW w:w="939" w:type="pct"/>
            <w:tcBorders>
              <w:tl2br w:val="nil"/>
              <w:tr2bl w:val="nil"/>
            </w:tcBorders>
            <w:vAlign w:val="center"/>
          </w:tcPr>
          <w:p w14:paraId="6530119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中</w:t>
            </w:r>
          </w:p>
        </w:tc>
        <w:tc>
          <w:tcPr>
            <w:tcW w:w="770" w:type="pct"/>
            <w:tcBorders>
              <w:tl2br w:val="nil"/>
              <w:tr2bl w:val="nil"/>
            </w:tcBorders>
            <w:vAlign w:val="center"/>
          </w:tcPr>
          <w:p w14:paraId="5B1E9E6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易</w:t>
            </w:r>
          </w:p>
        </w:tc>
        <w:tc>
          <w:tcPr>
            <w:tcW w:w="1367" w:type="pct"/>
            <w:vMerge w:val="restart"/>
            <w:tcBorders>
              <w:tl2br w:val="nil"/>
              <w:tr2bl w:val="nil"/>
            </w:tcBorders>
            <w:vAlign w:val="center"/>
          </w:tcPr>
          <w:p w14:paraId="54CEF6CD">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重金属、持久性有机物污染物</w:t>
            </w:r>
          </w:p>
        </w:tc>
        <w:tc>
          <w:tcPr>
            <w:tcW w:w="1157" w:type="pct"/>
            <w:vMerge w:val="continue"/>
            <w:tcBorders>
              <w:tl2br w:val="nil"/>
              <w:tr2bl w:val="nil"/>
            </w:tcBorders>
            <w:vAlign w:val="center"/>
          </w:tcPr>
          <w:p w14:paraId="606C1E6F">
            <w:pPr>
              <w:pStyle w:val="41"/>
              <w:adjustRightInd w:val="0"/>
              <w:snapToGrid w:val="0"/>
              <w:rPr>
                <w:rFonts w:hint="default" w:ascii="Times New Roman" w:hAnsi="Times New Roman" w:cs="Times New Roman"/>
                <w:color w:val="auto"/>
                <w:u w:val="none"/>
              </w:rPr>
            </w:pPr>
          </w:p>
        </w:tc>
      </w:tr>
      <w:tr w14:paraId="2CB4C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765" w:type="pct"/>
            <w:vMerge w:val="continue"/>
            <w:tcBorders>
              <w:tl2br w:val="nil"/>
              <w:tr2bl w:val="nil"/>
            </w:tcBorders>
            <w:vAlign w:val="center"/>
          </w:tcPr>
          <w:p w14:paraId="551293CD">
            <w:pPr>
              <w:pStyle w:val="41"/>
              <w:adjustRightInd w:val="0"/>
              <w:snapToGrid w:val="0"/>
              <w:rPr>
                <w:rFonts w:hint="default" w:ascii="Times New Roman" w:hAnsi="Times New Roman" w:cs="Times New Roman"/>
                <w:color w:val="auto"/>
                <w:u w:val="none"/>
              </w:rPr>
            </w:pPr>
          </w:p>
        </w:tc>
        <w:tc>
          <w:tcPr>
            <w:tcW w:w="939" w:type="pct"/>
            <w:tcBorders>
              <w:tl2br w:val="nil"/>
              <w:tr2bl w:val="nil"/>
            </w:tcBorders>
            <w:vAlign w:val="center"/>
          </w:tcPr>
          <w:p w14:paraId="59950F3D">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强</w:t>
            </w:r>
          </w:p>
        </w:tc>
        <w:tc>
          <w:tcPr>
            <w:tcW w:w="770" w:type="pct"/>
            <w:tcBorders>
              <w:tl2br w:val="nil"/>
              <w:tr2bl w:val="nil"/>
            </w:tcBorders>
            <w:vAlign w:val="center"/>
          </w:tcPr>
          <w:p w14:paraId="7E5B9B5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易</w:t>
            </w:r>
          </w:p>
        </w:tc>
        <w:tc>
          <w:tcPr>
            <w:tcW w:w="1367" w:type="pct"/>
            <w:vMerge w:val="continue"/>
            <w:tcBorders>
              <w:tl2br w:val="nil"/>
              <w:tr2bl w:val="nil"/>
            </w:tcBorders>
            <w:vAlign w:val="center"/>
          </w:tcPr>
          <w:p w14:paraId="465D1984">
            <w:pPr>
              <w:pStyle w:val="41"/>
              <w:adjustRightInd w:val="0"/>
              <w:snapToGrid w:val="0"/>
              <w:rPr>
                <w:rFonts w:hint="default" w:ascii="Times New Roman" w:hAnsi="Times New Roman" w:cs="Times New Roman"/>
                <w:color w:val="auto"/>
                <w:u w:val="none"/>
              </w:rPr>
            </w:pPr>
          </w:p>
        </w:tc>
        <w:tc>
          <w:tcPr>
            <w:tcW w:w="1157" w:type="pct"/>
            <w:vMerge w:val="continue"/>
            <w:tcBorders>
              <w:tl2br w:val="nil"/>
              <w:tr2bl w:val="nil"/>
            </w:tcBorders>
            <w:vAlign w:val="center"/>
          </w:tcPr>
          <w:p w14:paraId="01EDED30">
            <w:pPr>
              <w:pStyle w:val="41"/>
              <w:adjustRightInd w:val="0"/>
              <w:snapToGrid w:val="0"/>
              <w:rPr>
                <w:rFonts w:hint="default" w:ascii="Times New Roman" w:hAnsi="Times New Roman" w:cs="Times New Roman"/>
                <w:color w:val="auto"/>
                <w:u w:val="none"/>
              </w:rPr>
            </w:pPr>
          </w:p>
        </w:tc>
      </w:tr>
      <w:tr w14:paraId="1C285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765" w:type="pct"/>
            <w:tcBorders>
              <w:tl2br w:val="nil"/>
              <w:tr2bl w:val="nil"/>
            </w:tcBorders>
            <w:vAlign w:val="center"/>
          </w:tcPr>
          <w:p w14:paraId="2261EB0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简单防渗区</w:t>
            </w:r>
          </w:p>
        </w:tc>
        <w:tc>
          <w:tcPr>
            <w:tcW w:w="939" w:type="pct"/>
            <w:tcBorders>
              <w:tl2br w:val="nil"/>
              <w:tr2bl w:val="nil"/>
            </w:tcBorders>
            <w:vAlign w:val="center"/>
          </w:tcPr>
          <w:p w14:paraId="41B5FCA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中-强</w:t>
            </w:r>
          </w:p>
        </w:tc>
        <w:tc>
          <w:tcPr>
            <w:tcW w:w="770" w:type="pct"/>
            <w:tcBorders>
              <w:tl2br w:val="nil"/>
              <w:tr2bl w:val="nil"/>
            </w:tcBorders>
            <w:vAlign w:val="center"/>
          </w:tcPr>
          <w:p w14:paraId="1CADD45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易</w:t>
            </w:r>
          </w:p>
        </w:tc>
        <w:tc>
          <w:tcPr>
            <w:tcW w:w="1367" w:type="pct"/>
            <w:tcBorders>
              <w:tl2br w:val="nil"/>
              <w:tr2bl w:val="nil"/>
            </w:tcBorders>
            <w:vAlign w:val="center"/>
          </w:tcPr>
          <w:p w14:paraId="5B00FE5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其他类型</w:t>
            </w:r>
          </w:p>
        </w:tc>
        <w:tc>
          <w:tcPr>
            <w:tcW w:w="1157" w:type="pct"/>
            <w:tcBorders>
              <w:tl2br w:val="nil"/>
              <w:tr2bl w:val="nil"/>
            </w:tcBorders>
            <w:vAlign w:val="center"/>
          </w:tcPr>
          <w:p w14:paraId="26747021">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一般地面硬化</w:t>
            </w:r>
          </w:p>
        </w:tc>
      </w:tr>
    </w:tbl>
    <w:p w14:paraId="61F7E75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表6.2-27</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项目地下水污染分区防治措施表</w:t>
      </w:r>
    </w:p>
    <w:tbl>
      <w:tblPr>
        <w:tblStyle w:val="30"/>
        <w:tblW w:w="503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96"/>
        <w:gridCol w:w="1536"/>
        <w:gridCol w:w="5861"/>
      </w:tblGrid>
      <w:tr w14:paraId="76408D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tcBorders>
              <w:tl2br w:val="nil"/>
              <w:tr2bl w:val="nil"/>
            </w:tcBorders>
            <w:vAlign w:val="center"/>
          </w:tcPr>
          <w:p w14:paraId="0F2215B6">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分区类别</w:t>
            </w:r>
          </w:p>
        </w:tc>
        <w:tc>
          <w:tcPr>
            <w:tcW w:w="915" w:type="pct"/>
            <w:tcBorders>
              <w:tl2br w:val="nil"/>
              <w:tr2bl w:val="nil"/>
            </w:tcBorders>
            <w:vAlign w:val="center"/>
          </w:tcPr>
          <w:p w14:paraId="74ACB8AA">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场所名称</w:t>
            </w:r>
          </w:p>
        </w:tc>
        <w:tc>
          <w:tcPr>
            <w:tcW w:w="3491" w:type="pct"/>
            <w:tcBorders>
              <w:tl2br w:val="nil"/>
              <w:tr2bl w:val="nil"/>
            </w:tcBorders>
            <w:vAlign w:val="center"/>
          </w:tcPr>
          <w:p w14:paraId="583BE815">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防渗要求</w:t>
            </w:r>
          </w:p>
        </w:tc>
      </w:tr>
      <w:tr w14:paraId="36028E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restart"/>
            <w:tcBorders>
              <w:tl2br w:val="nil"/>
              <w:tr2bl w:val="nil"/>
            </w:tcBorders>
            <w:vAlign w:val="center"/>
          </w:tcPr>
          <w:p w14:paraId="3F289F4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重点污染防治区</w:t>
            </w:r>
          </w:p>
        </w:tc>
        <w:tc>
          <w:tcPr>
            <w:tcW w:w="915" w:type="pct"/>
            <w:tcBorders>
              <w:tl2br w:val="nil"/>
              <w:tr2bl w:val="nil"/>
            </w:tcBorders>
            <w:vAlign w:val="center"/>
          </w:tcPr>
          <w:p w14:paraId="4B06924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危废暂存间</w:t>
            </w:r>
          </w:p>
        </w:tc>
        <w:tc>
          <w:tcPr>
            <w:tcW w:w="3491" w:type="pct"/>
            <w:vMerge w:val="restart"/>
            <w:tcBorders>
              <w:tl2br w:val="nil"/>
              <w:tr2bl w:val="nil"/>
            </w:tcBorders>
            <w:vAlign w:val="center"/>
          </w:tcPr>
          <w:p w14:paraId="4E8F551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地坪地基必须采用粘土材料，且厚度不得低于100cm。粘土材料的渗透系数≤10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cm/s，在无法满足100cm厚粘土基础垫层的情况下，可采用30cm厚普通粘土垫层，并加铺2毫米厚高密度聚乙烯，或至少2mm厚的其它人工防渗材料，渗透系数≤10</w:t>
            </w:r>
            <w:r>
              <w:rPr>
                <w:rFonts w:hint="default" w:ascii="Times New Roman" w:hAnsi="Times New Roman" w:cs="Times New Roman"/>
                <w:color w:val="auto"/>
                <w:u w:val="none"/>
                <w:vertAlign w:val="superscript"/>
              </w:rPr>
              <w:t>-10</w:t>
            </w:r>
            <w:r>
              <w:rPr>
                <w:rFonts w:hint="default" w:ascii="Times New Roman" w:hAnsi="Times New Roman" w:cs="Times New Roman"/>
                <w:color w:val="auto"/>
                <w:u w:val="none"/>
              </w:rPr>
              <w:t>cm/s。危险废物暂存间、生产废水处理站池壁及事故收集池采用防渗混凝土+HDPE膜（1.5mm厚、渗透系数不高于1.0×10</w:t>
            </w:r>
            <w:r>
              <w:rPr>
                <w:rFonts w:hint="default" w:ascii="Times New Roman" w:hAnsi="Times New Roman" w:cs="Times New Roman"/>
                <w:color w:val="auto"/>
                <w:u w:val="none"/>
                <w:vertAlign w:val="superscript"/>
              </w:rPr>
              <w:t>-</w:t>
            </w:r>
            <w:r>
              <w:rPr>
                <w:rFonts w:hint="eastAsia" w:cs="Times New Roman"/>
                <w:color w:val="auto"/>
                <w:u w:val="none"/>
                <w:vertAlign w:val="superscript"/>
                <w:lang w:val="en-US" w:eastAsia="zh-CN"/>
              </w:rPr>
              <w:t>9</w:t>
            </w:r>
            <w:r>
              <w:rPr>
                <w:rFonts w:hint="default" w:ascii="Times New Roman" w:hAnsi="Times New Roman" w:cs="Times New Roman"/>
                <w:color w:val="auto"/>
                <w:u w:val="none"/>
              </w:rPr>
              <w:t>cm/s的HDPE膜作为防渗层）</w:t>
            </w:r>
          </w:p>
        </w:tc>
      </w:tr>
      <w:tr w14:paraId="715D5D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continue"/>
            <w:tcBorders>
              <w:tl2br w:val="nil"/>
              <w:tr2bl w:val="nil"/>
            </w:tcBorders>
            <w:vAlign w:val="center"/>
          </w:tcPr>
          <w:p w14:paraId="72184B39">
            <w:pPr>
              <w:pStyle w:val="41"/>
              <w:adjustRightInd w:val="0"/>
              <w:snapToGrid w:val="0"/>
              <w:rPr>
                <w:rFonts w:hint="default" w:ascii="Times New Roman" w:hAnsi="Times New Roman" w:cs="Times New Roman"/>
                <w:color w:val="auto"/>
                <w:u w:val="none"/>
              </w:rPr>
            </w:pPr>
          </w:p>
        </w:tc>
        <w:tc>
          <w:tcPr>
            <w:tcW w:w="915" w:type="pct"/>
            <w:tcBorders>
              <w:tl2br w:val="nil"/>
              <w:tr2bl w:val="nil"/>
            </w:tcBorders>
            <w:vAlign w:val="center"/>
          </w:tcPr>
          <w:p w14:paraId="135268E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3491" w:type="pct"/>
            <w:vMerge w:val="continue"/>
            <w:tcBorders>
              <w:tl2br w:val="nil"/>
              <w:tr2bl w:val="nil"/>
            </w:tcBorders>
            <w:vAlign w:val="center"/>
          </w:tcPr>
          <w:p w14:paraId="54A3DBCD">
            <w:pPr>
              <w:pStyle w:val="41"/>
              <w:adjustRightInd w:val="0"/>
              <w:snapToGrid w:val="0"/>
              <w:rPr>
                <w:rFonts w:hint="default" w:ascii="Times New Roman" w:hAnsi="Times New Roman" w:cs="Times New Roman"/>
                <w:color w:val="auto"/>
                <w:u w:val="none"/>
              </w:rPr>
            </w:pPr>
          </w:p>
        </w:tc>
      </w:tr>
      <w:tr w14:paraId="41CDB7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continue"/>
            <w:tcBorders>
              <w:tl2br w:val="nil"/>
              <w:tr2bl w:val="nil"/>
            </w:tcBorders>
            <w:vAlign w:val="center"/>
          </w:tcPr>
          <w:p w14:paraId="52ACBD4C">
            <w:pPr>
              <w:pStyle w:val="41"/>
              <w:adjustRightInd w:val="0"/>
              <w:snapToGrid w:val="0"/>
              <w:rPr>
                <w:rFonts w:hint="default" w:ascii="Times New Roman" w:hAnsi="Times New Roman" w:cs="Times New Roman"/>
                <w:color w:val="auto"/>
                <w:u w:val="none"/>
              </w:rPr>
            </w:pPr>
          </w:p>
        </w:tc>
        <w:tc>
          <w:tcPr>
            <w:tcW w:w="915" w:type="pct"/>
            <w:tcBorders>
              <w:tl2br w:val="nil"/>
              <w:tr2bl w:val="nil"/>
            </w:tcBorders>
            <w:vAlign w:val="center"/>
          </w:tcPr>
          <w:p w14:paraId="3ECA508B">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阳极氧化生产车间</w:t>
            </w:r>
          </w:p>
        </w:tc>
        <w:tc>
          <w:tcPr>
            <w:tcW w:w="3491" w:type="pct"/>
            <w:vMerge w:val="continue"/>
            <w:tcBorders>
              <w:tl2br w:val="nil"/>
              <w:tr2bl w:val="nil"/>
            </w:tcBorders>
            <w:vAlign w:val="center"/>
          </w:tcPr>
          <w:p w14:paraId="06D7F013">
            <w:pPr>
              <w:pStyle w:val="41"/>
              <w:adjustRightInd w:val="0"/>
              <w:snapToGrid w:val="0"/>
              <w:rPr>
                <w:rFonts w:hint="default" w:ascii="Times New Roman" w:hAnsi="Times New Roman" w:cs="Times New Roman"/>
                <w:color w:val="auto"/>
                <w:u w:val="none"/>
              </w:rPr>
            </w:pPr>
          </w:p>
        </w:tc>
      </w:tr>
      <w:tr w14:paraId="7E9727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continue"/>
            <w:tcBorders>
              <w:tl2br w:val="nil"/>
              <w:tr2bl w:val="nil"/>
            </w:tcBorders>
            <w:vAlign w:val="center"/>
          </w:tcPr>
          <w:p w14:paraId="20CC2F7B">
            <w:pPr>
              <w:pStyle w:val="41"/>
              <w:adjustRightInd w:val="0"/>
              <w:snapToGrid w:val="0"/>
              <w:rPr>
                <w:rFonts w:hint="default" w:ascii="Times New Roman" w:hAnsi="Times New Roman" w:cs="Times New Roman"/>
                <w:color w:val="auto"/>
                <w:u w:val="none"/>
              </w:rPr>
            </w:pPr>
          </w:p>
        </w:tc>
        <w:tc>
          <w:tcPr>
            <w:tcW w:w="915" w:type="pct"/>
            <w:tcBorders>
              <w:tl2br w:val="nil"/>
              <w:tr2bl w:val="nil"/>
            </w:tcBorders>
            <w:vAlign w:val="center"/>
          </w:tcPr>
          <w:p w14:paraId="73F10B60">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排水管网</w:t>
            </w:r>
          </w:p>
        </w:tc>
        <w:tc>
          <w:tcPr>
            <w:tcW w:w="3491" w:type="pct"/>
            <w:tcBorders>
              <w:tl2br w:val="nil"/>
              <w:tr2bl w:val="nil"/>
            </w:tcBorders>
            <w:vAlign w:val="center"/>
          </w:tcPr>
          <w:p w14:paraId="45023E5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沟渠用砖砌后再用水泥硬化防渗，加强巡检，定期监测排水管线密封性，杜绝污水渗漏</w:t>
            </w:r>
          </w:p>
        </w:tc>
      </w:tr>
      <w:tr w14:paraId="5AC3AB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restart"/>
            <w:tcBorders>
              <w:tl2br w:val="nil"/>
              <w:tr2bl w:val="nil"/>
            </w:tcBorders>
            <w:vAlign w:val="center"/>
          </w:tcPr>
          <w:p w14:paraId="22F4119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一般污染防治区</w:t>
            </w:r>
          </w:p>
        </w:tc>
        <w:tc>
          <w:tcPr>
            <w:tcW w:w="915" w:type="pct"/>
            <w:tcBorders>
              <w:tl2br w:val="nil"/>
              <w:tr2bl w:val="nil"/>
            </w:tcBorders>
            <w:vAlign w:val="center"/>
          </w:tcPr>
          <w:p w14:paraId="29A2FD0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一般固废暂存间</w:t>
            </w:r>
          </w:p>
        </w:tc>
        <w:tc>
          <w:tcPr>
            <w:tcW w:w="3491" w:type="pct"/>
            <w:vMerge w:val="restart"/>
            <w:tcBorders>
              <w:tl2br w:val="nil"/>
              <w:tr2bl w:val="nil"/>
            </w:tcBorders>
            <w:vAlign w:val="center"/>
          </w:tcPr>
          <w:p w14:paraId="3AE0EE5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采用抗渗等级不低于P1级的抗渗混凝土（渗透系数约0.4×10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cm/s，厚度不低于20cm）硬化地面。</w:t>
            </w:r>
          </w:p>
        </w:tc>
      </w:tr>
      <w:tr w14:paraId="12DA84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restart"/>
            <w:tcBorders>
              <w:tl2br w:val="nil"/>
              <w:tr2bl w:val="nil"/>
            </w:tcBorders>
            <w:vAlign w:val="center"/>
          </w:tcPr>
          <w:p w14:paraId="2E28742B">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简单防渗区</w:t>
            </w:r>
          </w:p>
        </w:tc>
        <w:tc>
          <w:tcPr>
            <w:tcW w:w="915" w:type="pct"/>
            <w:tcBorders>
              <w:tl2br w:val="nil"/>
              <w:tr2bl w:val="nil"/>
            </w:tcBorders>
            <w:vAlign w:val="center"/>
          </w:tcPr>
          <w:p w14:paraId="31472FB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办公区</w:t>
            </w:r>
          </w:p>
        </w:tc>
        <w:tc>
          <w:tcPr>
            <w:tcW w:w="3491" w:type="pct"/>
            <w:vMerge w:val="restart"/>
            <w:tcBorders>
              <w:tl2br w:val="nil"/>
              <w:tr2bl w:val="nil"/>
            </w:tcBorders>
            <w:vAlign w:val="center"/>
          </w:tcPr>
          <w:p w14:paraId="38777D1B">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硬化措施</w:t>
            </w:r>
          </w:p>
        </w:tc>
      </w:tr>
      <w:tr w14:paraId="303417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3" w:type="pct"/>
            <w:vMerge w:val="continue"/>
            <w:tcBorders>
              <w:tl2br w:val="nil"/>
              <w:tr2bl w:val="nil"/>
            </w:tcBorders>
            <w:vAlign w:val="center"/>
          </w:tcPr>
          <w:p w14:paraId="76180D8A">
            <w:pPr>
              <w:pStyle w:val="41"/>
              <w:adjustRightInd w:val="0"/>
              <w:snapToGrid w:val="0"/>
              <w:rPr>
                <w:rFonts w:hint="default" w:ascii="Times New Roman" w:hAnsi="Times New Roman" w:cs="Times New Roman"/>
                <w:color w:val="auto"/>
                <w:u w:val="none"/>
              </w:rPr>
            </w:pPr>
          </w:p>
        </w:tc>
        <w:tc>
          <w:tcPr>
            <w:tcW w:w="915" w:type="pct"/>
            <w:tcBorders>
              <w:tl2br w:val="nil"/>
              <w:tr2bl w:val="nil"/>
            </w:tcBorders>
            <w:vAlign w:val="center"/>
          </w:tcPr>
          <w:p w14:paraId="10C4A41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厂区道路</w:t>
            </w:r>
          </w:p>
        </w:tc>
        <w:tc>
          <w:tcPr>
            <w:tcW w:w="3491" w:type="pct"/>
            <w:vMerge w:val="continue"/>
            <w:tcBorders>
              <w:tl2br w:val="nil"/>
              <w:tr2bl w:val="nil"/>
            </w:tcBorders>
            <w:vAlign w:val="center"/>
          </w:tcPr>
          <w:p w14:paraId="5269FE84">
            <w:pPr>
              <w:pStyle w:val="41"/>
              <w:adjustRightInd w:val="0"/>
              <w:snapToGrid w:val="0"/>
              <w:rPr>
                <w:rFonts w:hint="default" w:ascii="Times New Roman" w:hAnsi="Times New Roman" w:cs="Times New Roman"/>
                <w:color w:val="auto"/>
                <w:u w:val="none"/>
              </w:rPr>
            </w:pPr>
          </w:p>
        </w:tc>
      </w:tr>
    </w:tbl>
    <w:p w14:paraId="67D3D51D">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在采取上述措施后，项目生产废水渗漏的可能性不大，因此通过包气带垂直渗透进入地下水的可能性小，对地下水影响很小。</w:t>
      </w:r>
    </w:p>
    <w:p w14:paraId="261D406B">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营运期噪声环境影响分析</w:t>
      </w:r>
      <w:bookmarkEnd w:id="133"/>
    </w:p>
    <w:p w14:paraId="6E932534">
      <w:pPr>
        <w:ind w:firstLine="480"/>
        <w:rPr>
          <w:rFonts w:hint="default" w:ascii="Times New Roman" w:hAnsi="Times New Roman" w:cs="Times New Roman"/>
          <w:color w:val="auto"/>
          <w:u w:val="none"/>
        </w:rPr>
      </w:pPr>
      <w:bookmarkStart w:id="134" w:name="_Toc20108"/>
      <w:r>
        <w:rPr>
          <w:rFonts w:hint="default" w:ascii="Times New Roman" w:hAnsi="Times New Roman" w:cs="Times New Roman"/>
          <w:color w:val="auto"/>
          <w:u w:val="none"/>
        </w:rPr>
        <w:t>本建设项目投产后的设备噪声对声学环境的影响评价范围控制在厂界和厂界外200m范围内进行。根据《环境影响评价技术导则声环境》（HJ2.4-2021）中对噪声源强的分类，项目噪声源按声源性质可以分为流动声源和固定声源两大类，机动车辆为流动声源，场内固定的产噪设备为固定声源。在本项目中，项目工业噪声源强主要为固定声源，流动声源主要为货车。根据平面布局及工程分析分析，项目流动声源在停车及低速情况下产生的噪声影响基本可控制在厂区内，项目主要噪声源为各生产车间内设备运行时产生的噪声。因此，本项目根据导则对工业噪声预测。污染源及源强见下表。</w:t>
      </w:r>
    </w:p>
    <w:p w14:paraId="33C321B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表6.2-28  主要设备噪声源强一览表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01"/>
        <w:gridCol w:w="1053"/>
        <w:gridCol w:w="939"/>
        <w:gridCol w:w="900"/>
        <w:gridCol w:w="2014"/>
        <w:gridCol w:w="2012"/>
      </w:tblGrid>
      <w:tr w14:paraId="49883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940" w:type="pct"/>
            <w:vMerge w:val="restart"/>
            <w:vAlign w:val="center"/>
          </w:tcPr>
          <w:p w14:paraId="02F5795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设备名称</w:t>
            </w:r>
          </w:p>
        </w:tc>
        <w:tc>
          <w:tcPr>
            <w:tcW w:w="618" w:type="pct"/>
            <w:vMerge w:val="restart"/>
            <w:vAlign w:val="center"/>
          </w:tcPr>
          <w:p w14:paraId="531B84C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设备数量</w:t>
            </w:r>
          </w:p>
        </w:tc>
        <w:tc>
          <w:tcPr>
            <w:tcW w:w="1079" w:type="pct"/>
            <w:gridSpan w:val="2"/>
            <w:vAlign w:val="center"/>
          </w:tcPr>
          <w:p w14:paraId="2EEADB9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噪声源强dB(A)</w:t>
            </w:r>
          </w:p>
        </w:tc>
        <w:tc>
          <w:tcPr>
            <w:tcW w:w="1182" w:type="pct"/>
            <w:vMerge w:val="restart"/>
            <w:vAlign w:val="center"/>
          </w:tcPr>
          <w:p w14:paraId="3483445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防治措施</w:t>
            </w:r>
          </w:p>
        </w:tc>
        <w:tc>
          <w:tcPr>
            <w:tcW w:w="1179" w:type="pct"/>
            <w:vMerge w:val="restart"/>
            <w:vAlign w:val="center"/>
          </w:tcPr>
          <w:p w14:paraId="7BC828F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整体噪声</w:t>
            </w:r>
          </w:p>
        </w:tc>
      </w:tr>
      <w:tr w14:paraId="0C2D8A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vMerge w:val="continue"/>
            <w:vAlign w:val="center"/>
          </w:tcPr>
          <w:p w14:paraId="26D45A44">
            <w:pPr>
              <w:pStyle w:val="41"/>
              <w:rPr>
                <w:rFonts w:hint="default" w:ascii="Times New Roman" w:hAnsi="Times New Roman" w:cs="Times New Roman"/>
                <w:color w:val="auto"/>
                <w:u w:val="none"/>
              </w:rPr>
            </w:pPr>
          </w:p>
        </w:tc>
        <w:tc>
          <w:tcPr>
            <w:tcW w:w="618" w:type="pct"/>
            <w:vMerge w:val="continue"/>
            <w:vAlign w:val="center"/>
          </w:tcPr>
          <w:p w14:paraId="0675C8B3">
            <w:pPr>
              <w:pStyle w:val="41"/>
              <w:rPr>
                <w:rFonts w:hint="default" w:ascii="Times New Roman" w:hAnsi="Times New Roman" w:cs="Times New Roman"/>
                <w:color w:val="auto"/>
                <w:u w:val="none"/>
              </w:rPr>
            </w:pPr>
          </w:p>
        </w:tc>
        <w:tc>
          <w:tcPr>
            <w:tcW w:w="551" w:type="pct"/>
            <w:vAlign w:val="center"/>
          </w:tcPr>
          <w:p w14:paraId="79F4F0B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治理前</w:t>
            </w:r>
          </w:p>
        </w:tc>
        <w:tc>
          <w:tcPr>
            <w:tcW w:w="528" w:type="pct"/>
            <w:vAlign w:val="center"/>
          </w:tcPr>
          <w:p w14:paraId="5F0F5A5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治理后</w:t>
            </w:r>
          </w:p>
        </w:tc>
        <w:tc>
          <w:tcPr>
            <w:tcW w:w="1182" w:type="pct"/>
            <w:vMerge w:val="continue"/>
            <w:vAlign w:val="center"/>
          </w:tcPr>
          <w:p w14:paraId="22712FEC">
            <w:pPr>
              <w:pStyle w:val="41"/>
              <w:rPr>
                <w:rFonts w:hint="default" w:ascii="Times New Roman" w:hAnsi="Times New Roman" w:cs="Times New Roman"/>
                <w:color w:val="auto"/>
                <w:u w:val="none"/>
              </w:rPr>
            </w:pPr>
          </w:p>
        </w:tc>
        <w:tc>
          <w:tcPr>
            <w:tcW w:w="1179" w:type="pct"/>
            <w:vMerge w:val="continue"/>
            <w:vAlign w:val="center"/>
          </w:tcPr>
          <w:p w14:paraId="36148FC8">
            <w:pPr>
              <w:pStyle w:val="41"/>
              <w:rPr>
                <w:rFonts w:hint="default" w:ascii="Times New Roman" w:hAnsi="Times New Roman" w:cs="Times New Roman"/>
                <w:color w:val="auto"/>
                <w:u w:val="none"/>
              </w:rPr>
            </w:pPr>
          </w:p>
        </w:tc>
      </w:tr>
      <w:tr w14:paraId="7B92B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gridSpan w:val="6"/>
            <w:vAlign w:val="center"/>
          </w:tcPr>
          <w:p w14:paraId="33C78C93">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阳极自动线</w:t>
            </w:r>
          </w:p>
        </w:tc>
      </w:tr>
      <w:tr w14:paraId="30D11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vAlign w:val="center"/>
          </w:tcPr>
          <w:p w14:paraId="6C2ADA0D">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自动阳极设备</w:t>
            </w:r>
          </w:p>
        </w:tc>
        <w:tc>
          <w:tcPr>
            <w:tcW w:w="618" w:type="pct"/>
            <w:vAlign w:val="center"/>
          </w:tcPr>
          <w:p w14:paraId="530F6D64">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2</w:t>
            </w:r>
          </w:p>
        </w:tc>
        <w:tc>
          <w:tcPr>
            <w:tcW w:w="551" w:type="pct"/>
            <w:vAlign w:val="top"/>
          </w:tcPr>
          <w:p w14:paraId="21A4D556">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65</w:t>
            </w:r>
          </w:p>
        </w:tc>
        <w:tc>
          <w:tcPr>
            <w:tcW w:w="528" w:type="pct"/>
            <w:vAlign w:val="center"/>
          </w:tcPr>
          <w:p w14:paraId="0E2CA889">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50</w:t>
            </w:r>
          </w:p>
        </w:tc>
        <w:tc>
          <w:tcPr>
            <w:tcW w:w="1182" w:type="pct"/>
            <w:vAlign w:val="center"/>
          </w:tcPr>
          <w:p w14:paraId="33D9A57E">
            <w:pPr>
              <w:pStyle w:val="41"/>
              <w:rPr>
                <w:rFonts w:hint="default" w:ascii="Times New Roman" w:hAnsi="Times New Roman" w:cs="Times New Roman"/>
                <w:color w:val="auto"/>
                <w:u w:val="none"/>
              </w:rPr>
            </w:pPr>
            <w:r>
              <w:rPr>
                <w:rFonts w:hint="default" w:ascii="Times New Roman" w:hAnsi="Times New Roman" w:eastAsia="宋体" w:cs="Times New Roman"/>
                <w:color w:val="auto"/>
                <w:u w:val="none"/>
                <w:lang w:val="en-US" w:eastAsia="zh-CN"/>
              </w:rPr>
              <w:t>厂房隔音、基础减震</w:t>
            </w:r>
          </w:p>
        </w:tc>
        <w:tc>
          <w:tcPr>
            <w:tcW w:w="1179" w:type="pct"/>
            <w:vMerge w:val="restart"/>
            <w:vAlign w:val="center"/>
          </w:tcPr>
          <w:p w14:paraId="660FC9F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67.8</w:t>
            </w:r>
          </w:p>
        </w:tc>
      </w:tr>
      <w:tr w14:paraId="2B194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vAlign w:val="center"/>
          </w:tcPr>
          <w:p w14:paraId="5AA7F4DD">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酸碱废气处理设备</w:t>
            </w:r>
          </w:p>
        </w:tc>
        <w:tc>
          <w:tcPr>
            <w:tcW w:w="618" w:type="pct"/>
            <w:vAlign w:val="center"/>
          </w:tcPr>
          <w:p w14:paraId="78925611">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1</w:t>
            </w:r>
          </w:p>
        </w:tc>
        <w:tc>
          <w:tcPr>
            <w:tcW w:w="551" w:type="pct"/>
            <w:vAlign w:val="top"/>
          </w:tcPr>
          <w:p w14:paraId="572302EE">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70</w:t>
            </w:r>
          </w:p>
        </w:tc>
        <w:tc>
          <w:tcPr>
            <w:tcW w:w="528" w:type="pct"/>
            <w:vAlign w:val="center"/>
          </w:tcPr>
          <w:p w14:paraId="73645D6C">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55</w:t>
            </w:r>
          </w:p>
        </w:tc>
        <w:tc>
          <w:tcPr>
            <w:tcW w:w="1182" w:type="pct"/>
            <w:vAlign w:val="center"/>
          </w:tcPr>
          <w:p w14:paraId="59A791E5">
            <w:pPr>
              <w:pStyle w:val="41"/>
              <w:rPr>
                <w:rFonts w:hint="default" w:ascii="Times New Roman" w:hAnsi="Times New Roman" w:cs="Times New Roman"/>
                <w:color w:val="auto"/>
                <w:u w:val="none"/>
              </w:rPr>
            </w:pPr>
            <w:r>
              <w:rPr>
                <w:rFonts w:hint="default" w:ascii="Times New Roman" w:hAnsi="Times New Roman" w:eastAsia="宋体" w:cs="Times New Roman"/>
                <w:color w:val="auto"/>
                <w:u w:val="none"/>
                <w:lang w:val="en-US" w:eastAsia="zh-CN"/>
              </w:rPr>
              <w:t>厂房隔音、基础减震</w:t>
            </w:r>
          </w:p>
        </w:tc>
        <w:tc>
          <w:tcPr>
            <w:tcW w:w="1179" w:type="pct"/>
            <w:vMerge w:val="continue"/>
            <w:vAlign w:val="center"/>
          </w:tcPr>
          <w:p w14:paraId="6E3AFF53">
            <w:pPr>
              <w:pStyle w:val="41"/>
              <w:rPr>
                <w:rFonts w:hint="default" w:ascii="Times New Roman" w:hAnsi="Times New Roman" w:cs="Times New Roman"/>
                <w:color w:val="auto"/>
                <w:u w:val="none"/>
              </w:rPr>
            </w:pPr>
          </w:p>
        </w:tc>
      </w:tr>
      <w:tr w14:paraId="524CDC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vAlign w:val="center"/>
          </w:tcPr>
          <w:p w14:paraId="1F069118">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纯水机</w:t>
            </w:r>
          </w:p>
        </w:tc>
        <w:tc>
          <w:tcPr>
            <w:tcW w:w="618" w:type="pct"/>
            <w:vAlign w:val="center"/>
          </w:tcPr>
          <w:p w14:paraId="4657EC2B">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1</w:t>
            </w:r>
          </w:p>
        </w:tc>
        <w:tc>
          <w:tcPr>
            <w:tcW w:w="551" w:type="pct"/>
            <w:vAlign w:val="top"/>
          </w:tcPr>
          <w:p w14:paraId="298F82DD">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65</w:t>
            </w:r>
          </w:p>
        </w:tc>
        <w:tc>
          <w:tcPr>
            <w:tcW w:w="528" w:type="pct"/>
            <w:vAlign w:val="center"/>
          </w:tcPr>
          <w:p w14:paraId="51E5E470">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50</w:t>
            </w:r>
          </w:p>
        </w:tc>
        <w:tc>
          <w:tcPr>
            <w:tcW w:w="1182" w:type="pct"/>
            <w:vAlign w:val="center"/>
          </w:tcPr>
          <w:p w14:paraId="0E771CE6">
            <w:pPr>
              <w:pStyle w:val="41"/>
              <w:rPr>
                <w:rFonts w:hint="default" w:ascii="Times New Roman" w:hAnsi="Times New Roman" w:cs="Times New Roman"/>
                <w:color w:val="auto"/>
                <w:u w:val="none"/>
              </w:rPr>
            </w:pPr>
            <w:r>
              <w:rPr>
                <w:rFonts w:hint="default" w:ascii="Times New Roman" w:hAnsi="Times New Roman" w:eastAsia="宋体" w:cs="Times New Roman"/>
                <w:color w:val="auto"/>
                <w:u w:val="none"/>
                <w:lang w:val="en-US" w:eastAsia="zh-CN"/>
              </w:rPr>
              <w:t>厂房隔音、基础减震</w:t>
            </w:r>
          </w:p>
        </w:tc>
        <w:tc>
          <w:tcPr>
            <w:tcW w:w="1179" w:type="pct"/>
            <w:vMerge w:val="continue"/>
            <w:vAlign w:val="center"/>
          </w:tcPr>
          <w:p w14:paraId="347389F0">
            <w:pPr>
              <w:pStyle w:val="41"/>
              <w:rPr>
                <w:rFonts w:hint="default" w:ascii="Times New Roman" w:hAnsi="Times New Roman" w:cs="Times New Roman"/>
                <w:color w:val="auto"/>
                <w:u w:val="none"/>
              </w:rPr>
            </w:pPr>
          </w:p>
        </w:tc>
      </w:tr>
      <w:tr w14:paraId="27E98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vAlign w:val="center"/>
          </w:tcPr>
          <w:p w14:paraId="404F0CBE">
            <w:pPr>
              <w:pStyle w:val="41"/>
              <w:rPr>
                <w:rFonts w:hint="default" w:ascii="Times New Roman" w:hAnsi="Times New Roman" w:cs="Times New Roman"/>
                <w:color w:val="FF0000"/>
                <w:u w:val="none"/>
              </w:rPr>
            </w:pPr>
            <w:r>
              <w:rPr>
                <w:rFonts w:hint="eastAsia" w:ascii="Times New Roman" w:hAnsi="Times New Roman" w:eastAsia="宋体" w:cs="Times New Roman"/>
                <w:color w:val="auto"/>
                <w:u w:val="none"/>
                <w:lang w:val="en-US" w:eastAsia="zh-CN"/>
              </w:rPr>
              <w:t>冷冻机</w:t>
            </w:r>
          </w:p>
        </w:tc>
        <w:tc>
          <w:tcPr>
            <w:tcW w:w="618" w:type="pct"/>
            <w:vAlign w:val="center"/>
          </w:tcPr>
          <w:p w14:paraId="2A2F0F3B">
            <w:pPr>
              <w:pStyle w:val="41"/>
              <w:rPr>
                <w:rFonts w:hint="default" w:ascii="Times New Roman" w:hAnsi="Times New Roman" w:cs="Times New Roman"/>
                <w:color w:val="FF0000"/>
                <w:u w:val="none"/>
              </w:rPr>
            </w:pPr>
            <w:r>
              <w:rPr>
                <w:rFonts w:hint="eastAsia" w:cs="Times New Roman"/>
                <w:color w:val="auto"/>
                <w:u w:val="none"/>
                <w:lang w:val="en-US" w:eastAsia="zh-CN"/>
              </w:rPr>
              <w:t>2</w:t>
            </w:r>
          </w:p>
        </w:tc>
        <w:tc>
          <w:tcPr>
            <w:tcW w:w="551" w:type="pct"/>
            <w:vAlign w:val="top"/>
          </w:tcPr>
          <w:p w14:paraId="069BF0D6">
            <w:pPr>
              <w:pStyle w:val="41"/>
              <w:rPr>
                <w:rFonts w:hint="default" w:ascii="Times New Roman" w:hAnsi="Times New Roman" w:cs="Times New Roman"/>
                <w:color w:val="FF0000"/>
                <w:u w:val="none"/>
              </w:rPr>
            </w:pPr>
            <w:r>
              <w:rPr>
                <w:rFonts w:hint="eastAsia" w:ascii="Times New Roman" w:hAnsi="Times New Roman" w:eastAsia="宋体" w:cs="Times New Roman"/>
                <w:color w:val="auto"/>
                <w:u w:val="none"/>
                <w:lang w:val="en-US" w:eastAsia="zh-CN"/>
              </w:rPr>
              <w:t>70</w:t>
            </w:r>
          </w:p>
        </w:tc>
        <w:tc>
          <w:tcPr>
            <w:tcW w:w="528" w:type="pct"/>
            <w:vAlign w:val="center"/>
          </w:tcPr>
          <w:p w14:paraId="5D8B355A">
            <w:pPr>
              <w:pStyle w:val="41"/>
              <w:rPr>
                <w:rFonts w:hint="default" w:ascii="Times New Roman" w:hAnsi="Times New Roman" w:cs="Times New Roman"/>
                <w:color w:val="FF0000"/>
                <w:u w:val="none"/>
              </w:rPr>
            </w:pPr>
            <w:r>
              <w:rPr>
                <w:rFonts w:hint="eastAsia" w:ascii="Times New Roman" w:hAnsi="Times New Roman" w:eastAsia="宋体" w:cs="Times New Roman"/>
                <w:color w:val="auto"/>
                <w:u w:val="none"/>
                <w:lang w:val="en-US" w:eastAsia="zh-CN"/>
              </w:rPr>
              <w:t>55</w:t>
            </w:r>
          </w:p>
        </w:tc>
        <w:tc>
          <w:tcPr>
            <w:tcW w:w="1182" w:type="pct"/>
            <w:vAlign w:val="center"/>
          </w:tcPr>
          <w:p w14:paraId="3FD74382">
            <w:pPr>
              <w:pStyle w:val="41"/>
              <w:rPr>
                <w:rFonts w:hint="default" w:ascii="Times New Roman" w:hAnsi="Times New Roman" w:cs="Times New Roman"/>
                <w:color w:val="FF0000"/>
                <w:u w:val="none"/>
              </w:rPr>
            </w:pPr>
            <w:r>
              <w:rPr>
                <w:rFonts w:hint="default" w:ascii="Times New Roman" w:hAnsi="Times New Roman" w:eastAsia="宋体" w:cs="Times New Roman"/>
                <w:color w:val="auto"/>
                <w:u w:val="none"/>
                <w:lang w:val="en-US" w:eastAsia="zh-CN"/>
              </w:rPr>
              <w:t>厂房隔音、基础减震</w:t>
            </w:r>
          </w:p>
        </w:tc>
        <w:tc>
          <w:tcPr>
            <w:tcW w:w="1179" w:type="pct"/>
            <w:vMerge w:val="continue"/>
            <w:vAlign w:val="center"/>
          </w:tcPr>
          <w:p w14:paraId="3E3C1297">
            <w:pPr>
              <w:pStyle w:val="41"/>
              <w:rPr>
                <w:rFonts w:hint="default" w:ascii="Times New Roman" w:hAnsi="Times New Roman" w:cs="Times New Roman"/>
                <w:color w:val="FF0000"/>
                <w:u w:val="none"/>
              </w:rPr>
            </w:pPr>
          </w:p>
        </w:tc>
      </w:tr>
      <w:tr w14:paraId="7B7D94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40" w:type="pct"/>
            <w:vAlign w:val="center"/>
          </w:tcPr>
          <w:p w14:paraId="60B20B10">
            <w:pPr>
              <w:pStyle w:val="41"/>
              <w:rPr>
                <w:rFonts w:hint="default" w:ascii="Times New Roman" w:hAnsi="Times New Roman" w:cs="Times New Roman"/>
                <w:color w:val="FF0000"/>
                <w:u w:val="none"/>
              </w:rPr>
            </w:pPr>
            <w:r>
              <w:rPr>
                <w:rFonts w:hint="eastAsia" w:ascii="Times New Roman" w:hAnsi="Times New Roman" w:eastAsia="宋体" w:cs="Times New Roman"/>
                <w:color w:val="auto"/>
                <w:u w:val="none"/>
                <w:lang w:val="en-US" w:eastAsia="zh-CN"/>
              </w:rPr>
              <w:t>空压机</w:t>
            </w:r>
          </w:p>
        </w:tc>
        <w:tc>
          <w:tcPr>
            <w:tcW w:w="618" w:type="pct"/>
            <w:vAlign w:val="center"/>
          </w:tcPr>
          <w:p w14:paraId="2FEAC471">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1</w:t>
            </w:r>
          </w:p>
        </w:tc>
        <w:tc>
          <w:tcPr>
            <w:tcW w:w="551" w:type="pct"/>
            <w:vAlign w:val="top"/>
          </w:tcPr>
          <w:p w14:paraId="1F12238F">
            <w:pPr>
              <w:pStyle w:val="41"/>
              <w:rPr>
                <w:rFonts w:hint="default" w:ascii="Times New Roman" w:hAnsi="Times New Roman" w:cs="Times New Roman"/>
                <w:color w:val="auto"/>
                <w:u w:val="none"/>
              </w:rPr>
            </w:pPr>
            <w:r>
              <w:rPr>
                <w:rFonts w:hint="eastAsia" w:ascii="Times New Roman" w:hAnsi="Times New Roman" w:eastAsia="宋体" w:cs="Times New Roman"/>
                <w:color w:val="auto"/>
                <w:u w:val="none"/>
                <w:lang w:val="en-US" w:eastAsia="zh-CN"/>
              </w:rPr>
              <w:t>80</w:t>
            </w:r>
          </w:p>
        </w:tc>
        <w:tc>
          <w:tcPr>
            <w:tcW w:w="528" w:type="pct"/>
            <w:vAlign w:val="center"/>
          </w:tcPr>
          <w:p w14:paraId="328F4A51">
            <w:pPr>
              <w:pStyle w:val="41"/>
              <w:rPr>
                <w:rFonts w:hint="default" w:ascii="Times New Roman" w:hAnsi="Times New Roman" w:cs="Times New Roman"/>
                <w:color w:val="FF0000"/>
                <w:u w:val="none"/>
              </w:rPr>
            </w:pPr>
            <w:r>
              <w:rPr>
                <w:rFonts w:hint="eastAsia" w:ascii="Times New Roman" w:hAnsi="Times New Roman" w:eastAsia="宋体" w:cs="Times New Roman"/>
                <w:color w:val="auto"/>
                <w:u w:val="none"/>
                <w:lang w:val="en-US" w:eastAsia="zh-CN"/>
              </w:rPr>
              <w:t>65</w:t>
            </w:r>
          </w:p>
        </w:tc>
        <w:tc>
          <w:tcPr>
            <w:tcW w:w="1182" w:type="pct"/>
            <w:vAlign w:val="center"/>
          </w:tcPr>
          <w:p w14:paraId="6EAC6FC8">
            <w:pPr>
              <w:pStyle w:val="41"/>
              <w:rPr>
                <w:rFonts w:hint="default" w:ascii="Times New Roman" w:hAnsi="Times New Roman" w:cs="Times New Roman"/>
                <w:color w:val="FF0000"/>
                <w:u w:val="none"/>
              </w:rPr>
            </w:pPr>
            <w:r>
              <w:rPr>
                <w:rFonts w:hint="default" w:ascii="Times New Roman" w:hAnsi="Times New Roman" w:eastAsia="宋体" w:cs="Times New Roman"/>
                <w:color w:val="auto"/>
                <w:u w:val="none"/>
                <w:lang w:val="en-US" w:eastAsia="zh-CN"/>
              </w:rPr>
              <w:t>厂房隔音、基础减震</w:t>
            </w:r>
          </w:p>
        </w:tc>
        <w:tc>
          <w:tcPr>
            <w:tcW w:w="1179" w:type="pct"/>
            <w:vMerge w:val="continue"/>
            <w:vAlign w:val="center"/>
          </w:tcPr>
          <w:p w14:paraId="12E3CE3E">
            <w:pPr>
              <w:pStyle w:val="41"/>
              <w:rPr>
                <w:rFonts w:hint="default" w:ascii="Times New Roman" w:hAnsi="Times New Roman" w:cs="Times New Roman"/>
                <w:color w:val="FF0000"/>
                <w:u w:val="none"/>
              </w:rPr>
            </w:pPr>
          </w:p>
        </w:tc>
      </w:tr>
    </w:tbl>
    <w:p w14:paraId="7518E979">
      <w:pPr>
        <w:pStyle w:val="6"/>
        <w:ind w:left="-720" w:firstLineChars="0"/>
        <w:rPr>
          <w:rFonts w:hint="default" w:ascii="Times New Roman" w:hAnsi="Times New Roman" w:cs="Times New Roman"/>
          <w:color w:val="auto"/>
          <w:u w:val="none"/>
        </w:rPr>
      </w:pPr>
      <w:r>
        <w:rPr>
          <w:rFonts w:hint="default" w:ascii="Times New Roman" w:hAnsi="Times New Roman" w:cs="Times New Roman"/>
          <w:color w:val="auto"/>
          <w:u w:val="none"/>
        </w:rPr>
        <w:t>噪声源与厂界距离</w:t>
      </w:r>
    </w:p>
    <w:p w14:paraId="2D0D94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项目主要噪声车间有阳极氧化线等，采取两班工作制，每班</w:t>
      </w:r>
      <w:r>
        <w:rPr>
          <w:rFonts w:hint="eastAsia" w:ascii="Times New Roman" w:hAnsi="Times New Roman" w:cs="Times New Roman"/>
          <w:color w:val="auto"/>
          <w:u w:val="none"/>
          <w:lang w:val="en-US" w:eastAsia="zh-CN"/>
        </w:rPr>
        <w:t>12</w:t>
      </w:r>
      <w:r>
        <w:rPr>
          <w:rFonts w:hint="default" w:ascii="Times New Roman" w:hAnsi="Times New Roman" w:cs="Times New Roman"/>
          <w:color w:val="auto"/>
          <w:u w:val="none"/>
        </w:rPr>
        <w:t>小时。根据调查，主要噪声源与厂界四周的距离详见下表所示：</w:t>
      </w:r>
    </w:p>
    <w:p w14:paraId="6433133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6.2-29  主要噪声源距厂界距离</w:t>
      </w:r>
      <w:r>
        <w:rPr>
          <w:rFonts w:hint="default" w:ascii="Times New Roman" w:hAnsi="Times New Roman" w:cs="Times New Roman"/>
          <w:b/>
          <w:bCs/>
          <w:color w:val="auto"/>
          <w:u w:val="none"/>
        </w:rPr>
        <w:tab/>
      </w:r>
      <w:r>
        <w:rPr>
          <w:rFonts w:hint="default" w:ascii="Times New Roman" w:hAnsi="Times New Roman" w:cs="Times New Roman"/>
          <w:b/>
          <w:bCs/>
          <w:color w:val="auto"/>
          <w:u w:val="none"/>
        </w:rPr>
        <w:t>单位： m</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117"/>
        <w:gridCol w:w="2019"/>
        <w:gridCol w:w="1037"/>
        <w:gridCol w:w="1037"/>
        <w:gridCol w:w="1037"/>
        <w:gridCol w:w="1042"/>
      </w:tblGrid>
      <w:tr w14:paraId="48DE78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tcBorders>
              <w:tl2br w:val="nil"/>
              <w:tr2bl w:val="nil"/>
            </w:tcBorders>
            <w:vAlign w:val="center"/>
          </w:tcPr>
          <w:p w14:paraId="2089D25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噪声源</w:t>
            </w:r>
          </w:p>
        </w:tc>
        <w:tc>
          <w:tcPr>
            <w:tcW w:w="655" w:type="pct"/>
            <w:tcBorders>
              <w:tl2br w:val="nil"/>
              <w:tr2bl w:val="nil"/>
            </w:tcBorders>
            <w:vAlign w:val="center"/>
          </w:tcPr>
          <w:p w14:paraId="42B5863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预测源强</w:t>
            </w:r>
          </w:p>
        </w:tc>
        <w:tc>
          <w:tcPr>
            <w:tcW w:w="1184" w:type="pct"/>
            <w:tcBorders>
              <w:tl2br w:val="nil"/>
              <w:tr2bl w:val="nil"/>
            </w:tcBorders>
            <w:vAlign w:val="center"/>
          </w:tcPr>
          <w:p w14:paraId="0E9FBF1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预测参数</w:t>
            </w:r>
          </w:p>
        </w:tc>
        <w:tc>
          <w:tcPr>
            <w:tcW w:w="608" w:type="pct"/>
            <w:tcBorders>
              <w:tl2br w:val="nil"/>
              <w:tr2bl w:val="nil"/>
            </w:tcBorders>
            <w:vAlign w:val="center"/>
          </w:tcPr>
          <w:p w14:paraId="719261D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东侧</w:t>
            </w:r>
          </w:p>
        </w:tc>
        <w:tc>
          <w:tcPr>
            <w:tcW w:w="608" w:type="pct"/>
            <w:tcBorders>
              <w:tl2br w:val="nil"/>
              <w:tr2bl w:val="nil"/>
            </w:tcBorders>
            <w:vAlign w:val="center"/>
          </w:tcPr>
          <w:p w14:paraId="71EE9A33">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南侧</w:t>
            </w:r>
          </w:p>
        </w:tc>
        <w:tc>
          <w:tcPr>
            <w:tcW w:w="608" w:type="pct"/>
            <w:tcBorders>
              <w:tl2br w:val="nil"/>
              <w:tr2bl w:val="nil"/>
            </w:tcBorders>
            <w:vAlign w:val="center"/>
          </w:tcPr>
          <w:p w14:paraId="4D74109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西侧</w:t>
            </w:r>
          </w:p>
        </w:tc>
        <w:tc>
          <w:tcPr>
            <w:tcW w:w="611" w:type="pct"/>
            <w:tcBorders>
              <w:tl2br w:val="nil"/>
              <w:tr2bl w:val="nil"/>
            </w:tcBorders>
            <w:vAlign w:val="center"/>
          </w:tcPr>
          <w:p w14:paraId="32005EE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北侧</w:t>
            </w:r>
          </w:p>
        </w:tc>
      </w:tr>
      <w:tr w14:paraId="005E6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vMerge w:val="restart"/>
            <w:tcBorders>
              <w:tl2br w:val="nil"/>
              <w:tr2bl w:val="nil"/>
            </w:tcBorders>
            <w:vAlign w:val="center"/>
          </w:tcPr>
          <w:p w14:paraId="00D97205">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阳极自动线</w:t>
            </w:r>
          </w:p>
        </w:tc>
        <w:tc>
          <w:tcPr>
            <w:tcW w:w="655" w:type="pct"/>
            <w:vMerge w:val="restart"/>
            <w:tcBorders>
              <w:tl2br w:val="nil"/>
              <w:tr2bl w:val="nil"/>
            </w:tcBorders>
            <w:vAlign w:val="center"/>
          </w:tcPr>
          <w:p w14:paraId="67C6A3F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67.8</w:t>
            </w:r>
          </w:p>
        </w:tc>
        <w:tc>
          <w:tcPr>
            <w:tcW w:w="1184" w:type="pct"/>
            <w:tcBorders>
              <w:tl2br w:val="nil"/>
              <w:tr2bl w:val="nil"/>
            </w:tcBorders>
            <w:vAlign w:val="center"/>
          </w:tcPr>
          <w:p w14:paraId="75DC095C">
            <w:pPr>
              <w:pStyle w:val="41"/>
              <w:rPr>
                <w:rFonts w:hint="default" w:ascii="Times New Roman" w:hAnsi="Times New Roman" w:cs="Times New Roman"/>
                <w:color w:val="auto"/>
                <w:u w:val="none"/>
              </w:rPr>
            </w:pPr>
            <w:r>
              <w:rPr>
                <w:rFonts w:hint="default" w:ascii="Times New Roman" w:hAnsi="Times New Roman" w:cs="Times New Roman"/>
                <w:color w:val="auto"/>
                <w:u w:val="none"/>
              </w:rPr>
              <w:t>距离（m）</w:t>
            </w:r>
          </w:p>
        </w:tc>
        <w:tc>
          <w:tcPr>
            <w:tcW w:w="608" w:type="pct"/>
            <w:tcBorders>
              <w:tl2br w:val="nil"/>
              <w:tr2bl w:val="nil"/>
            </w:tcBorders>
            <w:vAlign w:val="center"/>
          </w:tcPr>
          <w:p w14:paraId="28BE2C12">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12</w:t>
            </w:r>
          </w:p>
        </w:tc>
        <w:tc>
          <w:tcPr>
            <w:tcW w:w="608" w:type="pct"/>
            <w:tcBorders>
              <w:tl2br w:val="nil"/>
              <w:tr2bl w:val="nil"/>
            </w:tcBorders>
            <w:vAlign w:val="center"/>
          </w:tcPr>
          <w:p w14:paraId="6F87210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10</w:t>
            </w:r>
          </w:p>
        </w:tc>
        <w:tc>
          <w:tcPr>
            <w:tcW w:w="608" w:type="pct"/>
            <w:tcBorders>
              <w:tl2br w:val="nil"/>
              <w:tr2bl w:val="nil"/>
            </w:tcBorders>
            <w:vAlign w:val="center"/>
          </w:tcPr>
          <w:p w14:paraId="3D72AA0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w:t>
            </w:r>
          </w:p>
        </w:tc>
        <w:tc>
          <w:tcPr>
            <w:tcW w:w="611" w:type="pct"/>
            <w:tcBorders>
              <w:tl2br w:val="nil"/>
              <w:tr2bl w:val="nil"/>
            </w:tcBorders>
            <w:vAlign w:val="center"/>
          </w:tcPr>
          <w:p w14:paraId="3B1CA002">
            <w:pPr>
              <w:pStyle w:val="41"/>
              <w:ind w:right="113" w:firstLine="210" w:firstLineChars="100"/>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70</w:t>
            </w:r>
          </w:p>
        </w:tc>
      </w:tr>
      <w:tr w14:paraId="72F91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2" w:type="pct"/>
            <w:vMerge w:val="continue"/>
            <w:tcBorders>
              <w:tl2br w:val="nil"/>
              <w:tr2bl w:val="nil"/>
            </w:tcBorders>
            <w:vAlign w:val="center"/>
          </w:tcPr>
          <w:p w14:paraId="472AE64A">
            <w:pPr>
              <w:pStyle w:val="41"/>
              <w:rPr>
                <w:rFonts w:hint="default" w:ascii="Times New Roman" w:hAnsi="Times New Roman" w:cs="Times New Roman"/>
                <w:color w:val="auto"/>
                <w:u w:val="none"/>
              </w:rPr>
            </w:pPr>
          </w:p>
        </w:tc>
        <w:tc>
          <w:tcPr>
            <w:tcW w:w="655" w:type="pct"/>
            <w:vMerge w:val="continue"/>
            <w:tcBorders>
              <w:tl2br w:val="nil"/>
              <w:tr2bl w:val="nil"/>
            </w:tcBorders>
            <w:vAlign w:val="center"/>
          </w:tcPr>
          <w:p w14:paraId="625D55E9">
            <w:pPr>
              <w:pStyle w:val="41"/>
              <w:rPr>
                <w:rFonts w:hint="default" w:ascii="Times New Roman" w:hAnsi="Times New Roman" w:cs="Times New Roman"/>
                <w:color w:val="auto"/>
                <w:u w:val="none"/>
              </w:rPr>
            </w:pPr>
          </w:p>
        </w:tc>
        <w:tc>
          <w:tcPr>
            <w:tcW w:w="1184" w:type="pct"/>
            <w:tcBorders>
              <w:tl2br w:val="nil"/>
              <w:tr2bl w:val="nil"/>
            </w:tcBorders>
            <w:vAlign w:val="center"/>
          </w:tcPr>
          <w:p w14:paraId="6A636A73">
            <w:pPr>
              <w:pStyle w:val="41"/>
              <w:rPr>
                <w:rFonts w:hint="default" w:ascii="Times New Roman" w:hAnsi="Times New Roman" w:cs="Times New Roman"/>
                <w:color w:val="auto"/>
                <w:u w:val="none"/>
              </w:rPr>
            </w:pPr>
            <w:r>
              <w:rPr>
                <w:rFonts w:hint="default" w:ascii="Times New Roman" w:hAnsi="Times New Roman" w:cs="Times New Roman"/>
                <w:color w:val="auto"/>
                <w:u w:val="none"/>
              </w:rPr>
              <w:t>贡献值dB(A)</w:t>
            </w:r>
          </w:p>
        </w:tc>
        <w:tc>
          <w:tcPr>
            <w:tcW w:w="608" w:type="pct"/>
            <w:tcBorders>
              <w:tl2br w:val="nil"/>
              <w:tr2bl w:val="nil"/>
            </w:tcBorders>
            <w:vAlign w:val="center"/>
          </w:tcPr>
          <w:p w14:paraId="3ABE73E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43.2</w:t>
            </w:r>
          </w:p>
        </w:tc>
        <w:tc>
          <w:tcPr>
            <w:tcW w:w="608" w:type="pct"/>
            <w:tcBorders>
              <w:tl2br w:val="nil"/>
              <w:tr2bl w:val="nil"/>
            </w:tcBorders>
            <w:vAlign w:val="center"/>
          </w:tcPr>
          <w:p w14:paraId="2534095B">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44.2</w:t>
            </w:r>
          </w:p>
        </w:tc>
        <w:tc>
          <w:tcPr>
            <w:tcW w:w="608" w:type="pct"/>
            <w:tcBorders>
              <w:tl2br w:val="nil"/>
              <w:tr2bl w:val="nil"/>
            </w:tcBorders>
            <w:vAlign w:val="center"/>
          </w:tcPr>
          <w:p w14:paraId="686445C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41.2</w:t>
            </w:r>
          </w:p>
        </w:tc>
        <w:tc>
          <w:tcPr>
            <w:tcW w:w="611" w:type="pct"/>
            <w:tcBorders>
              <w:tl2br w:val="nil"/>
              <w:tr2bl w:val="nil"/>
            </w:tcBorders>
            <w:vAlign w:val="center"/>
          </w:tcPr>
          <w:p w14:paraId="7B128AE2">
            <w:pPr>
              <w:pStyle w:val="41"/>
              <w:ind w:right="113" w:firstLine="210" w:firstLineChars="100"/>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38.6</w:t>
            </w:r>
          </w:p>
        </w:tc>
      </w:tr>
    </w:tbl>
    <w:p w14:paraId="1F9DA996">
      <w:pPr>
        <w:pStyle w:val="6"/>
        <w:ind w:left="-480" w:firstLineChars="0"/>
        <w:rPr>
          <w:rFonts w:hint="default" w:ascii="Times New Roman" w:hAnsi="Times New Roman" w:cs="Times New Roman"/>
          <w:color w:val="auto"/>
          <w:u w:val="none"/>
        </w:rPr>
      </w:pPr>
      <w:r>
        <w:rPr>
          <w:rFonts w:hint="default" w:ascii="Times New Roman" w:hAnsi="Times New Roman" w:cs="Times New Roman"/>
          <w:color w:val="auto"/>
          <w:u w:val="none"/>
        </w:rPr>
        <w:t>预测模式</w:t>
      </w:r>
    </w:p>
    <w:p w14:paraId="6AB5142D">
      <w:pPr>
        <w:ind w:firstLine="480"/>
        <w:rPr>
          <w:rFonts w:hint="default" w:ascii="Times New Roman" w:hAnsi="Times New Roman" w:eastAsia="Times New Roman" w:cs="Times New Roman"/>
          <w:color w:val="auto"/>
          <w:u w:val="none"/>
        </w:rPr>
      </w:pPr>
      <w:r>
        <w:rPr>
          <w:rFonts w:hint="default" w:ascii="Times New Roman" w:hAnsi="Times New Roman" w:eastAsia="Times New Roman" w:cs="Times New Roman"/>
          <w:color w:val="auto"/>
          <w:u w:val="none"/>
        </w:rPr>
        <w:t>根据工程分析提供的噪声源参数</w:t>
      </w:r>
      <w:r>
        <w:rPr>
          <w:rFonts w:hint="default" w:ascii="Times New Roman" w:hAnsi="Times New Roman" w:cs="Times New Roman"/>
          <w:color w:val="auto"/>
          <w:u w:val="none"/>
        </w:rPr>
        <w:t>，</w:t>
      </w:r>
      <w:r>
        <w:rPr>
          <w:rFonts w:hint="default" w:ascii="Times New Roman" w:hAnsi="Times New Roman" w:eastAsia="Times New Roman" w:cs="Times New Roman"/>
          <w:color w:val="auto"/>
          <w:u w:val="none"/>
        </w:rPr>
        <w:t>采用《环境影响评价技术导则 声环境》（HJ2.4-2009）规定的声级计算公式进行影响预测。</w:t>
      </w:r>
    </w:p>
    <w:p w14:paraId="0F9F85FB">
      <w:pPr>
        <w:ind w:firstLine="480"/>
        <w:rPr>
          <w:rFonts w:hint="default" w:ascii="Times New Roman" w:hAnsi="Times New Roman" w:cs="Times New Roman"/>
          <w:color w:val="auto"/>
          <w:u w:val="none"/>
        </w:rPr>
      </w:pPr>
      <w:r>
        <w:rPr>
          <w:rFonts w:hint="default" w:ascii="Times New Roman" w:hAnsi="Times New Roman" w:eastAsia="Times New Roman" w:cs="Times New Roman"/>
          <w:color w:val="auto"/>
          <w:u w:val="none"/>
        </w:rPr>
        <w:t>①对在预测点产生的等效声级贡献值</w:t>
      </w:r>
      <w:r>
        <w:rPr>
          <w:rFonts w:hint="default" w:ascii="Times New Roman" w:hAnsi="Times New Roman" w:cs="Times New Roman"/>
          <w:color w:val="auto"/>
          <w:u w:val="none"/>
        </w:rPr>
        <w:t>，</w:t>
      </w:r>
      <w:r>
        <w:rPr>
          <w:rFonts w:hint="default" w:ascii="Times New Roman" w:hAnsi="Times New Roman" w:eastAsia="Times New Roman" w:cs="Times New Roman"/>
          <w:color w:val="auto"/>
          <w:u w:val="none"/>
        </w:rPr>
        <w:t>计算公式如下</w:t>
      </w:r>
      <w:r>
        <w:rPr>
          <w:rFonts w:hint="default" w:ascii="Times New Roman" w:hAnsi="Times New Roman" w:cs="Times New Roman"/>
          <w:color w:val="auto"/>
          <w:u w:val="none"/>
        </w:rPr>
        <w:t>：</w:t>
      </w:r>
    </w:p>
    <w:p w14:paraId="421D765D">
      <w:pPr>
        <w:pStyle w:val="15"/>
        <w:ind w:firstLine="360"/>
        <w:jc w:val="center"/>
        <w:rPr>
          <w:rFonts w:hint="default" w:ascii="Times New Roman" w:hAnsi="Times New Roman" w:cs="Times New Roman"/>
          <w:color w:val="auto"/>
          <w:u w:val="none"/>
        </w:rPr>
      </w:pPr>
      <w:r>
        <w:rPr>
          <w:rFonts w:hint="default" w:ascii="Times New Roman" w:hAnsi="Times New Roman" w:cs="Times New Roman"/>
          <w:color w:val="auto"/>
          <w:u w:val="none"/>
        </w:rPr>
        <w:object>
          <v:shape id="_x0000_i1029" o:spt="75" type="#_x0000_t75" style="height:37.55pt;width:144pt;" o:ole="t" filled="f" o:preferrelative="t" stroked="f" coordsize="21600,21600">
            <v:path/>
            <v:fill on="f" focussize="0,0"/>
            <v:stroke on="f" joinstyle="miter"/>
            <v:imagedata r:id="rId28" o:title=""/>
            <o:lock v:ext="edit" aspectratio="t"/>
            <w10:wrap type="none"/>
            <w10:anchorlock/>
          </v:shape>
          <o:OLEObject Type="Embed" ProgID="Equation.3" ShapeID="_x0000_i1029" DrawAspect="Content" ObjectID="_1468075729" r:id="rId27">
            <o:LockedField>false</o:LockedField>
          </o:OLEObject>
        </w:object>
      </w:r>
    </w:p>
    <w:p w14:paraId="2080222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式中：</w:t>
      </w:r>
      <w:r>
        <w:rPr>
          <w:rFonts w:hint="default" w:ascii="Times New Roman" w:hAnsi="Times New Roman" w:cs="Times New Roman"/>
          <w:color w:val="auto"/>
          <w:u w:val="none"/>
        </w:rPr>
        <w:object>
          <v:shape id="_x0000_i1030" o:spt="75" type="#_x0000_t75" style="height:18.15pt;width:21.9pt;" o:ole="t" filled="f" o:preferrelative="t" stroked="f" coordsize="21600,21600">
            <v:path/>
            <v:fill on="f" focussize="0,0"/>
            <v:stroke on="f" joinstyle="miter"/>
            <v:imagedata r:id="rId30" o:title=""/>
            <o:lock v:ext="edit" aspectratio="t"/>
            <w10:wrap type="none"/>
            <w10:anchorlock/>
          </v:shape>
          <o:OLEObject Type="Embed" ProgID="Equation.3" ShapeID="_x0000_i1030" DrawAspect="Content" ObjectID="_1468075730" r:id="rId29">
            <o:LockedField>false</o:LockedField>
          </o:OLEObject>
        </w:object>
      </w:r>
      <w:r>
        <w:rPr>
          <w:rFonts w:hint="default" w:ascii="Times New Roman" w:hAnsi="Times New Roman" w:cs="Times New Roman"/>
          <w:color w:val="auto"/>
          <w:u w:val="none"/>
        </w:rPr>
        <w:t>—建设项目声源在预测点的等效声级贡献值，dB(A)；</w:t>
      </w:r>
    </w:p>
    <w:p w14:paraId="10BDCF3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      </w:t>
      </w:r>
      <w:r>
        <w:rPr>
          <w:rFonts w:hint="default" w:ascii="Times New Roman" w:hAnsi="Times New Roman" w:cs="Times New Roman"/>
          <w:color w:val="auto"/>
          <w:u w:val="none"/>
        </w:rPr>
        <w:object>
          <v:shape id="_x0000_i1031" o:spt="75" type="#_x0000_t75" style="height:18.15pt;width:18.15pt;" o:ole="t" filled="f" o:preferrelative="t" stroked="f" coordsize="21600,21600">
            <v:path/>
            <v:fill on="f" focussize="0,0"/>
            <v:stroke on="f" joinstyle="miter"/>
            <v:imagedata r:id="rId32" o:title=""/>
            <o:lock v:ext="edit" aspectratio="t"/>
            <w10:wrap type="none"/>
            <w10:anchorlock/>
          </v:shape>
          <o:OLEObject Type="Embed" ProgID="Equation.3" ShapeID="_x0000_i1031" DrawAspect="Content" ObjectID="_1468075731" r:id="rId31">
            <o:LockedField>false</o:LockedField>
          </o:OLEObject>
        </w:object>
      </w:r>
      <w:r>
        <w:rPr>
          <w:rFonts w:hint="default" w:ascii="Times New Roman" w:hAnsi="Times New Roman" w:cs="Times New Roman"/>
          <w:color w:val="auto"/>
          <w:u w:val="none"/>
        </w:rPr>
        <w:t>—</w:t>
      </w:r>
      <w:r>
        <w:rPr>
          <w:rFonts w:hint="default" w:ascii="Times New Roman" w:hAnsi="Times New Roman" w:cs="Times New Roman"/>
          <w:color w:val="auto"/>
          <w:u w:val="none"/>
        </w:rPr>
        <w:object>
          <v:shape id="_x0000_i1032" o:spt="75" type="#_x0000_t75" style="height:12.5pt;width:6.9pt;" o:ole="t" filled="f" o:preferrelative="t" stroked="f" coordsize="21600,21600">
            <v:path/>
            <v:fill on="f" focussize="0,0"/>
            <v:stroke on="f" joinstyle="miter"/>
            <v:imagedata r:id="rId34" o:title=""/>
            <o:lock v:ext="edit" aspectratio="t"/>
            <w10:wrap type="none"/>
            <w10:anchorlock/>
          </v:shape>
          <o:OLEObject Type="Embed" ProgID="Equation.3" ShapeID="_x0000_i1032" DrawAspect="Content" ObjectID="_1468075732" r:id="rId33">
            <o:LockedField>false</o:LockedField>
          </o:OLEObject>
        </w:object>
      </w:r>
      <w:r>
        <w:rPr>
          <w:rFonts w:hint="default" w:ascii="Times New Roman" w:hAnsi="Times New Roman" w:cs="Times New Roman"/>
          <w:color w:val="auto"/>
          <w:u w:val="none"/>
        </w:rPr>
        <w:t>声源在预测点产生的A声级，dB(A)；</w:t>
      </w:r>
    </w:p>
    <w:p w14:paraId="1A6B15A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      </w:t>
      </w:r>
      <w:r>
        <w:rPr>
          <w:rFonts w:hint="default" w:ascii="Times New Roman" w:hAnsi="Times New Roman" w:cs="Times New Roman"/>
          <w:color w:val="auto"/>
          <w:u w:val="none"/>
        </w:rPr>
        <w:object>
          <v:shape id="_x0000_i1033" o:spt="75" type="#_x0000_t75" style="height:12.5pt;width:11.25pt;" o:ole="t" filled="f" o:preferrelative="t" stroked="f" coordsize="21600,21600">
            <v:path/>
            <v:fill on="f" focussize="0,0"/>
            <v:stroke on="f" joinstyle="miter"/>
            <v:imagedata r:id="rId36" o:title=""/>
            <o:lock v:ext="edit" aspectratio="t"/>
            <w10:wrap type="none"/>
            <w10:anchorlock/>
          </v:shape>
          <o:OLEObject Type="Embed" ProgID="Equation.3" ShapeID="_x0000_i1033" DrawAspect="Content" ObjectID="_1468075733" r:id="rId35">
            <o:LockedField>false</o:LockedField>
          </o:OLEObject>
        </w:object>
      </w:r>
      <w:r>
        <w:rPr>
          <w:rFonts w:hint="default" w:ascii="Times New Roman" w:hAnsi="Times New Roman" w:cs="Times New Roman"/>
          <w:color w:val="auto"/>
          <w:u w:val="none"/>
        </w:rPr>
        <w:t>—预测计算的时间段，s；</w:t>
      </w:r>
    </w:p>
    <w:p w14:paraId="686CFFE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      </w:t>
      </w:r>
      <w:r>
        <w:rPr>
          <w:rFonts w:hint="default" w:ascii="Times New Roman" w:hAnsi="Times New Roman" w:cs="Times New Roman"/>
          <w:color w:val="auto"/>
          <w:u w:val="none"/>
        </w:rPr>
        <w:object>
          <v:shape id="_x0000_i1034" o:spt="75" type="#_x0000_t75" style="height:18.15pt;width:10.65pt;" o:ole="t" filled="f" o:preferrelative="t" stroked="f" coordsize="21600,21600">
            <v:path/>
            <v:fill on="f" focussize="0,0"/>
            <v:stroke on="f" joinstyle="miter"/>
            <v:imagedata r:id="rId38" o:title=""/>
            <o:lock v:ext="edit" aspectratio="t"/>
            <w10:wrap type="none"/>
            <w10:anchorlock/>
          </v:shape>
          <o:OLEObject Type="Embed" ProgID="Equation.3" ShapeID="_x0000_i1034" DrawAspect="Content" ObjectID="_1468075734" r:id="rId37">
            <o:LockedField>false</o:LockedField>
          </o:OLEObject>
        </w:object>
      </w:r>
      <w:r>
        <w:rPr>
          <w:rFonts w:hint="default" w:ascii="Times New Roman" w:hAnsi="Times New Roman" w:cs="Times New Roman"/>
          <w:color w:val="auto"/>
          <w:u w:val="none"/>
        </w:rPr>
        <w:t>—</w:t>
      </w:r>
      <w:r>
        <w:rPr>
          <w:rFonts w:hint="default" w:ascii="Times New Roman" w:hAnsi="Times New Roman" w:cs="Times New Roman"/>
          <w:color w:val="auto"/>
          <w:u w:val="none"/>
        </w:rPr>
        <w:object>
          <v:shape id="_x0000_i1035" o:spt="75" type="#_x0000_t75" style="height:12.5pt;width:6.9pt;" o:ole="t" filled="f" o:preferrelative="t" stroked="f" coordsize="21600,21600">
            <v:path/>
            <v:fill on="f" focussize="0,0"/>
            <v:stroke on="f" joinstyle="miter"/>
            <v:imagedata r:id="rId34" o:title=""/>
            <o:lock v:ext="edit" aspectratio="t"/>
            <w10:wrap type="none"/>
            <w10:anchorlock/>
          </v:shape>
          <o:OLEObject Type="Embed" ProgID="Equation.3" ShapeID="_x0000_i1035" DrawAspect="Content" ObjectID="_1468075735" r:id="rId39">
            <o:LockedField>false</o:LockedField>
          </o:OLEObject>
        </w:object>
      </w:r>
      <w:r>
        <w:rPr>
          <w:rFonts w:hint="default" w:ascii="Times New Roman" w:hAnsi="Times New Roman" w:cs="Times New Roman"/>
          <w:color w:val="auto"/>
          <w:u w:val="none"/>
        </w:rPr>
        <w:t>声源在</w:t>
      </w:r>
      <w:r>
        <w:rPr>
          <w:rFonts w:hint="default" w:ascii="Times New Roman" w:hAnsi="Times New Roman" w:cs="Times New Roman"/>
          <w:color w:val="auto"/>
          <w:u w:val="none"/>
        </w:rPr>
        <w:object>
          <v:shape id="_x0000_i1036" o:spt="75" type="#_x0000_t75" style="height:12.5pt;width:11.25pt;" o:ole="t" filled="f" o:preferrelative="t" stroked="f" coordsize="21600,21600">
            <v:path/>
            <v:fill on="f" focussize="0,0"/>
            <v:stroke on="f" joinstyle="miter"/>
            <v:imagedata r:id="rId36" o:title=""/>
            <o:lock v:ext="edit" aspectratio="t"/>
            <w10:wrap type="none"/>
            <w10:anchorlock/>
          </v:shape>
          <o:OLEObject Type="Embed" ProgID="Equation.3" ShapeID="_x0000_i1036" DrawAspect="Content" ObjectID="_1468075736" r:id="rId40">
            <o:LockedField>false</o:LockedField>
          </o:OLEObject>
        </w:object>
      </w:r>
      <w:r>
        <w:rPr>
          <w:rFonts w:hint="default" w:ascii="Times New Roman" w:hAnsi="Times New Roman" w:cs="Times New Roman"/>
          <w:color w:val="auto"/>
          <w:u w:val="none"/>
        </w:rPr>
        <w:t>时段内的运行时间，s。</w:t>
      </w:r>
    </w:p>
    <w:p w14:paraId="55E1EC3D">
      <w:pPr>
        <w:ind w:firstLine="480"/>
        <w:jc w:val="center"/>
        <w:rPr>
          <w:rFonts w:hint="default" w:ascii="Times New Roman" w:hAnsi="Times New Roman" w:cs="Times New Roman"/>
          <w:color w:val="auto"/>
          <w:u w:val="none"/>
        </w:rPr>
      </w:pPr>
      <w:r>
        <w:rPr>
          <w:rFonts w:hint="default" w:ascii="Times New Roman" w:hAnsi="Times New Roman" w:cs="Times New Roman"/>
          <w:color w:val="auto"/>
          <w:u w:val="none"/>
        </w:rPr>
        <w:object>
          <v:shape id="_x0000_i1037" o:spt="75" type="#_x0000_t75" style="height:25.65pt;width:189.1pt;" o:ole="t" filled="f" o:preferrelative="t" stroked="f" coordsize="21600,21600">
            <v:path/>
            <v:fill on="f" focussize="0,0"/>
            <v:stroke on="f" joinstyle="miter"/>
            <v:imagedata r:id="rId42" o:title=""/>
            <o:lock v:ext="edit" aspectratio="t"/>
            <w10:wrap type="none"/>
            <w10:anchorlock/>
          </v:shape>
          <o:OLEObject Type="Embed" ProgID="Equation.3" ShapeID="_x0000_i1037" DrawAspect="Content" ObjectID="_1468075737" r:id="rId41">
            <o:LockedField>false</o:LockedField>
          </o:OLEObject>
        </w:object>
      </w:r>
    </w:p>
    <w:p w14:paraId="120EE9F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式中：</w:t>
      </w:r>
      <w:r>
        <w:rPr>
          <w:rFonts w:hint="default" w:ascii="Times New Roman" w:hAnsi="Times New Roman" w:cs="Times New Roman"/>
          <w:color w:val="auto"/>
          <w:u w:val="none"/>
        </w:rPr>
        <w:object>
          <v:shape id="_x0000_i1038" o:spt="75" type="#_x0000_t75" style="height:18.15pt;width:21.9pt;" o:ole="t" filled="f" o:preferrelative="t" stroked="f" coordsize="21600,21600">
            <v:path/>
            <v:fill on="f" focussize="0,0"/>
            <v:stroke on="f" joinstyle="miter"/>
            <v:imagedata r:id="rId30" o:title=""/>
            <o:lock v:ext="edit" aspectratio="t"/>
            <w10:wrap type="none"/>
            <w10:anchorlock/>
          </v:shape>
          <o:OLEObject Type="Embed" ProgID="Equation.3" ShapeID="_x0000_i1038" DrawAspect="Content" ObjectID="_1468075738" r:id="rId43">
            <o:LockedField>false</o:LockedField>
          </o:OLEObject>
        </w:object>
      </w:r>
      <w:r>
        <w:rPr>
          <w:rFonts w:hint="default" w:ascii="Times New Roman" w:hAnsi="Times New Roman" w:cs="Times New Roman"/>
          <w:color w:val="auto"/>
          <w:u w:val="none"/>
        </w:rPr>
        <w:t>—建设项目声源在预测点的等效声级贡献值，dB(A)；</w:t>
      </w:r>
    </w:p>
    <w:p w14:paraId="31C5E62E">
      <w:pPr>
        <w:adjustRightInd w:val="0"/>
        <w:snapToGri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      </w:t>
      </w:r>
      <w:r>
        <w:rPr>
          <w:rFonts w:hint="default" w:ascii="Times New Roman" w:hAnsi="Times New Roman" w:cs="Times New Roman"/>
          <w:color w:val="auto"/>
          <w:u w:val="none"/>
        </w:rPr>
        <w:object>
          <v:shape id="_x0000_i1039" o:spt="75" type="#_x0000_t75" style="height:18.15pt;width:19.4pt;" o:ole="t" filled="f" o:preferrelative="t" stroked="f" coordsize="21600,21600">
            <v:path/>
            <v:fill on="f" focussize="0,0"/>
            <v:stroke on="f" joinstyle="miter"/>
            <v:imagedata r:id="rId45" o:title=""/>
            <o:lock v:ext="edit" aspectratio="t"/>
            <w10:wrap type="none"/>
            <w10:anchorlock/>
          </v:shape>
          <o:OLEObject Type="Embed" ProgID="Equation.3" ShapeID="_x0000_i1039" DrawAspect="Content" ObjectID="_1468075739" r:id="rId44">
            <o:LockedField>false</o:LockedField>
          </o:OLEObject>
        </w:object>
      </w:r>
      <w:r>
        <w:rPr>
          <w:rFonts w:hint="default" w:ascii="Times New Roman" w:hAnsi="Times New Roman" w:cs="Times New Roman"/>
          <w:color w:val="auto"/>
          <w:u w:val="none"/>
        </w:rPr>
        <w:t>—预测点的背景值，dB(A)。</w:t>
      </w:r>
    </w:p>
    <w:p w14:paraId="240C950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③户外声传播衰减计算</w:t>
      </w:r>
    </w:p>
    <w:p w14:paraId="3DB20F2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户外声传播衰减包括几何发散（Adiv）、大气吸收（Aatm）、地面效应（Agr）、屏障屏蔽（Abar）、其他多方面效应（Amisc）引起的衰减。</w:t>
      </w:r>
    </w:p>
    <w:p w14:paraId="356EDDC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距声源点 r 处的 A 声级按下式计算：</w:t>
      </w:r>
    </w:p>
    <w:p w14:paraId="23AE8A55">
      <w:pPr>
        <w:ind w:firstLine="480"/>
        <w:jc w:val="center"/>
        <w:rPr>
          <w:rFonts w:hint="default" w:ascii="Times New Roman" w:hAnsi="Times New Roman" w:cs="Times New Roman"/>
          <w:color w:val="auto"/>
          <w:position w:val="5"/>
          <w:u w:val="none"/>
        </w:rPr>
      </w:pPr>
      <w:r>
        <w:rPr>
          <w:rFonts w:hint="default" w:ascii="Times New Roman" w:hAnsi="Times New Roman" w:eastAsia="Cambria Math" w:cs="Times New Roman"/>
          <w:color w:val="auto"/>
          <w:position w:val="5"/>
          <w:u w:val="none"/>
        </w:rPr>
        <w:t>L</w:t>
      </w:r>
      <w:r>
        <w:rPr>
          <w:rFonts w:hint="default" w:ascii="Times New Roman" w:hAnsi="Times New Roman" w:eastAsia="Cambria Math" w:cs="Times New Roman"/>
          <w:color w:val="auto"/>
          <w:sz w:val="17"/>
          <w:u w:val="none"/>
        </w:rPr>
        <w:t xml:space="preserve">p </w:t>
      </w:r>
      <w:r>
        <w:rPr>
          <w:rFonts w:hint="default" w:ascii="Times New Roman" w:hAnsi="Times New Roman" w:eastAsia="Cambria Math" w:cs="Times New Roman"/>
          <w:color w:val="auto"/>
          <w:position w:val="5"/>
          <w:u w:val="none"/>
        </w:rPr>
        <w:t>r = L</w:t>
      </w:r>
      <w:r>
        <w:rPr>
          <w:rFonts w:hint="default" w:ascii="Times New Roman" w:hAnsi="Times New Roman" w:eastAsia="Cambria Math" w:cs="Times New Roman"/>
          <w:color w:val="auto"/>
          <w:sz w:val="17"/>
          <w:u w:val="none"/>
        </w:rPr>
        <w:t xml:space="preserve">p </w:t>
      </w:r>
      <w:r>
        <w:rPr>
          <w:rFonts w:hint="default" w:ascii="Times New Roman" w:hAnsi="Times New Roman" w:eastAsia="Cambria Math" w:cs="Times New Roman"/>
          <w:color w:val="auto"/>
          <w:position w:val="5"/>
          <w:u w:val="none"/>
        </w:rPr>
        <w:t>r</w:t>
      </w:r>
      <w:r>
        <w:rPr>
          <w:rFonts w:hint="default" w:ascii="Times New Roman" w:hAnsi="Times New Roman" w:eastAsia="Cambria Math" w:cs="Times New Roman"/>
          <w:color w:val="auto"/>
          <w:sz w:val="17"/>
          <w:u w:val="none"/>
        </w:rPr>
        <w:t xml:space="preserve">0 </w:t>
      </w:r>
      <w:r>
        <w:rPr>
          <w:rFonts w:hint="default" w:ascii="Times New Roman" w:hAnsi="Times New Roman" w:eastAsia="Cambria Math" w:cs="Times New Roman"/>
          <w:color w:val="auto"/>
          <w:position w:val="5"/>
          <w:u w:val="none"/>
        </w:rPr>
        <w:t xml:space="preserve">− </w:t>
      </w:r>
      <w:r>
        <w:rPr>
          <w:rFonts w:hint="default" w:ascii="Times New Roman" w:hAnsi="Times New Roman" w:cs="Times New Roman"/>
          <w:color w:val="auto"/>
          <w:position w:val="5"/>
          <w:u w:val="none"/>
        </w:rPr>
        <w:t>（</w:t>
      </w:r>
      <w:r>
        <w:rPr>
          <w:rFonts w:hint="default" w:ascii="Times New Roman" w:hAnsi="Times New Roman" w:eastAsia="Cambria Math" w:cs="Times New Roman"/>
          <w:color w:val="auto"/>
          <w:position w:val="5"/>
          <w:u w:val="none"/>
        </w:rPr>
        <w:t>A</w:t>
      </w:r>
      <w:r>
        <w:rPr>
          <w:rFonts w:hint="default" w:ascii="Times New Roman" w:hAnsi="Times New Roman" w:eastAsia="Cambria Math" w:cs="Times New Roman"/>
          <w:color w:val="auto"/>
          <w:sz w:val="17"/>
          <w:u w:val="none"/>
        </w:rPr>
        <w:t xml:space="preserve">div </w:t>
      </w:r>
      <w:r>
        <w:rPr>
          <w:rFonts w:hint="default" w:ascii="Times New Roman" w:hAnsi="Times New Roman" w:eastAsia="Cambria Math" w:cs="Times New Roman"/>
          <w:color w:val="auto"/>
          <w:position w:val="5"/>
          <w:u w:val="none"/>
        </w:rPr>
        <w:t>+ A</w:t>
      </w:r>
      <w:r>
        <w:rPr>
          <w:rFonts w:hint="default" w:ascii="Times New Roman" w:hAnsi="Times New Roman" w:eastAsia="Cambria Math" w:cs="Times New Roman"/>
          <w:color w:val="auto"/>
          <w:sz w:val="17"/>
          <w:u w:val="none"/>
        </w:rPr>
        <w:t xml:space="preserve">atm </w:t>
      </w:r>
      <w:r>
        <w:rPr>
          <w:rFonts w:hint="default" w:ascii="Times New Roman" w:hAnsi="Times New Roman" w:eastAsia="Cambria Math" w:cs="Times New Roman"/>
          <w:color w:val="auto"/>
          <w:position w:val="5"/>
          <w:u w:val="none"/>
        </w:rPr>
        <w:t>+ A</w:t>
      </w:r>
      <w:r>
        <w:rPr>
          <w:rFonts w:hint="default" w:ascii="Times New Roman" w:hAnsi="Times New Roman" w:eastAsia="Cambria Math" w:cs="Times New Roman"/>
          <w:color w:val="auto"/>
          <w:sz w:val="17"/>
          <w:u w:val="none"/>
        </w:rPr>
        <w:t xml:space="preserve">gr </w:t>
      </w:r>
      <w:r>
        <w:rPr>
          <w:rFonts w:hint="default" w:ascii="Times New Roman" w:hAnsi="Times New Roman" w:eastAsia="Cambria Math" w:cs="Times New Roman"/>
          <w:color w:val="auto"/>
          <w:position w:val="5"/>
          <w:u w:val="none"/>
        </w:rPr>
        <w:t>+ A</w:t>
      </w:r>
      <w:r>
        <w:rPr>
          <w:rFonts w:hint="default" w:ascii="Times New Roman" w:hAnsi="Times New Roman" w:eastAsia="Cambria Math" w:cs="Times New Roman"/>
          <w:color w:val="auto"/>
          <w:sz w:val="17"/>
          <w:u w:val="none"/>
        </w:rPr>
        <w:t xml:space="preserve">bar </w:t>
      </w:r>
      <w:r>
        <w:rPr>
          <w:rFonts w:hint="default" w:ascii="Times New Roman" w:hAnsi="Times New Roman" w:eastAsia="Cambria Math" w:cs="Times New Roman"/>
          <w:color w:val="auto"/>
          <w:position w:val="5"/>
          <w:u w:val="none"/>
        </w:rPr>
        <w:t>+ A</w:t>
      </w:r>
      <w:r>
        <w:rPr>
          <w:rFonts w:hint="default" w:ascii="Times New Roman" w:hAnsi="Times New Roman" w:eastAsia="Cambria Math" w:cs="Times New Roman"/>
          <w:color w:val="auto"/>
          <w:sz w:val="17"/>
          <w:u w:val="none"/>
        </w:rPr>
        <w:t>misc</w:t>
      </w:r>
      <w:r>
        <w:rPr>
          <w:rFonts w:hint="default" w:ascii="Times New Roman" w:hAnsi="Times New Roman" w:cs="Times New Roman"/>
          <w:color w:val="auto"/>
          <w:position w:val="5"/>
          <w:u w:val="none"/>
        </w:rPr>
        <w:t>）</w:t>
      </w:r>
    </w:p>
    <w:p w14:paraId="2A054D5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在预测中考虑反射引起的修正、屏障引起的衰减、双绕射、室内声源等效室外声源等影响和计算方法</w:t>
      </w:r>
    </w:p>
    <w:p w14:paraId="3DDA08C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由工程分析给出的噪声源强、厂区平面布局及上述预测模式，预测本项目厂界噪声值见表6.2-30。</w:t>
      </w:r>
    </w:p>
    <w:p w14:paraId="552F46F8">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表6.2-30  噪声预测结果</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735"/>
        <w:gridCol w:w="1747"/>
        <w:gridCol w:w="1716"/>
        <w:gridCol w:w="1589"/>
      </w:tblGrid>
      <w:tr w14:paraId="30F2B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tcBorders>
              <w:tl2br w:val="nil"/>
              <w:tr2bl w:val="nil"/>
            </w:tcBorders>
            <w:vAlign w:val="center"/>
          </w:tcPr>
          <w:p w14:paraId="6F6D939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w:t>
            </w:r>
          </w:p>
        </w:tc>
        <w:tc>
          <w:tcPr>
            <w:tcW w:w="1018" w:type="pct"/>
            <w:tcBorders>
              <w:tl2br w:val="nil"/>
              <w:tr2bl w:val="nil"/>
            </w:tcBorders>
            <w:vAlign w:val="center"/>
          </w:tcPr>
          <w:p w14:paraId="28120D7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东厂界</w:t>
            </w:r>
          </w:p>
        </w:tc>
        <w:tc>
          <w:tcPr>
            <w:tcW w:w="1025" w:type="pct"/>
            <w:tcBorders>
              <w:tl2br w:val="nil"/>
              <w:tr2bl w:val="nil"/>
            </w:tcBorders>
            <w:vAlign w:val="center"/>
          </w:tcPr>
          <w:p w14:paraId="72C8E98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南厂界</w:t>
            </w:r>
          </w:p>
        </w:tc>
        <w:tc>
          <w:tcPr>
            <w:tcW w:w="1007" w:type="pct"/>
            <w:tcBorders>
              <w:tl2br w:val="nil"/>
              <w:tr2bl w:val="nil"/>
            </w:tcBorders>
            <w:vAlign w:val="center"/>
          </w:tcPr>
          <w:p w14:paraId="2B2BE1F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西厂界</w:t>
            </w:r>
          </w:p>
        </w:tc>
        <w:tc>
          <w:tcPr>
            <w:tcW w:w="932" w:type="pct"/>
            <w:tcBorders>
              <w:tl2br w:val="nil"/>
              <w:tr2bl w:val="nil"/>
            </w:tcBorders>
            <w:vAlign w:val="center"/>
          </w:tcPr>
          <w:p w14:paraId="5CEFD8E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北厂界</w:t>
            </w:r>
          </w:p>
        </w:tc>
      </w:tr>
      <w:tr w14:paraId="7AD53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tcBorders>
              <w:tl2br w:val="nil"/>
              <w:tr2bl w:val="nil"/>
            </w:tcBorders>
            <w:vAlign w:val="center"/>
          </w:tcPr>
          <w:p w14:paraId="46A8427D">
            <w:pPr>
              <w:pStyle w:val="41"/>
              <w:rPr>
                <w:rFonts w:hint="default" w:ascii="Times New Roman" w:hAnsi="Times New Roman" w:cs="Times New Roman"/>
                <w:color w:val="auto"/>
                <w:u w:val="none"/>
              </w:rPr>
            </w:pPr>
            <w:r>
              <w:rPr>
                <w:rFonts w:hint="default" w:ascii="Times New Roman" w:hAnsi="Times New Roman" w:cs="Times New Roman"/>
                <w:color w:val="auto"/>
                <w:u w:val="none"/>
              </w:rPr>
              <w:t>时段</w:t>
            </w:r>
          </w:p>
        </w:tc>
        <w:tc>
          <w:tcPr>
            <w:tcW w:w="1018" w:type="pct"/>
            <w:tcBorders>
              <w:tl2br w:val="nil"/>
              <w:tr2bl w:val="nil"/>
            </w:tcBorders>
            <w:vAlign w:val="center"/>
          </w:tcPr>
          <w:p w14:paraId="6050C84A">
            <w:pPr>
              <w:pStyle w:val="41"/>
              <w:rPr>
                <w:rFonts w:hint="default" w:ascii="Times New Roman" w:hAnsi="Times New Roman" w:cs="Times New Roman"/>
                <w:color w:val="auto"/>
                <w:u w:val="none"/>
              </w:rPr>
            </w:pPr>
            <w:r>
              <w:rPr>
                <w:rFonts w:hint="default" w:ascii="Times New Roman" w:hAnsi="Times New Roman" w:cs="Times New Roman"/>
                <w:color w:val="auto"/>
                <w:u w:val="none"/>
              </w:rPr>
              <w:t>贡献值dB（A）</w:t>
            </w:r>
          </w:p>
        </w:tc>
        <w:tc>
          <w:tcPr>
            <w:tcW w:w="1025" w:type="pct"/>
            <w:tcBorders>
              <w:tl2br w:val="nil"/>
              <w:tr2bl w:val="nil"/>
            </w:tcBorders>
            <w:vAlign w:val="center"/>
          </w:tcPr>
          <w:p w14:paraId="3C6AAE1B">
            <w:pPr>
              <w:pStyle w:val="41"/>
              <w:rPr>
                <w:rFonts w:hint="default" w:ascii="Times New Roman" w:hAnsi="Times New Roman" w:cs="Times New Roman"/>
                <w:color w:val="auto"/>
                <w:u w:val="none"/>
              </w:rPr>
            </w:pPr>
            <w:r>
              <w:rPr>
                <w:rFonts w:hint="default" w:ascii="Times New Roman" w:hAnsi="Times New Roman" w:cs="Times New Roman"/>
                <w:color w:val="auto"/>
                <w:u w:val="none"/>
              </w:rPr>
              <w:t>贡献值dB（A）</w:t>
            </w:r>
          </w:p>
        </w:tc>
        <w:tc>
          <w:tcPr>
            <w:tcW w:w="1007" w:type="pct"/>
            <w:tcBorders>
              <w:tl2br w:val="nil"/>
              <w:tr2bl w:val="nil"/>
            </w:tcBorders>
            <w:vAlign w:val="center"/>
          </w:tcPr>
          <w:p w14:paraId="16D4C55B">
            <w:pPr>
              <w:pStyle w:val="41"/>
              <w:rPr>
                <w:rFonts w:hint="default" w:ascii="Times New Roman" w:hAnsi="Times New Roman" w:cs="Times New Roman"/>
                <w:color w:val="auto"/>
                <w:u w:val="none"/>
              </w:rPr>
            </w:pPr>
            <w:r>
              <w:rPr>
                <w:rFonts w:hint="default" w:ascii="Times New Roman" w:hAnsi="Times New Roman" w:cs="Times New Roman"/>
                <w:color w:val="auto"/>
                <w:u w:val="none"/>
              </w:rPr>
              <w:t>贡献值dB（A）</w:t>
            </w:r>
          </w:p>
        </w:tc>
        <w:tc>
          <w:tcPr>
            <w:tcW w:w="932" w:type="pct"/>
            <w:tcBorders>
              <w:tl2br w:val="nil"/>
              <w:tr2bl w:val="nil"/>
            </w:tcBorders>
            <w:vAlign w:val="center"/>
          </w:tcPr>
          <w:p w14:paraId="382A86C7">
            <w:pPr>
              <w:pStyle w:val="41"/>
              <w:rPr>
                <w:rFonts w:hint="default" w:ascii="Times New Roman" w:hAnsi="Times New Roman" w:cs="Times New Roman"/>
                <w:color w:val="auto"/>
                <w:u w:val="none"/>
              </w:rPr>
            </w:pPr>
            <w:r>
              <w:rPr>
                <w:rFonts w:hint="default" w:ascii="Times New Roman" w:hAnsi="Times New Roman" w:cs="Times New Roman"/>
                <w:color w:val="auto"/>
                <w:u w:val="none"/>
              </w:rPr>
              <w:t>贡献值dB（A）</w:t>
            </w:r>
          </w:p>
        </w:tc>
      </w:tr>
      <w:tr w14:paraId="1EDDC5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tcBorders>
              <w:tl2br w:val="nil"/>
              <w:tr2bl w:val="nil"/>
            </w:tcBorders>
            <w:vAlign w:val="center"/>
          </w:tcPr>
          <w:p w14:paraId="0C5CD47E">
            <w:pPr>
              <w:pStyle w:val="41"/>
              <w:rPr>
                <w:rFonts w:hint="default" w:ascii="Times New Roman" w:hAnsi="Times New Roman" w:cs="Times New Roman"/>
                <w:color w:val="auto"/>
                <w:u w:val="none"/>
              </w:rPr>
            </w:pPr>
            <w:r>
              <w:rPr>
                <w:rFonts w:hint="default" w:ascii="Times New Roman" w:hAnsi="Times New Roman" w:cs="Times New Roman"/>
                <w:color w:val="auto"/>
                <w:u w:val="none"/>
              </w:rPr>
              <w:t>昼间</w:t>
            </w:r>
          </w:p>
        </w:tc>
        <w:tc>
          <w:tcPr>
            <w:tcW w:w="1018" w:type="pct"/>
            <w:tcBorders>
              <w:tl2br w:val="nil"/>
              <w:tr2bl w:val="nil"/>
            </w:tcBorders>
            <w:vAlign w:val="center"/>
          </w:tcPr>
          <w:p w14:paraId="4EE117F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48.1</w:t>
            </w:r>
          </w:p>
        </w:tc>
        <w:tc>
          <w:tcPr>
            <w:tcW w:w="1025" w:type="pct"/>
            <w:tcBorders>
              <w:tl2br w:val="nil"/>
              <w:tr2bl w:val="nil"/>
            </w:tcBorders>
            <w:vAlign w:val="center"/>
          </w:tcPr>
          <w:p w14:paraId="3A64309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47.2</w:t>
            </w:r>
          </w:p>
        </w:tc>
        <w:tc>
          <w:tcPr>
            <w:tcW w:w="1007" w:type="pct"/>
            <w:tcBorders>
              <w:tl2br w:val="nil"/>
              <w:tr2bl w:val="nil"/>
            </w:tcBorders>
            <w:vAlign w:val="center"/>
          </w:tcPr>
          <w:p w14:paraId="204395F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46.7</w:t>
            </w:r>
          </w:p>
        </w:tc>
        <w:tc>
          <w:tcPr>
            <w:tcW w:w="932" w:type="pct"/>
            <w:tcBorders>
              <w:tl2br w:val="nil"/>
              <w:tr2bl w:val="nil"/>
            </w:tcBorders>
            <w:vAlign w:val="center"/>
          </w:tcPr>
          <w:p w14:paraId="3B343B3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44.6</w:t>
            </w:r>
          </w:p>
        </w:tc>
      </w:tr>
      <w:tr w14:paraId="24C34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6" w:type="pct"/>
            <w:tcBorders>
              <w:tl2br w:val="nil"/>
              <w:tr2bl w:val="nil"/>
            </w:tcBorders>
            <w:vAlign w:val="center"/>
          </w:tcPr>
          <w:p w14:paraId="3C20F2D1">
            <w:pPr>
              <w:pStyle w:val="41"/>
              <w:rPr>
                <w:rFonts w:hint="default" w:ascii="Times New Roman" w:hAnsi="Times New Roman" w:cs="Times New Roman"/>
                <w:color w:val="auto"/>
                <w:u w:val="none"/>
              </w:rPr>
            </w:pPr>
            <w:r>
              <w:rPr>
                <w:rFonts w:hint="default" w:ascii="Times New Roman" w:hAnsi="Times New Roman" w:cs="Times New Roman"/>
                <w:color w:val="auto"/>
                <w:u w:val="none"/>
              </w:rPr>
              <w:t>夜间</w:t>
            </w:r>
          </w:p>
        </w:tc>
        <w:tc>
          <w:tcPr>
            <w:tcW w:w="1735" w:type="dxa"/>
            <w:tcBorders>
              <w:tl2br w:val="nil"/>
              <w:tr2bl w:val="nil"/>
            </w:tcBorders>
            <w:vAlign w:val="center"/>
          </w:tcPr>
          <w:p w14:paraId="7B2F76B7">
            <w:pPr>
              <w:pStyle w:val="41"/>
              <w:rPr>
                <w:rFonts w:hint="default" w:ascii="Times New Roman" w:hAnsi="Times New Roman" w:cs="Times New Roman"/>
                <w:color w:val="auto"/>
                <w:u w:val="none"/>
                <w:lang w:val="en-US"/>
              </w:rPr>
            </w:pPr>
            <w:r>
              <w:rPr>
                <w:rFonts w:hint="eastAsia" w:cs="Times New Roman"/>
                <w:color w:val="auto"/>
                <w:u w:val="none"/>
                <w:lang w:val="en-US" w:eastAsia="zh-CN"/>
              </w:rPr>
              <w:t>48.1</w:t>
            </w:r>
          </w:p>
        </w:tc>
        <w:tc>
          <w:tcPr>
            <w:tcW w:w="1747" w:type="dxa"/>
            <w:tcBorders>
              <w:tl2br w:val="nil"/>
              <w:tr2bl w:val="nil"/>
            </w:tcBorders>
            <w:vAlign w:val="center"/>
          </w:tcPr>
          <w:p w14:paraId="4971F815">
            <w:pPr>
              <w:pStyle w:val="41"/>
              <w:rPr>
                <w:rFonts w:hint="default" w:ascii="Times New Roman" w:hAnsi="Times New Roman" w:cs="Times New Roman"/>
                <w:color w:val="auto"/>
                <w:u w:val="none"/>
              </w:rPr>
            </w:pPr>
            <w:r>
              <w:rPr>
                <w:rFonts w:hint="eastAsia" w:cs="Times New Roman"/>
                <w:color w:val="auto"/>
                <w:u w:val="none"/>
                <w:lang w:val="en-US" w:eastAsia="zh-CN"/>
              </w:rPr>
              <w:t>47.2</w:t>
            </w:r>
          </w:p>
        </w:tc>
        <w:tc>
          <w:tcPr>
            <w:tcW w:w="1716" w:type="dxa"/>
            <w:tcBorders>
              <w:tl2br w:val="nil"/>
              <w:tr2bl w:val="nil"/>
            </w:tcBorders>
            <w:vAlign w:val="center"/>
          </w:tcPr>
          <w:p w14:paraId="7DA90642">
            <w:pPr>
              <w:pStyle w:val="41"/>
              <w:rPr>
                <w:rFonts w:hint="default" w:ascii="Times New Roman" w:hAnsi="Times New Roman" w:cs="Times New Roman"/>
                <w:color w:val="auto"/>
                <w:u w:val="none"/>
                <w:lang w:val="en-US"/>
              </w:rPr>
            </w:pPr>
            <w:r>
              <w:rPr>
                <w:rFonts w:hint="eastAsia" w:cs="Times New Roman"/>
                <w:color w:val="auto"/>
                <w:u w:val="none"/>
                <w:lang w:val="en-US" w:eastAsia="zh-CN"/>
              </w:rPr>
              <w:t>46.7</w:t>
            </w:r>
          </w:p>
        </w:tc>
        <w:tc>
          <w:tcPr>
            <w:tcW w:w="1589" w:type="dxa"/>
            <w:tcBorders>
              <w:tl2br w:val="nil"/>
              <w:tr2bl w:val="nil"/>
            </w:tcBorders>
            <w:vAlign w:val="center"/>
          </w:tcPr>
          <w:p w14:paraId="69311C7E">
            <w:pPr>
              <w:pStyle w:val="41"/>
              <w:rPr>
                <w:rFonts w:hint="default" w:ascii="Times New Roman" w:hAnsi="Times New Roman" w:cs="Times New Roman"/>
                <w:color w:val="auto"/>
                <w:u w:val="none"/>
                <w:lang w:val="en-US"/>
              </w:rPr>
            </w:pPr>
            <w:r>
              <w:rPr>
                <w:rFonts w:hint="eastAsia" w:cs="Times New Roman"/>
                <w:color w:val="auto"/>
                <w:u w:val="none"/>
                <w:lang w:val="en-US" w:eastAsia="zh-CN"/>
              </w:rPr>
              <w:t>44.6</w:t>
            </w:r>
          </w:p>
        </w:tc>
      </w:tr>
    </w:tbl>
    <w:p w14:paraId="3C6BAFE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本项目湖南城陵矶新港区高端制造产业园</w:t>
      </w:r>
      <w:r>
        <w:rPr>
          <w:rFonts w:hint="default" w:ascii="Times New Roman" w:hAnsi="Times New Roman" w:cs="Times New Roman"/>
          <w:color w:val="auto"/>
          <w:u w:val="none"/>
          <w:lang w:val="en-US" w:eastAsia="zh-CN"/>
        </w:rPr>
        <w:t>2#厂房-B#仓库南侧</w:t>
      </w:r>
      <w:r>
        <w:rPr>
          <w:rFonts w:hint="default" w:ascii="Times New Roman" w:hAnsi="Times New Roman" w:cs="Times New Roman"/>
          <w:color w:val="auto"/>
          <w:u w:val="none"/>
        </w:rPr>
        <w:t>，叠加金宝高端制造基地噪声背景值后，厂界噪声预测结果如下</w:t>
      </w:r>
    </w:p>
    <w:p w14:paraId="6D0EB48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表6.2-31  叠加金宝高端制造基地噪声背景值噪声预测结果 单位：dB（A）</w:t>
      </w:r>
    </w:p>
    <w:tbl>
      <w:tblPr>
        <w:tblStyle w:val="3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873"/>
        <w:gridCol w:w="874"/>
        <w:gridCol w:w="873"/>
        <w:gridCol w:w="874"/>
        <w:gridCol w:w="873"/>
        <w:gridCol w:w="874"/>
        <w:gridCol w:w="873"/>
        <w:gridCol w:w="874"/>
        <w:gridCol w:w="873"/>
      </w:tblGrid>
      <w:tr w14:paraId="37769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14:paraId="1C00F07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25" w:type="pct"/>
            <w:gridSpan w:val="2"/>
            <w:tcBorders>
              <w:tl2br w:val="nil"/>
              <w:tr2bl w:val="nil"/>
            </w:tcBorders>
            <w:vAlign w:val="center"/>
          </w:tcPr>
          <w:p w14:paraId="5A5A099D">
            <w:pPr>
              <w:pStyle w:val="41"/>
              <w:rPr>
                <w:rFonts w:hint="default" w:ascii="Times New Roman" w:hAnsi="Times New Roman" w:cs="Times New Roman"/>
                <w:color w:val="auto"/>
                <w:u w:val="none"/>
              </w:rPr>
            </w:pPr>
            <w:r>
              <w:rPr>
                <w:rFonts w:hint="default" w:ascii="Times New Roman" w:hAnsi="Times New Roman" w:cs="Times New Roman"/>
                <w:color w:val="auto"/>
                <w:u w:val="none"/>
              </w:rPr>
              <w:t>东厂界</w:t>
            </w:r>
          </w:p>
        </w:tc>
        <w:tc>
          <w:tcPr>
            <w:tcW w:w="1025" w:type="pct"/>
            <w:gridSpan w:val="2"/>
            <w:tcBorders>
              <w:tl2br w:val="nil"/>
              <w:tr2bl w:val="nil"/>
            </w:tcBorders>
            <w:vAlign w:val="center"/>
          </w:tcPr>
          <w:p w14:paraId="60A891FE">
            <w:pPr>
              <w:pStyle w:val="41"/>
              <w:rPr>
                <w:rFonts w:hint="default" w:ascii="Times New Roman" w:hAnsi="Times New Roman" w:cs="Times New Roman"/>
                <w:color w:val="auto"/>
                <w:u w:val="none"/>
              </w:rPr>
            </w:pPr>
            <w:r>
              <w:rPr>
                <w:rFonts w:hint="default" w:ascii="Times New Roman" w:hAnsi="Times New Roman" w:cs="Times New Roman"/>
                <w:color w:val="auto"/>
                <w:u w:val="none"/>
              </w:rPr>
              <w:t>南厂界</w:t>
            </w:r>
          </w:p>
        </w:tc>
        <w:tc>
          <w:tcPr>
            <w:tcW w:w="1025" w:type="pct"/>
            <w:gridSpan w:val="2"/>
            <w:tcBorders>
              <w:tl2br w:val="nil"/>
              <w:tr2bl w:val="nil"/>
            </w:tcBorders>
            <w:vAlign w:val="center"/>
          </w:tcPr>
          <w:p w14:paraId="41F12C01">
            <w:pPr>
              <w:pStyle w:val="41"/>
              <w:rPr>
                <w:rFonts w:hint="default" w:ascii="Times New Roman" w:hAnsi="Times New Roman" w:cs="Times New Roman"/>
                <w:color w:val="auto"/>
                <w:u w:val="none"/>
              </w:rPr>
            </w:pPr>
            <w:r>
              <w:rPr>
                <w:rFonts w:hint="default" w:ascii="Times New Roman" w:hAnsi="Times New Roman" w:cs="Times New Roman"/>
                <w:color w:val="auto"/>
                <w:u w:val="none"/>
              </w:rPr>
              <w:t>西厂界</w:t>
            </w:r>
          </w:p>
        </w:tc>
        <w:tc>
          <w:tcPr>
            <w:tcW w:w="1025" w:type="pct"/>
            <w:gridSpan w:val="2"/>
            <w:tcBorders>
              <w:tl2br w:val="nil"/>
              <w:tr2bl w:val="nil"/>
            </w:tcBorders>
            <w:vAlign w:val="center"/>
          </w:tcPr>
          <w:p w14:paraId="34BE2268">
            <w:pPr>
              <w:pStyle w:val="41"/>
              <w:rPr>
                <w:rFonts w:hint="default" w:ascii="Times New Roman" w:hAnsi="Times New Roman" w:cs="Times New Roman"/>
                <w:color w:val="auto"/>
                <w:u w:val="none"/>
              </w:rPr>
            </w:pPr>
            <w:r>
              <w:rPr>
                <w:rFonts w:hint="default" w:ascii="Times New Roman" w:hAnsi="Times New Roman" w:cs="Times New Roman"/>
                <w:color w:val="auto"/>
                <w:u w:val="none"/>
              </w:rPr>
              <w:t>北厂界</w:t>
            </w:r>
          </w:p>
        </w:tc>
        <w:tc>
          <w:tcPr>
            <w:tcW w:w="512" w:type="pct"/>
            <w:tcBorders>
              <w:tl2br w:val="nil"/>
              <w:tr2bl w:val="nil"/>
            </w:tcBorders>
            <w:vAlign w:val="center"/>
          </w:tcPr>
          <w:p w14:paraId="3F01123D">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7420A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14:paraId="4142100C">
            <w:pPr>
              <w:pStyle w:val="41"/>
              <w:rPr>
                <w:rFonts w:hint="default" w:ascii="Times New Roman" w:hAnsi="Times New Roman" w:cs="Times New Roman"/>
                <w:color w:val="auto"/>
                <w:u w:val="none"/>
              </w:rPr>
            </w:pPr>
            <w:r>
              <w:rPr>
                <w:rFonts w:hint="default" w:ascii="Times New Roman" w:hAnsi="Times New Roman" w:cs="Times New Roman"/>
                <w:color w:val="auto"/>
                <w:u w:val="none"/>
              </w:rPr>
              <w:t>时段</w:t>
            </w:r>
          </w:p>
        </w:tc>
        <w:tc>
          <w:tcPr>
            <w:tcW w:w="512" w:type="pct"/>
            <w:tcBorders>
              <w:tl2br w:val="nil"/>
              <w:tr2bl w:val="nil"/>
            </w:tcBorders>
            <w:vAlign w:val="center"/>
          </w:tcPr>
          <w:p w14:paraId="5FDD12D6">
            <w:pPr>
              <w:pStyle w:val="41"/>
              <w:rPr>
                <w:rFonts w:hint="default" w:ascii="Times New Roman" w:hAnsi="Times New Roman" w:cs="Times New Roman"/>
                <w:color w:val="auto"/>
                <w:u w:val="none"/>
              </w:rPr>
            </w:pPr>
            <w:r>
              <w:rPr>
                <w:rFonts w:hint="default" w:ascii="Times New Roman" w:hAnsi="Times New Roman" w:cs="Times New Roman"/>
                <w:color w:val="auto"/>
                <w:u w:val="none"/>
              </w:rPr>
              <w:t>背景值</w:t>
            </w:r>
          </w:p>
        </w:tc>
        <w:tc>
          <w:tcPr>
            <w:tcW w:w="513" w:type="pct"/>
            <w:tcBorders>
              <w:tl2br w:val="nil"/>
              <w:tr2bl w:val="nil"/>
            </w:tcBorders>
            <w:vAlign w:val="center"/>
          </w:tcPr>
          <w:p w14:paraId="0B4F611C">
            <w:pPr>
              <w:pStyle w:val="41"/>
              <w:rPr>
                <w:rFonts w:hint="default" w:ascii="Times New Roman" w:hAnsi="Times New Roman" w:cs="Times New Roman"/>
                <w:color w:val="auto"/>
                <w:u w:val="none"/>
              </w:rPr>
            </w:pPr>
            <w:r>
              <w:rPr>
                <w:rFonts w:hint="default" w:ascii="Times New Roman" w:hAnsi="Times New Roman" w:cs="Times New Roman"/>
                <w:color w:val="auto"/>
                <w:u w:val="none"/>
              </w:rPr>
              <w:t>预测值</w:t>
            </w:r>
          </w:p>
        </w:tc>
        <w:tc>
          <w:tcPr>
            <w:tcW w:w="512" w:type="pct"/>
            <w:tcBorders>
              <w:tl2br w:val="nil"/>
              <w:tr2bl w:val="nil"/>
            </w:tcBorders>
            <w:vAlign w:val="center"/>
          </w:tcPr>
          <w:p w14:paraId="76B3850B">
            <w:pPr>
              <w:pStyle w:val="41"/>
              <w:rPr>
                <w:rFonts w:hint="default" w:ascii="Times New Roman" w:hAnsi="Times New Roman" w:cs="Times New Roman"/>
                <w:color w:val="auto"/>
                <w:u w:val="none"/>
              </w:rPr>
            </w:pPr>
            <w:r>
              <w:rPr>
                <w:rFonts w:hint="default" w:ascii="Times New Roman" w:hAnsi="Times New Roman" w:cs="Times New Roman"/>
                <w:color w:val="auto"/>
                <w:u w:val="none"/>
              </w:rPr>
              <w:t>背景值</w:t>
            </w:r>
          </w:p>
        </w:tc>
        <w:tc>
          <w:tcPr>
            <w:tcW w:w="513" w:type="pct"/>
            <w:tcBorders>
              <w:tl2br w:val="nil"/>
              <w:tr2bl w:val="nil"/>
            </w:tcBorders>
            <w:vAlign w:val="center"/>
          </w:tcPr>
          <w:p w14:paraId="19522529">
            <w:pPr>
              <w:pStyle w:val="41"/>
              <w:rPr>
                <w:rFonts w:hint="default" w:ascii="Times New Roman" w:hAnsi="Times New Roman" w:cs="Times New Roman"/>
                <w:color w:val="auto"/>
                <w:u w:val="none"/>
              </w:rPr>
            </w:pPr>
            <w:r>
              <w:rPr>
                <w:rFonts w:hint="default" w:ascii="Times New Roman" w:hAnsi="Times New Roman" w:cs="Times New Roman"/>
                <w:color w:val="auto"/>
                <w:u w:val="none"/>
              </w:rPr>
              <w:t>预测值</w:t>
            </w:r>
          </w:p>
        </w:tc>
        <w:tc>
          <w:tcPr>
            <w:tcW w:w="512" w:type="pct"/>
            <w:tcBorders>
              <w:tl2br w:val="nil"/>
              <w:tr2bl w:val="nil"/>
            </w:tcBorders>
            <w:vAlign w:val="center"/>
          </w:tcPr>
          <w:p w14:paraId="5F81B1E0">
            <w:pPr>
              <w:pStyle w:val="41"/>
              <w:rPr>
                <w:rFonts w:hint="default" w:ascii="Times New Roman" w:hAnsi="Times New Roman" w:cs="Times New Roman"/>
                <w:color w:val="auto"/>
                <w:u w:val="none"/>
              </w:rPr>
            </w:pPr>
            <w:r>
              <w:rPr>
                <w:rFonts w:hint="default" w:ascii="Times New Roman" w:hAnsi="Times New Roman" w:cs="Times New Roman"/>
                <w:color w:val="auto"/>
                <w:u w:val="none"/>
              </w:rPr>
              <w:t>背景值</w:t>
            </w:r>
          </w:p>
        </w:tc>
        <w:tc>
          <w:tcPr>
            <w:tcW w:w="513" w:type="pct"/>
            <w:tcBorders>
              <w:tl2br w:val="nil"/>
              <w:tr2bl w:val="nil"/>
            </w:tcBorders>
            <w:vAlign w:val="center"/>
          </w:tcPr>
          <w:p w14:paraId="2D62B72A">
            <w:pPr>
              <w:pStyle w:val="41"/>
              <w:rPr>
                <w:rFonts w:hint="default" w:ascii="Times New Roman" w:hAnsi="Times New Roman" w:cs="Times New Roman"/>
                <w:color w:val="auto"/>
                <w:u w:val="none"/>
              </w:rPr>
            </w:pPr>
            <w:r>
              <w:rPr>
                <w:rFonts w:hint="default" w:ascii="Times New Roman" w:hAnsi="Times New Roman" w:cs="Times New Roman"/>
                <w:color w:val="auto"/>
                <w:u w:val="none"/>
              </w:rPr>
              <w:t>预测值</w:t>
            </w:r>
          </w:p>
        </w:tc>
        <w:tc>
          <w:tcPr>
            <w:tcW w:w="512" w:type="pct"/>
            <w:tcBorders>
              <w:tl2br w:val="nil"/>
              <w:tr2bl w:val="nil"/>
            </w:tcBorders>
            <w:vAlign w:val="center"/>
          </w:tcPr>
          <w:p w14:paraId="07A3663C">
            <w:pPr>
              <w:pStyle w:val="41"/>
              <w:rPr>
                <w:rFonts w:hint="default" w:ascii="Times New Roman" w:hAnsi="Times New Roman" w:cs="Times New Roman"/>
                <w:color w:val="auto"/>
                <w:u w:val="none"/>
              </w:rPr>
            </w:pPr>
            <w:r>
              <w:rPr>
                <w:rFonts w:hint="default" w:ascii="Times New Roman" w:hAnsi="Times New Roman" w:cs="Times New Roman"/>
                <w:color w:val="auto"/>
                <w:u w:val="none"/>
              </w:rPr>
              <w:t>背景值</w:t>
            </w:r>
          </w:p>
        </w:tc>
        <w:tc>
          <w:tcPr>
            <w:tcW w:w="513" w:type="pct"/>
            <w:tcBorders>
              <w:tl2br w:val="nil"/>
              <w:tr2bl w:val="nil"/>
            </w:tcBorders>
            <w:vAlign w:val="center"/>
          </w:tcPr>
          <w:p w14:paraId="6D1DC7EB">
            <w:pPr>
              <w:pStyle w:val="41"/>
              <w:rPr>
                <w:rFonts w:hint="default" w:ascii="Times New Roman" w:hAnsi="Times New Roman" w:cs="Times New Roman"/>
                <w:color w:val="auto"/>
                <w:u w:val="none"/>
              </w:rPr>
            </w:pPr>
            <w:r>
              <w:rPr>
                <w:rFonts w:hint="default" w:ascii="Times New Roman" w:hAnsi="Times New Roman" w:cs="Times New Roman"/>
                <w:color w:val="auto"/>
                <w:u w:val="none"/>
              </w:rPr>
              <w:t>预测值</w:t>
            </w:r>
          </w:p>
        </w:tc>
        <w:tc>
          <w:tcPr>
            <w:tcW w:w="512" w:type="pct"/>
            <w:tcBorders>
              <w:tl2br w:val="nil"/>
              <w:tr2bl w:val="nil"/>
            </w:tcBorders>
            <w:vAlign w:val="center"/>
          </w:tcPr>
          <w:p w14:paraId="3C97895E">
            <w:pPr>
              <w:pStyle w:val="41"/>
              <w:rPr>
                <w:rFonts w:hint="default" w:ascii="Times New Roman" w:hAnsi="Times New Roman" w:cs="Times New Roman"/>
                <w:color w:val="auto"/>
                <w:u w:val="none"/>
              </w:rPr>
            </w:pPr>
            <w:r>
              <w:rPr>
                <w:rFonts w:hint="default" w:ascii="Times New Roman" w:hAnsi="Times New Roman" w:cs="Times New Roman"/>
                <w:color w:val="auto"/>
                <w:u w:val="none"/>
              </w:rPr>
              <w:t>标准值</w:t>
            </w:r>
          </w:p>
        </w:tc>
      </w:tr>
      <w:tr w14:paraId="004EE2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14:paraId="22BDA099">
            <w:pPr>
              <w:pStyle w:val="41"/>
              <w:rPr>
                <w:rFonts w:hint="default" w:ascii="Times New Roman" w:hAnsi="Times New Roman" w:cs="Times New Roman"/>
                <w:color w:val="auto"/>
                <w:u w:val="none"/>
              </w:rPr>
            </w:pPr>
            <w:r>
              <w:rPr>
                <w:rFonts w:hint="default" w:ascii="Times New Roman" w:hAnsi="Times New Roman" w:cs="Times New Roman"/>
                <w:color w:val="auto"/>
                <w:u w:val="none"/>
              </w:rPr>
              <w:t>昼间</w:t>
            </w:r>
          </w:p>
        </w:tc>
        <w:tc>
          <w:tcPr>
            <w:tcW w:w="512" w:type="pct"/>
            <w:tcBorders>
              <w:tl2br w:val="nil"/>
              <w:tr2bl w:val="nil"/>
            </w:tcBorders>
            <w:vAlign w:val="center"/>
          </w:tcPr>
          <w:p w14:paraId="398240E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53</w:t>
            </w:r>
          </w:p>
        </w:tc>
        <w:tc>
          <w:tcPr>
            <w:tcW w:w="513" w:type="pct"/>
            <w:tcBorders>
              <w:tl2br w:val="nil"/>
              <w:tr2bl w:val="nil"/>
            </w:tcBorders>
            <w:vAlign w:val="center"/>
          </w:tcPr>
          <w:p w14:paraId="58C067D1">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53.32</w:t>
            </w:r>
          </w:p>
        </w:tc>
        <w:tc>
          <w:tcPr>
            <w:tcW w:w="512" w:type="pct"/>
            <w:tcBorders>
              <w:tl2br w:val="nil"/>
              <w:tr2bl w:val="nil"/>
            </w:tcBorders>
            <w:vAlign w:val="center"/>
          </w:tcPr>
          <w:p w14:paraId="16B896EF">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5</w:t>
            </w:r>
            <w:r>
              <w:rPr>
                <w:rFonts w:hint="eastAsia" w:cs="Times New Roman"/>
                <w:color w:val="auto"/>
                <w:u w:val="none"/>
                <w:lang w:val="en-US" w:eastAsia="zh-CN"/>
              </w:rPr>
              <w:t>4</w:t>
            </w:r>
          </w:p>
        </w:tc>
        <w:tc>
          <w:tcPr>
            <w:tcW w:w="513" w:type="pct"/>
            <w:tcBorders>
              <w:tl2br w:val="nil"/>
              <w:tr2bl w:val="nil"/>
            </w:tcBorders>
            <w:vAlign w:val="center"/>
          </w:tcPr>
          <w:p w14:paraId="5D18E8FC">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54.12</w:t>
            </w:r>
          </w:p>
        </w:tc>
        <w:tc>
          <w:tcPr>
            <w:tcW w:w="512" w:type="pct"/>
            <w:tcBorders>
              <w:tl2br w:val="nil"/>
              <w:tr2bl w:val="nil"/>
            </w:tcBorders>
            <w:vAlign w:val="center"/>
          </w:tcPr>
          <w:p w14:paraId="1FBDAC46">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5</w:t>
            </w:r>
            <w:r>
              <w:rPr>
                <w:rFonts w:hint="eastAsia" w:cs="Times New Roman"/>
                <w:color w:val="auto"/>
                <w:u w:val="none"/>
                <w:lang w:val="en-US" w:eastAsia="zh-CN"/>
              </w:rPr>
              <w:t>4</w:t>
            </w:r>
          </w:p>
        </w:tc>
        <w:tc>
          <w:tcPr>
            <w:tcW w:w="513" w:type="pct"/>
            <w:tcBorders>
              <w:tl2br w:val="nil"/>
              <w:tr2bl w:val="nil"/>
            </w:tcBorders>
            <w:vAlign w:val="center"/>
          </w:tcPr>
          <w:p w14:paraId="2882E494">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54.9</w:t>
            </w:r>
            <w:r>
              <w:rPr>
                <w:rFonts w:hint="eastAsia" w:cs="Times New Roman"/>
                <w:color w:val="auto"/>
                <w:u w:val="none"/>
                <w:lang w:val="en-US" w:eastAsia="zh-CN"/>
              </w:rPr>
              <w:t>1</w:t>
            </w:r>
          </w:p>
        </w:tc>
        <w:tc>
          <w:tcPr>
            <w:tcW w:w="512" w:type="pct"/>
            <w:tcBorders>
              <w:tl2br w:val="nil"/>
              <w:tr2bl w:val="nil"/>
            </w:tcBorders>
            <w:vAlign w:val="center"/>
          </w:tcPr>
          <w:p w14:paraId="3A8F90B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53</w:t>
            </w:r>
          </w:p>
        </w:tc>
        <w:tc>
          <w:tcPr>
            <w:tcW w:w="513" w:type="pct"/>
            <w:tcBorders>
              <w:tl2br w:val="nil"/>
              <w:tr2bl w:val="nil"/>
            </w:tcBorders>
            <w:vAlign w:val="center"/>
          </w:tcPr>
          <w:p w14:paraId="5CBA2737">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54.</w:t>
            </w:r>
            <w:r>
              <w:rPr>
                <w:rFonts w:hint="eastAsia" w:cs="Times New Roman"/>
                <w:color w:val="auto"/>
                <w:u w:val="none"/>
                <w:lang w:val="en-US" w:eastAsia="zh-CN"/>
              </w:rPr>
              <w:t>38</w:t>
            </w:r>
          </w:p>
        </w:tc>
        <w:tc>
          <w:tcPr>
            <w:tcW w:w="512" w:type="pct"/>
            <w:tcBorders>
              <w:tl2br w:val="nil"/>
              <w:tr2bl w:val="nil"/>
            </w:tcBorders>
            <w:vAlign w:val="center"/>
          </w:tcPr>
          <w:p w14:paraId="42BF4586">
            <w:pPr>
              <w:pStyle w:val="41"/>
              <w:rPr>
                <w:rFonts w:hint="default" w:ascii="Times New Roman" w:hAnsi="Times New Roman" w:cs="Times New Roman"/>
                <w:color w:val="auto"/>
                <w:u w:val="none"/>
              </w:rPr>
            </w:pPr>
            <w:r>
              <w:rPr>
                <w:rFonts w:hint="default" w:ascii="Times New Roman" w:hAnsi="Times New Roman" w:cs="Times New Roman"/>
                <w:color w:val="auto"/>
                <w:u w:val="none"/>
              </w:rPr>
              <w:t>65</w:t>
            </w:r>
          </w:p>
        </w:tc>
      </w:tr>
      <w:tr w14:paraId="3EBCC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 w:type="pct"/>
            <w:tcBorders>
              <w:tl2br w:val="nil"/>
              <w:tr2bl w:val="nil"/>
            </w:tcBorders>
            <w:vAlign w:val="center"/>
          </w:tcPr>
          <w:p w14:paraId="11385E6E">
            <w:pPr>
              <w:pStyle w:val="41"/>
              <w:rPr>
                <w:rFonts w:hint="default" w:ascii="Times New Roman" w:hAnsi="Times New Roman" w:cs="Times New Roman"/>
                <w:color w:val="auto"/>
                <w:u w:val="none"/>
              </w:rPr>
            </w:pPr>
            <w:r>
              <w:rPr>
                <w:rFonts w:hint="default" w:ascii="Times New Roman" w:hAnsi="Times New Roman" w:cs="Times New Roman"/>
                <w:color w:val="auto"/>
                <w:u w:val="none"/>
              </w:rPr>
              <w:t>夜间</w:t>
            </w:r>
          </w:p>
        </w:tc>
        <w:tc>
          <w:tcPr>
            <w:tcW w:w="512" w:type="pct"/>
            <w:tcBorders>
              <w:tl2br w:val="nil"/>
              <w:tr2bl w:val="nil"/>
            </w:tcBorders>
            <w:vAlign w:val="center"/>
          </w:tcPr>
          <w:p w14:paraId="578176D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45</w:t>
            </w:r>
          </w:p>
        </w:tc>
        <w:tc>
          <w:tcPr>
            <w:tcW w:w="513" w:type="pct"/>
            <w:tcBorders>
              <w:tl2br w:val="nil"/>
              <w:tr2bl w:val="nil"/>
            </w:tcBorders>
            <w:vAlign w:val="center"/>
          </w:tcPr>
          <w:p w14:paraId="615E9A8E">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45.</w:t>
            </w:r>
            <w:r>
              <w:rPr>
                <w:rFonts w:hint="eastAsia" w:cs="Times New Roman"/>
                <w:color w:val="auto"/>
                <w:u w:val="none"/>
                <w:lang w:val="en-US" w:eastAsia="zh-CN"/>
              </w:rPr>
              <w:t>65</w:t>
            </w:r>
          </w:p>
        </w:tc>
        <w:tc>
          <w:tcPr>
            <w:tcW w:w="512" w:type="pct"/>
            <w:tcBorders>
              <w:tl2br w:val="nil"/>
              <w:tr2bl w:val="nil"/>
            </w:tcBorders>
            <w:vAlign w:val="center"/>
          </w:tcPr>
          <w:p w14:paraId="1453689F">
            <w:pPr>
              <w:pStyle w:val="41"/>
              <w:rPr>
                <w:rFonts w:hint="default" w:ascii="Times New Roman" w:hAnsi="Times New Roman" w:cs="Times New Roman"/>
                <w:color w:val="auto"/>
                <w:u w:val="none"/>
              </w:rPr>
            </w:pPr>
            <w:r>
              <w:rPr>
                <w:rFonts w:hint="default" w:ascii="Times New Roman" w:hAnsi="Times New Roman" w:cs="Times New Roman"/>
                <w:color w:val="auto"/>
                <w:u w:val="none"/>
              </w:rPr>
              <w:t>44</w:t>
            </w:r>
          </w:p>
        </w:tc>
        <w:tc>
          <w:tcPr>
            <w:tcW w:w="513" w:type="pct"/>
            <w:tcBorders>
              <w:tl2br w:val="nil"/>
              <w:tr2bl w:val="nil"/>
            </w:tcBorders>
            <w:vAlign w:val="center"/>
          </w:tcPr>
          <w:p w14:paraId="23E87F02">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44</w:t>
            </w:r>
            <w:r>
              <w:rPr>
                <w:rFonts w:hint="eastAsia" w:cs="Times New Roman"/>
                <w:color w:val="auto"/>
                <w:u w:val="none"/>
                <w:lang w:val="en-US" w:eastAsia="zh-CN"/>
              </w:rPr>
              <w:t>.26</w:t>
            </w:r>
          </w:p>
        </w:tc>
        <w:tc>
          <w:tcPr>
            <w:tcW w:w="512" w:type="pct"/>
            <w:tcBorders>
              <w:tl2br w:val="nil"/>
              <w:tr2bl w:val="nil"/>
            </w:tcBorders>
            <w:vAlign w:val="center"/>
          </w:tcPr>
          <w:p w14:paraId="52486953">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4</w:t>
            </w:r>
            <w:r>
              <w:rPr>
                <w:rFonts w:hint="eastAsia" w:cs="Times New Roman"/>
                <w:color w:val="auto"/>
                <w:u w:val="none"/>
                <w:lang w:val="en-US" w:eastAsia="zh-CN"/>
              </w:rPr>
              <w:t>5</w:t>
            </w:r>
          </w:p>
        </w:tc>
        <w:tc>
          <w:tcPr>
            <w:tcW w:w="513" w:type="pct"/>
            <w:tcBorders>
              <w:tl2br w:val="nil"/>
              <w:tr2bl w:val="nil"/>
            </w:tcBorders>
            <w:vAlign w:val="center"/>
          </w:tcPr>
          <w:p w14:paraId="40830BB6">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51.6</w:t>
            </w:r>
            <w:r>
              <w:rPr>
                <w:rFonts w:hint="eastAsia" w:cs="Times New Roman"/>
                <w:color w:val="auto"/>
                <w:u w:val="none"/>
                <w:lang w:val="en-US" w:eastAsia="zh-CN"/>
              </w:rPr>
              <w:t>8</w:t>
            </w:r>
          </w:p>
        </w:tc>
        <w:tc>
          <w:tcPr>
            <w:tcW w:w="512" w:type="pct"/>
            <w:tcBorders>
              <w:tl2br w:val="nil"/>
              <w:tr2bl w:val="nil"/>
            </w:tcBorders>
            <w:vAlign w:val="center"/>
          </w:tcPr>
          <w:p w14:paraId="5B13DA8B">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4</w:t>
            </w:r>
            <w:r>
              <w:rPr>
                <w:rFonts w:hint="eastAsia" w:cs="Times New Roman"/>
                <w:color w:val="auto"/>
                <w:u w:val="none"/>
                <w:lang w:val="en-US" w:eastAsia="zh-CN"/>
              </w:rPr>
              <w:t>4</w:t>
            </w:r>
          </w:p>
        </w:tc>
        <w:tc>
          <w:tcPr>
            <w:tcW w:w="513" w:type="pct"/>
            <w:tcBorders>
              <w:tl2br w:val="nil"/>
              <w:tr2bl w:val="nil"/>
            </w:tcBorders>
            <w:vAlign w:val="center"/>
          </w:tcPr>
          <w:p w14:paraId="1AF41F0B">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52.</w:t>
            </w:r>
            <w:r>
              <w:rPr>
                <w:rFonts w:hint="eastAsia" w:cs="Times New Roman"/>
                <w:color w:val="auto"/>
                <w:u w:val="none"/>
                <w:lang w:val="en-US" w:eastAsia="zh-CN"/>
              </w:rPr>
              <w:t>21</w:t>
            </w:r>
          </w:p>
        </w:tc>
        <w:tc>
          <w:tcPr>
            <w:tcW w:w="512" w:type="pct"/>
            <w:tcBorders>
              <w:tl2br w:val="nil"/>
              <w:tr2bl w:val="nil"/>
            </w:tcBorders>
            <w:vAlign w:val="center"/>
          </w:tcPr>
          <w:p w14:paraId="260E6933">
            <w:pPr>
              <w:pStyle w:val="41"/>
              <w:rPr>
                <w:rFonts w:hint="default" w:ascii="Times New Roman" w:hAnsi="Times New Roman" w:cs="Times New Roman"/>
                <w:color w:val="auto"/>
                <w:u w:val="none"/>
              </w:rPr>
            </w:pPr>
            <w:r>
              <w:rPr>
                <w:rFonts w:hint="default" w:ascii="Times New Roman" w:hAnsi="Times New Roman" w:cs="Times New Roman"/>
                <w:color w:val="auto"/>
                <w:u w:val="none"/>
              </w:rPr>
              <w:t>55</w:t>
            </w:r>
          </w:p>
        </w:tc>
      </w:tr>
    </w:tbl>
    <w:p w14:paraId="7A8D968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结果表明，项目噪声源通过基础门窗隔声、距离衰减后，项目拟建地厂界噪声预测值均能满足《工业企业厂界环境噪声排放标准》（GB12348-2008）3类功能区中昼、夜间标准要求。但为了保证周边声环境质量，本环评仍对项目提出有关要求保证有效地降低噪声，具体如下：</w:t>
      </w:r>
    </w:p>
    <w:p w14:paraId="675A72B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①尽可能选用功能好、噪音低的生产设备；</w:t>
      </w:r>
    </w:p>
    <w:p w14:paraId="4607540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②加强生产机械的日常维护并对老化和性能降低的旧设备进行及时更换，以此降低磨擦，减小噪声强度；</w:t>
      </w:r>
    </w:p>
    <w:p w14:paraId="76AF90C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③噪声对岗位操作工人影响较大时，应给施工人员佩戴耳塞，以减少噪声对施工人员的影响，并定期给员工做身体检查。</w:t>
      </w:r>
    </w:p>
    <w:p w14:paraId="1CA80390">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营运期固体废弃物影响分析</w:t>
      </w:r>
      <w:bookmarkEnd w:id="134"/>
    </w:p>
    <w:p w14:paraId="44219F3C">
      <w:pPr>
        <w:ind w:firstLine="480"/>
        <w:rPr>
          <w:rFonts w:hint="default" w:ascii="Times New Roman" w:hAnsi="Times New Roman" w:cs="Times New Roman"/>
          <w:color w:val="auto"/>
          <w:kern w:val="0"/>
          <w:u w:val="none"/>
          <w:lang w:val="zh-CN"/>
        </w:rPr>
      </w:pPr>
      <w:r>
        <w:rPr>
          <w:rFonts w:hint="default" w:ascii="Times New Roman" w:hAnsi="Times New Roman" w:cs="Times New Roman"/>
          <w:color w:val="auto"/>
          <w:u w:val="none"/>
        </w:rPr>
        <w:t>拟建项目产生的固废包括一般工业固废、危险废物、生活垃圾。其中一般工业固废包括纯水系统产生废活性炭、废RO反渗透膜、废边角料、废包装袋及废型砂、综合废水处理站污泥；</w:t>
      </w:r>
      <w:r>
        <w:rPr>
          <w:rFonts w:hint="default" w:ascii="Times New Roman" w:hAnsi="Times New Roman" w:cs="Times New Roman"/>
          <w:color w:val="auto"/>
          <w:u w:val="none"/>
          <w:lang w:val="zh-CN"/>
        </w:rPr>
        <w:t>危险废物</w:t>
      </w:r>
      <w:r>
        <w:rPr>
          <w:rFonts w:hint="default" w:ascii="Times New Roman" w:hAnsi="Times New Roman" w:cs="Times New Roman"/>
          <w:color w:val="auto"/>
          <w:u w:val="none"/>
        </w:rPr>
        <w:t>包括危险化学品废包装、废槽渣、含磷废水处理系统浓缩液、含镍污泥、含铬污泥、含镍结晶盐、含铬结晶盐、中水回用和废水处理废RO反渗透膜、废滤芯等。</w:t>
      </w:r>
    </w:p>
    <w:p w14:paraId="16198D20">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1、生活垃圾</w:t>
      </w:r>
    </w:p>
    <w:p w14:paraId="4443FE52">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项目生活垃圾经专人收集后，交由环卫部门统一处置。</w:t>
      </w:r>
    </w:p>
    <w:p w14:paraId="4B71659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2、一般工业固体废物</w:t>
      </w:r>
    </w:p>
    <w:p w14:paraId="015B9B4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项目营运期产生的一般工业固体废物主要为</w:t>
      </w:r>
      <w:r>
        <w:rPr>
          <w:rFonts w:hint="default" w:ascii="Times New Roman" w:hAnsi="Times New Roman" w:cs="Times New Roman"/>
          <w:color w:val="auto"/>
          <w:u w:val="none"/>
        </w:rPr>
        <w:t>纯水系统产生废活性炭</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废RO反渗透膜</w:t>
      </w:r>
      <w:r>
        <w:rPr>
          <w:rFonts w:hint="default" w:ascii="Times New Roman" w:hAnsi="Times New Roman" w:cs="Times New Roman"/>
          <w:color w:val="auto"/>
          <w:u w:val="none"/>
          <w:lang w:val="zh-CN"/>
        </w:rPr>
        <w:t>收集后外售。建设单位在厂房</w:t>
      </w:r>
      <w:r>
        <w:rPr>
          <w:rFonts w:hint="default" w:ascii="Times New Roman" w:hAnsi="Times New Roman" w:cs="Times New Roman"/>
          <w:color w:val="auto"/>
          <w:u w:val="none"/>
        </w:rPr>
        <w:t>建设</w:t>
      </w: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的一般工业固体废物暂存间，暂存间满足</w:t>
      </w:r>
      <w:r>
        <w:rPr>
          <w:rFonts w:hint="default" w:ascii="Times New Roman" w:hAnsi="Times New Roman" w:cs="Times New Roman"/>
          <w:color w:val="auto"/>
          <w:u w:val="none"/>
          <w:lang w:val="zh-CN"/>
        </w:rPr>
        <w:t>《一般工业固体废物贮存和填埋污染控制标准》（GB18599-2020）中的相关要求，建设、运行管理一般工业固体废物贮存场。</w:t>
      </w:r>
    </w:p>
    <w:p w14:paraId="4663668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3、危险废物</w:t>
      </w:r>
    </w:p>
    <w:p w14:paraId="068BEB27">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根据《国家危险废物名录》，项目营运期产生的危险废物主要有</w:t>
      </w:r>
      <w:r>
        <w:rPr>
          <w:rFonts w:hint="default" w:ascii="Times New Roman" w:hAnsi="Times New Roman" w:cs="Times New Roman"/>
          <w:color w:val="auto"/>
          <w:u w:val="none"/>
        </w:rPr>
        <w:t>危险化学品废包装、废槽渣、含磷废水处理系统浓缩液、含镍（铬）污泥、含铬（镍）结晶盐，中水回用和废水处理废RO反渗透膜、废滤芯</w:t>
      </w:r>
      <w:r>
        <w:rPr>
          <w:rFonts w:hint="default" w:ascii="Times New Roman" w:hAnsi="Times New Roman" w:cs="Times New Roman"/>
          <w:color w:val="auto"/>
          <w:u w:val="none"/>
          <w:lang w:val="zh-CN"/>
        </w:rPr>
        <w:t>等，在厂内集中存放后交有资质单位定期清运。建设单位应根据《危险废物贮存污染控制标准》（GB18597-20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lang w:val="zh-CN"/>
        </w:rPr>
        <w:t>）中的相关要求建设危险废物贮存设施、堆放危险废物、运行和管理危险废物贮存设施。</w:t>
      </w:r>
    </w:p>
    <w:p w14:paraId="40F5A756">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（1）危险废物贮存设施环境影响分析</w:t>
      </w:r>
    </w:p>
    <w:p w14:paraId="074633F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本项目拟在厂区</w:t>
      </w:r>
      <w:r>
        <w:rPr>
          <w:rFonts w:hint="default" w:ascii="Times New Roman" w:hAnsi="Times New Roman" w:cs="Times New Roman"/>
          <w:color w:val="auto"/>
          <w:u w:val="none"/>
        </w:rPr>
        <w:t>及污水处理站</w:t>
      </w:r>
      <w:r>
        <w:rPr>
          <w:rFonts w:hint="default" w:ascii="Times New Roman" w:hAnsi="Times New Roman" w:cs="Times New Roman"/>
          <w:color w:val="auto"/>
          <w:u w:val="none"/>
          <w:lang w:val="en-US" w:eastAsia="zh-CN"/>
        </w:rPr>
        <w:t>各</w:t>
      </w:r>
      <w:r>
        <w:rPr>
          <w:rFonts w:hint="default" w:ascii="Times New Roman" w:hAnsi="Times New Roman" w:cs="Times New Roman"/>
          <w:color w:val="auto"/>
          <w:u w:val="none"/>
          <w:lang w:val="zh-CN"/>
        </w:rPr>
        <w:t>设置</w:t>
      </w:r>
      <w:r>
        <w:rPr>
          <w:rFonts w:hint="default" w:ascii="Times New Roman" w:hAnsi="Times New Roman" w:cs="Times New Roman"/>
          <w:color w:val="auto"/>
          <w:u w:val="none"/>
          <w:lang w:val="en-US" w:eastAsia="zh-CN"/>
        </w:rPr>
        <w:t>1各</w:t>
      </w:r>
      <w:r>
        <w:rPr>
          <w:rFonts w:hint="default" w:ascii="Times New Roman" w:hAnsi="Times New Roman" w:cs="Times New Roman"/>
          <w:color w:val="auto"/>
          <w:u w:val="none"/>
          <w:lang w:val="zh-CN"/>
        </w:rPr>
        <w:t>危险废物暂存</w:t>
      </w:r>
      <w:r>
        <w:rPr>
          <w:rFonts w:hint="default" w:ascii="Times New Roman" w:hAnsi="Times New Roman" w:cs="Times New Roman"/>
          <w:color w:val="auto"/>
          <w:u w:val="none"/>
          <w:lang w:val="en-US" w:eastAsia="zh-CN"/>
        </w:rPr>
        <w:t>间</w:t>
      </w:r>
      <w:r>
        <w:rPr>
          <w:rFonts w:hint="default" w:ascii="Times New Roman" w:hAnsi="Times New Roman" w:cs="Times New Roman"/>
          <w:color w:val="auto"/>
          <w:u w:val="none"/>
          <w:lang w:val="zh-CN"/>
        </w:rPr>
        <w:t>，</w:t>
      </w:r>
      <w:r>
        <w:rPr>
          <w:rFonts w:hint="default" w:ascii="Times New Roman" w:hAnsi="Times New Roman" w:cs="Times New Roman"/>
          <w:color w:val="auto"/>
          <w:u w:val="none"/>
          <w:lang w:val="en-US" w:eastAsia="zh-CN"/>
        </w:rPr>
        <w:t>其中厂区内的为</w:t>
      </w:r>
      <w:r>
        <w:rPr>
          <w:rFonts w:hint="default" w:ascii="Times New Roman" w:hAnsi="Times New Roman" w:cs="Times New Roman"/>
          <w:color w:val="auto"/>
          <w:u w:val="none"/>
          <w:lang w:val="zh-CN"/>
        </w:rPr>
        <w:t>危废暂存间约</w:t>
      </w:r>
      <w:r>
        <w:rPr>
          <w:rFonts w:hint="default" w:ascii="Times New Roman" w:hAnsi="Times New Roman" w:cs="Times New Roman"/>
          <w:color w:val="auto"/>
          <w:u w:val="none"/>
          <w:lang w:val="en-US" w:eastAsia="zh-CN"/>
        </w:rPr>
        <w:t>1</w:t>
      </w:r>
      <w:r>
        <w:rPr>
          <w:rFonts w:hint="default" w:ascii="Times New Roman" w:hAnsi="Times New Roman" w:cs="Times New Roman"/>
          <w:color w:val="auto"/>
          <w:u w:val="none"/>
        </w:rPr>
        <w:t>00</w:t>
      </w:r>
      <w:r>
        <w:rPr>
          <w:rFonts w:hint="default" w:ascii="Times New Roman" w:hAnsi="Times New Roman" w:cs="Times New Roman"/>
          <w:color w:val="auto"/>
          <w:u w:val="none"/>
          <w:lang w:val="zh-CN"/>
        </w:rPr>
        <w:t>m</w:t>
      </w:r>
      <w:r>
        <w:rPr>
          <w:rFonts w:hint="default" w:ascii="Times New Roman" w:hAnsi="Times New Roman" w:cs="Times New Roman"/>
          <w:color w:val="auto"/>
          <w:u w:val="none"/>
          <w:vertAlign w:val="superscript"/>
          <w:lang w:val="zh-CN"/>
        </w:rPr>
        <w:t>2</w:t>
      </w:r>
      <w:r>
        <w:rPr>
          <w:rFonts w:hint="default" w:ascii="Times New Roman" w:hAnsi="Times New Roman" w:cs="Times New Roman"/>
          <w:color w:val="auto"/>
          <w:u w:val="none"/>
          <w:lang w:val="zh-CN"/>
        </w:rPr>
        <w:t>，项目产生的危险废物分类收集和贮存（在危险废物暂存间内划分相应的贮存区域），危险废物均应分类装入相应的贮存容器内，在危险废物暂存间内的临时贮存过程中尽量避免堆码现象。项目产生的危险废物经收集后，定期由有资质单位回收处理。对于危险废物的转运和运输，需严格按照《危险废物转移联单管理方法》（国家环保总局，总局令第5号）执行，做好记录，避免危险废物在贮存和转运过程中产生二次污染。</w:t>
      </w:r>
    </w:p>
    <w:p w14:paraId="0751B428">
      <w:pPr>
        <w:pStyle w:val="38"/>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w:t>
      </w:r>
      <w:r>
        <w:rPr>
          <w:rFonts w:hint="default" w:ascii="Times New Roman" w:hAnsi="Times New Roman" w:cs="Times New Roman"/>
          <w:b/>
          <w:bCs/>
          <w:color w:val="auto"/>
          <w:u w:val="none"/>
        </w:rPr>
        <w:t>6.2</w:t>
      </w:r>
      <w:r>
        <w:rPr>
          <w:rFonts w:hint="default" w:ascii="Times New Roman" w:hAnsi="Times New Roman" w:cs="Times New Roman"/>
          <w:b/>
          <w:bCs/>
          <w:color w:val="auto"/>
          <w:u w:val="none"/>
          <w:lang w:val="zh-CN"/>
        </w:rPr>
        <w:t>-</w:t>
      </w:r>
      <w:r>
        <w:rPr>
          <w:rFonts w:hint="default" w:ascii="Times New Roman" w:hAnsi="Times New Roman" w:cs="Times New Roman"/>
          <w:b/>
          <w:bCs/>
          <w:color w:val="auto"/>
          <w:u w:val="none"/>
        </w:rPr>
        <w:t>32</w:t>
      </w:r>
      <w:r>
        <w:rPr>
          <w:rFonts w:hint="default" w:ascii="Times New Roman" w:hAnsi="Times New Roman" w:cs="Times New Roman"/>
          <w:b/>
          <w:bCs/>
          <w:color w:val="auto"/>
          <w:u w:val="none"/>
          <w:lang w:val="zh-CN"/>
        </w:rPr>
        <w:t xml:space="preserve">  本项目危险废物汇总表</w:t>
      </w:r>
    </w:p>
    <w:tbl>
      <w:tblPr>
        <w:tblStyle w:val="30"/>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15"/>
        <w:gridCol w:w="689"/>
        <w:gridCol w:w="1196"/>
        <w:gridCol w:w="905"/>
        <w:gridCol w:w="1290"/>
        <w:gridCol w:w="652"/>
        <w:gridCol w:w="816"/>
        <w:gridCol w:w="443"/>
        <w:gridCol w:w="981"/>
      </w:tblGrid>
      <w:tr w14:paraId="01263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5012B36C">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654" w:type="pct"/>
            <w:vAlign w:val="center"/>
          </w:tcPr>
          <w:p w14:paraId="5F4FA38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危险废物名称</w:t>
            </w:r>
          </w:p>
        </w:tc>
        <w:tc>
          <w:tcPr>
            <w:tcW w:w="404" w:type="pct"/>
            <w:vAlign w:val="center"/>
          </w:tcPr>
          <w:p w14:paraId="198BB6E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危险废物类别</w:t>
            </w:r>
          </w:p>
        </w:tc>
        <w:tc>
          <w:tcPr>
            <w:tcW w:w="702" w:type="pct"/>
            <w:vAlign w:val="center"/>
          </w:tcPr>
          <w:p w14:paraId="60482CF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危险废物代码</w:t>
            </w:r>
          </w:p>
        </w:tc>
        <w:tc>
          <w:tcPr>
            <w:tcW w:w="531" w:type="pct"/>
            <w:vAlign w:val="center"/>
          </w:tcPr>
          <w:p w14:paraId="37612D3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产生量（t/a/）</w:t>
            </w:r>
          </w:p>
        </w:tc>
        <w:tc>
          <w:tcPr>
            <w:tcW w:w="757" w:type="pct"/>
            <w:vAlign w:val="center"/>
          </w:tcPr>
          <w:p w14:paraId="4CBCFE90">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产生工序及装置</w:t>
            </w:r>
          </w:p>
        </w:tc>
        <w:tc>
          <w:tcPr>
            <w:tcW w:w="382" w:type="pct"/>
            <w:vAlign w:val="center"/>
          </w:tcPr>
          <w:p w14:paraId="4BC5AC2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形态</w:t>
            </w:r>
          </w:p>
        </w:tc>
        <w:tc>
          <w:tcPr>
            <w:tcW w:w="479" w:type="pct"/>
            <w:vAlign w:val="center"/>
          </w:tcPr>
          <w:p w14:paraId="340B76E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有害成分</w:t>
            </w:r>
          </w:p>
        </w:tc>
        <w:tc>
          <w:tcPr>
            <w:tcW w:w="260" w:type="pct"/>
            <w:vAlign w:val="center"/>
          </w:tcPr>
          <w:p w14:paraId="1DCA2F58">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危险特性</w:t>
            </w:r>
          </w:p>
        </w:tc>
        <w:tc>
          <w:tcPr>
            <w:tcW w:w="576" w:type="pct"/>
            <w:vAlign w:val="center"/>
          </w:tcPr>
          <w:p w14:paraId="7A438DA5">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污染防治措施*</w:t>
            </w:r>
          </w:p>
        </w:tc>
      </w:tr>
      <w:tr w14:paraId="652A8E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0D6168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1</w:t>
            </w:r>
          </w:p>
        </w:tc>
        <w:tc>
          <w:tcPr>
            <w:tcW w:w="654" w:type="pct"/>
            <w:vAlign w:val="center"/>
          </w:tcPr>
          <w:p w14:paraId="3FCC7249">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危险化学品废包装</w:t>
            </w:r>
          </w:p>
        </w:tc>
        <w:tc>
          <w:tcPr>
            <w:tcW w:w="404" w:type="pct"/>
            <w:vAlign w:val="center"/>
          </w:tcPr>
          <w:p w14:paraId="2F1CA61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HW49</w:t>
            </w:r>
          </w:p>
        </w:tc>
        <w:tc>
          <w:tcPr>
            <w:tcW w:w="702" w:type="pct"/>
            <w:vAlign w:val="center"/>
          </w:tcPr>
          <w:p w14:paraId="4DB01DB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900-401-49</w:t>
            </w:r>
          </w:p>
        </w:tc>
        <w:tc>
          <w:tcPr>
            <w:tcW w:w="531" w:type="pct"/>
            <w:vAlign w:val="center"/>
          </w:tcPr>
          <w:p w14:paraId="4654076E">
            <w:pPr>
              <w:pStyle w:val="41"/>
              <w:rPr>
                <w:rFonts w:hint="default" w:ascii="Times New Roman" w:hAnsi="Times New Roman" w:cs="Times New Roman"/>
                <w:b w:val="0"/>
                <w:color w:val="auto"/>
                <w:u w:val="none"/>
              </w:rPr>
            </w:pPr>
            <w:r>
              <w:rPr>
                <w:rFonts w:hint="eastAsia" w:cs="Times New Roman"/>
                <w:color w:val="auto"/>
                <w:u w:val="none"/>
                <w:lang w:val="en-US" w:eastAsia="zh-CN"/>
              </w:rPr>
              <w:t>3</w:t>
            </w:r>
          </w:p>
        </w:tc>
        <w:tc>
          <w:tcPr>
            <w:tcW w:w="757" w:type="pct"/>
            <w:vAlign w:val="center"/>
          </w:tcPr>
          <w:p w14:paraId="00B3703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危化品使用</w:t>
            </w:r>
          </w:p>
        </w:tc>
        <w:tc>
          <w:tcPr>
            <w:tcW w:w="382" w:type="pct"/>
            <w:vAlign w:val="center"/>
          </w:tcPr>
          <w:p w14:paraId="07DFD217">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79" w:type="pct"/>
            <w:vAlign w:val="center"/>
          </w:tcPr>
          <w:p w14:paraId="7F87DED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有机溶剂</w:t>
            </w:r>
          </w:p>
        </w:tc>
        <w:tc>
          <w:tcPr>
            <w:tcW w:w="260" w:type="pct"/>
            <w:vAlign w:val="center"/>
          </w:tcPr>
          <w:p w14:paraId="7E9F8E47">
            <w:pPr>
              <w:pStyle w:val="45"/>
              <w:rPr>
                <w:rFonts w:hint="default" w:ascii="Times New Roman" w:hAnsi="Times New Roman" w:cs="Times New Roman"/>
                <w:color w:val="auto"/>
                <w:u w:val="none"/>
              </w:rPr>
            </w:pPr>
            <w:r>
              <w:rPr>
                <w:rFonts w:hint="default" w:ascii="Times New Roman" w:hAnsi="Times New Roman" w:cs="Times New Roman"/>
                <w:color w:val="auto"/>
                <w:u w:val="none"/>
              </w:rPr>
              <w:t>T/In</w:t>
            </w:r>
          </w:p>
        </w:tc>
        <w:tc>
          <w:tcPr>
            <w:tcW w:w="576" w:type="pct"/>
            <w:vMerge w:val="restart"/>
            <w:vAlign w:val="center"/>
          </w:tcPr>
          <w:p w14:paraId="0E931E94">
            <w:pPr>
              <w:pStyle w:val="45"/>
              <w:rPr>
                <w:rFonts w:hint="default" w:ascii="Times New Roman" w:hAnsi="Times New Roman" w:cs="Times New Roman"/>
                <w:color w:val="auto"/>
                <w:u w:val="none"/>
              </w:rPr>
            </w:pPr>
            <w:r>
              <w:rPr>
                <w:rFonts w:hint="default" w:ascii="Times New Roman" w:hAnsi="Times New Roman" w:cs="Times New Roman"/>
                <w:color w:val="auto"/>
                <w:u w:val="none"/>
              </w:rPr>
              <w:t>委托有资质的单位处理</w:t>
            </w:r>
          </w:p>
        </w:tc>
      </w:tr>
      <w:tr w14:paraId="413DB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0F8DA48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2</w:t>
            </w:r>
          </w:p>
        </w:tc>
        <w:tc>
          <w:tcPr>
            <w:tcW w:w="654" w:type="pct"/>
            <w:vAlign w:val="center"/>
          </w:tcPr>
          <w:p w14:paraId="3F5795AB">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废槽渣</w:t>
            </w:r>
          </w:p>
        </w:tc>
        <w:tc>
          <w:tcPr>
            <w:tcW w:w="404" w:type="pct"/>
            <w:vAlign w:val="center"/>
          </w:tcPr>
          <w:p w14:paraId="1D83CB34">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702" w:type="pct"/>
            <w:vAlign w:val="center"/>
          </w:tcPr>
          <w:p w14:paraId="663C3DD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31" w:type="pct"/>
            <w:vAlign w:val="center"/>
          </w:tcPr>
          <w:p w14:paraId="7A332A71">
            <w:pPr>
              <w:pStyle w:val="41"/>
              <w:rPr>
                <w:rFonts w:hint="default" w:ascii="Times New Roman" w:hAnsi="Times New Roman" w:cs="Times New Roman"/>
                <w:b w:val="0"/>
                <w:color w:val="auto"/>
                <w:u w:val="none"/>
              </w:rPr>
            </w:pPr>
            <w:r>
              <w:rPr>
                <w:rFonts w:hint="eastAsia" w:cs="Times New Roman"/>
                <w:color w:val="auto"/>
                <w:u w:val="none"/>
                <w:lang w:val="en-US" w:eastAsia="zh-CN"/>
              </w:rPr>
              <w:t>0.8</w:t>
            </w:r>
          </w:p>
        </w:tc>
        <w:tc>
          <w:tcPr>
            <w:tcW w:w="757" w:type="pct"/>
            <w:vAlign w:val="center"/>
          </w:tcPr>
          <w:p w14:paraId="2B4CC860">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阳极氧化设施</w:t>
            </w:r>
          </w:p>
        </w:tc>
        <w:tc>
          <w:tcPr>
            <w:tcW w:w="382" w:type="pct"/>
            <w:vAlign w:val="center"/>
          </w:tcPr>
          <w:p w14:paraId="71493D8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79" w:type="pct"/>
            <w:vAlign w:val="center"/>
          </w:tcPr>
          <w:p w14:paraId="763FC05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有机物</w:t>
            </w:r>
          </w:p>
        </w:tc>
        <w:tc>
          <w:tcPr>
            <w:tcW w:w="260" w:type="pct"/>
            <w:vAlign w:val="center"/>
          </w:tcPr>
          <w:p w14:paraId="1A86E71C">
            <w:pPr>
              <w:pStyle w:val="45"/>
              <w:rPr>
                <w:rFonts w:hint="default" w:ascii="Times New Roman" w:hAnsi="Times New Roman" w:cs="Times New Roman"/>
                <w:color w:val="auto"/>
                <w:u w:val="none"/>
              </w:rPr>
            </w:pPr>
            <w:r>
              <w:rPr>
                <w:rFonts w:hint="default" w:ascii="Times New Roman" w:hAnsi="Times New Roman" w:cs="Times New Roman"/>
                <w:color w:val="auto"/>
                <w:u w:val="none"/>
              </w:rPr>
              <w:t>T，I</w:t>
            </w:r>
          </w:p>
        </w:tc>
        <w:tc>
          <w:tcPr>
            <w:tcW w:w="576" w:type="pct"/>
            <w:vMerge w:val="continue"/>
            <w:vAlign w:val="center"/>
          </w:tcPr>
          <w:p w14:paraId="4FEFE423">
            <w:pPr>
              <w:pStyle w:val="45"/>
              <w:rPr>
                <w:rFonts w:hint="default" w:ascii="Times New Roman" w:hAnsi="Times New Roman" w:cs="Times New Roman"/>
                <w:color w:val="auto"/>
                <w:u w:val="none"/>
              </w:rPr>
            </w:pPr>
          </w:p>
        </w:tc>
      </w:tr>
      <w:tr w14:paraId="7DAF7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807B40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w:t>
            </w:r>
          </w:p>
        </w:tc>
        <w:tc>
          <w:tcPr>
            <w:tcW w:w="654" w:type="pct"/>
            <w:vAlign w:val="center"/>
          </w:tcPr>
          <w:p w14:paraId="70A07FAB">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含磷废水处理系统浓缩液</w:t>
            </w:r>
          </w:p>
        </w:tc>
        <w:tc>
          <w:tcPr>
            <w:tcW w:w="404" w:type="pct"/>
            <w:vAlign w:val="center"/>
          </w:tcPr>
          <w:p w14:paraId="478FF89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702" w:type="pct"/>
            <w:vAlign w:val="center"/>
          </w:tcPr>
          <w:p w14:paraId="570E527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31" w:type="pct"/>
            <w:vAlign w:val="center"/>
          </w:tcPr>
          <w:p w14:paraId="01E5734A">
            <w:pPr>
              <w:pStyle w:val="41"/>
              <w:rPr>
                <w:rFonts w:hint="default" w:ascii="Times New Roman" w:hAnsi="Times New Roman" w:cs="Times New Roman"/>
                <w:b w:val="0"/>
                <w:color w:val="auto"/>
                <w:u w:val="none"/>
              </w:rPr>
            </w:pPr>
            <w:r>
              <w:rPr>
                <w:rFonts w:hint="eastAsia" w:cs="Times New Roman"/>
                <w:color w:val="auto"/>
                <w:u w:val="none"/>
                <w:lang w:val="en-US" w:eastAsia="zh-CN"/>
              </w:rPr>
              <w:t>2.3</w:t>
            </w:r>
          </w:p>
        </w:tc>
        <w:tc>
          <w:tcPr>
            <w:tcW w:w="757" w:type="pct"/>
            <w:vAlign w:val="center"/>
          </w:tcPr>
          <w:p w14:paraId="5CD84A3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含磷废水处理系统</w:t>
            </w:r>
          </w:p>
        </w:tc>
        <w:tc>
          <w:tcPr>
            <w:tcW w:w="382" w:type="pct"/>
            <w:vAlign w:val="center"/>
          </w:tcPr>
          <w:p w14:paraId="3A1082D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液态</w:t>
            </w:r>
          </w:p>
        </w:tc>
        <w:tc>
          <w:tcPr>
            <w:tcW w:w="479" w:type="pct"/>
            <w:vAlign w:val="center"/>
          </w:tcPr>
          <w:p w14:paraId="4D16995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260" w:type="pct"/>
            <w:vAlign w:val="center"/>
          </w:tcPr>
          <w:p w14:paraId="5F367A45">
            <w:pPr>
              <w:pStyle w:val="45"/>
              <w:rPr>
                <w:rFonts w:hint="default" w:ascii="Times New Roman" w:hAnsi="Times New Roman" w:cs="Times New Roman"/>
                <w:color w:val="auto"/>
                <w:u w:val="none"/>
              </w:rPr>
            </w:pPr>
            <w:r>
              <w:rPr>
                <w:rFonts w:hint="default" w:ascii="Times New Roman" w:hAnsi="Times New Roman" w:cs="Times New Roman"/>
                <w:color w:val="auto"/>
                <w:u w:val="none"/>
              </w:rPr>
              <w:t>T/In</w:t>
            </w:r>
          </w:p>
        </w:tc>
        <w:tc>
          <w:tcPr>
            <w:tcW w:w="576" w:type="pct"/>
            <w:vMerge w:val="continue"/>
            <w:vAlign w:val="center"/>
          </w:tcPr>
          <w:p w14:paraId="1D95E211">
            <w:pPr>
              <w:pStyle w:val="45"/>
              <w:rPr>
                <w:rFonts w:hint="default" w:ascii="Times New Roman" w:hAnsi="Times New Roman" w:cs="Times New Roman"/>
                <w:color w:val="auto"/>
                <w:u w:val="none"/>
              </w:rPr>
            </w:pPr>
          </w:p>
        </w:tc>
      </w:tr>
      <w:tr w14:paraId="68B16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6DD7D36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4</w:t>
            </w:r>
          </w:p>
        </w:tc>
        <w:tc>
          <w:tcPr>
            <w:tcW w:w="654" w:type="pct"/>
            <w:vAlign w:val="center"/>
          </w:tcPr>
          <w:p w14:paraId="11F93EC2">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含镍（铬）污泥</w:t>
            </w:r>
          </w:p>
        </w:tc>
        <w:tc>
          <w:tcPr>
            <w:tcW w:w="404" w:type="pct"/>
            <w:vAlign w:val="center"/>
          </w:tcPr>
          <w:p w14:paraId="04463EB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702" w:type="pct"/>
            <w:vAlign w:val="center"/>
          </w:tcPr>
          <w:p w14:paraId="375416A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31" w:type="pct"/>
            <w:vAlign w:val="center"/>
          </w:tcPr>
          <w:p w14:paraId="2685A962">
            <w:pPr>
              <w:pStyle w:val="41"/>
              <w:rPr>
                <w:rFonts w:hint="default" w:ascii="Times New Roman" w:hAnsi="Times New Roman" w:cs="Times New Roman"/>
                <w:b w:val="0"/>
                <w:color w:val="auto"/>
                <w:u w:val="none"/>
              </w:rPr>
            </w:pPr>
            <w:r>
              <w:rPr>
                <w:rFonts w:hint="eastAsia" w:cs="Times New Roman"/>
                <w:color w:val="auto"/>
                <w:u w:val="none"/>
                <w:lang w:val="en-US" w:eastAsia="zh-CN"/>
              </w:rPr>
              <w:t>43.5</w:t>
            </w:r>
          </w:p>
        </w:tc>
        <w:tc>
          <w:tcPr>
            <w:tcW w:w="757" w:type="pct"/>
            <w:vAlign w:val="center"/>
          </w:tcPr>
          <w:p w14:paraId="278B84C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含镍（铬）废水处理系统</w:t>
            </w:r>
          </w:p>
        </w:tc>
        <w:tc>
          <w:tcPr>
            <w:tcW w:w="382" w:type="pct"/>
            <w:vAlign w:val="center"/>
          </w:tcPr>
          <w:p w14:paraId="7A75B26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79" w:type="pct"/>
            <w:vAlign w:val="center"/>
          </w:tcPr>
          <w:p w14:paraId="63B2E509">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260" w:type="pct"/>
            <w:vAlign w:val="center"/>
          </w:tcPr>
          <w:p w14:paraId="2465A74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76" w:type="pct"/>
            <w:vMerge w:val="continue"/>
            <w:vAlign w:val="center"/>
          </w:tcPr>
          <w:p w14:paraId="470D49D4">
            <w:pPr>
              <w:pStyle w:val="39"/>
              <w:rPr>
                <w:rFonts w:hint="default" w:ascii="Times New Roman" w:hAnsi="Times New Roman" w:cs="Times New Roman"/>
                <w:color w:val="auto"/>
                <w:u w:val="none"/>
              </w:rPr>
            </w:pPr>
          </w:p>
        </w:tc>
      </w:tr>
      <w:tr w14:paraId="4C5E5A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7E549CB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5</w:t>
            </w:r>
          </w:p>
        </w:tc>
        <w:tc>
          <w:tcPr>
            <w:tcW w:w="654" w:type="pct"/>
            <w:vAlign w:val="center"/>
          </w:tcPr>
          <w:p w14:paraId="78D83ECD">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含铬（镍）结晶盐</w:t>
            </w:r>
          </w:p>
        </w:tc>
        <w:tc>
          <w:tcPr>
            <w:tcW w:w="404" w:type="pct"/>
            <w:vAlign w:val="center"/>
          </w:tcPr>
          <w:p w14:paraId="192C2DD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HW17</w:t>
            </w:r>
          </w:p>
        </w:tc>
        <w:tc>
          <w:tcPr>
            <w:tcW w:w="702" w:type="pct"/>
            <w:vAlign w:val="center"/>
          </w:tcPr>
          <w:p w14:paraId="11A427CB">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336-064-17</w:t>
            </w:r>
          </w:p>
        </w:tc>
        <w:tc>
          <w:tcPr>
            <w:tcW w:w="531" w:type="pct"/>
            <w:vAlign w:val="center"/>
          </w:tcPr>
          <w:p w14:paraId="27CF65C1">
            <w:pPr>
              <w:pStyle w:val="41"/>
              <w:rPr>
                <w:rFonts w:hint="default" w:ascii="Times New Roman" w:hAnsi="Times New Roman" w:eastAsia="宋体" w:cs="Times New Roman"/>
                <w:b w:val="0"/>
                <w:color w:val="auto"/>
                <w:u w:val="none"/>
                <w:lang w:val="en-US" w:eastAsia="zh-CN"/>
              </w:rPr>
            </w:pPr>
            <w:r>
              <w:rPr>
                <w:rFonts w:hint="eastAsia" w:cs="Times New Roman"/>
                <w:color w:val="auto"/>
                <w:u w:val="none"/>
                <w:lang w:val="en-US" w:eastAsia="zh-CN"/>
              </w:rPr>
              <w:t>4.2</w:t>
            </w:r>
          </w:p>
        </w:tc>
        <w:tc>
          <w:tcPr>
            <w:tcW w:w="757" w:type="pct"/>
            <w:vAlign w:val="center"/>
          </w:tcPr>
          <w:p w14:paraId="0FB8B21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废水处理系统</w:t>
            </w:r>
          </w:p>
        </w:tc>
        <w:tc>
          <w:tcPr>
            <w:tcW w:w="382" w:type="pct"/>
            <w:vAlign w:val="center"/>
          </w:tcPr>
          <w:p w14:paraId="5E8D048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79" w:type="pct"/>
            <w:vAlign w:val="center"/>
          </w:tcPr>
          <w:p w14:paraId="0C27E2D8">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260" w:type="pct"/>
            <w:vAlign w:val="center"/>
          </w:tcPr>
          <w:p w14:paraId="6416B337">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76" w:type="pct"/>
            <w:vMerge w:val="continue"/>
            <w:vAlign w:val="center"/>
          </w:tcPr>
          <w:p w14:paraId="4155A51F">
            <w:pPr>
              <w:pStyle w:val="39"/>
              <w:rPr>
                <w:rFonts w:hint="default" w:ascii="Times New Roman" w:hAnsi="Times New Roman" w:cs="Times New Roman"/>
                <w:color w:val="auto"/>
                <w:u w:val="none"/>
              </w:rPr>
            </w:pPr>
          </w:p>
        </w:tc>
      </w:tr>
      <w:tr w14:paraId="786E4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354B0AE">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6</w:t>
            </w:r>
          </w:p>
        </w:tc>
        <w:tc>
          <w:tcPr>
            <w:tcW w:w="654" w:type="pct"/>
            <w:vAlign w:val="center"/>
          </w:tcPr>
          <w:p w14:paraId="35387EEF">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废水处理、中水回用</w:t>
            </w:r>
            <w:r>
              <w:rPr>
                <w:rFonts w:hint="default" w:ascii="Times New Roman" w:hAnsi="Times New Roman" w:cs="Times New Roman"/>
                <w:color w:val="auto"/>
                <w:u w:val="none"/>
                <w:lang w:val="en-US" w:eastAsia="zh-CN"/>
              </w:rPr>
              <w:t>系统：</w:t>
            </w:r>
            <w:r>
              <w:rPr>
                <w:rFonts w:hint="default" w:ascii="Times New Roman" w:hAnsi="Times New Roman" w:cs="Times New Roman"/>
                <w:color w:val="auto"/>
                <w:u w:val="none"/>
              </w:rPr>
              <w:t>废RO反渗透膜</w:t>
            </w:r>
          </w:p>
        </w:tc>
        <w:tc>
          <w:tcPr>
            <w:tcW w:w="404" w:type="pct"/>
            <w:vAlign w:val="center"/>
          </w:tcPr>
          <w:p w14:paraId="4DA5765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HW49</w:t>
            </w:r>
          </w:p>
        </w:tc>
        <w:tc>
          <w:tcPr>
            <w:tcW w:w="702" w:type="pct"/>
            <w:vAlign w:val="center"/>
          </w:tcPr>
          <w:p w14:paraId="06DFEAA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900-041-49</w:t>
            </w:r>
          </w:p>
        </w:tc>
        <w:tc>
          <w:tcPr>
            <w:tcW w:w="531" w:type="pct"/>
            <w:vAlign w:val="center"/>
          </w:tcPr>
          <w:p w14:paraId="055EFB9A">
            <w:pPr>
              <w:pStyle w:val="41"/>
              <w:rPr>
                <w:rFonts w:hint="default" w:ascii="Times New Roman" w:hAnsi="Times New Roman" w:cs="Times New Roman"/>
                <w:b w:val="0"/>
                <w:color w:val="auto"/>
                <w:u w:val="none"/>
              </w:rPr>
            </w:pPr>
            <w:r>
              <w:rPr>
                <w:rFonts w:hint="eastAsia" w:cs="Times New Roman"/>
                <w:color w:val="auto"/>
                <w:u w:val="none"/>
                <w:lang w:val="en-US" w:eastAsia="zh-CN"/>
              </w:rPr>
              <w:t>0.3</w:t>
            </w:r>
          </w:p>
        </w:tc>
        <w:tc>
          <w:tcPr>
            <w:tcW w:w="757" w:type="pct"/>
            <w:vAlign w:val="center"/>
          </w:tcPr>
          <w:p w14:paraId="79068772">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中水回用</w:t>
            </w:r>
          </w:p>
        </w:tc>
        <w:tc>
          <w:tcPr>
            <w:tcW w:w="382" w:type="pct"/>
            <w:vAlign w:val="center"/>
          </w:tcPr>
          <w:p w14:paraId="50665206">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79" w:type="pct"/>
            <w:vAlign w:val="center"/>
          </w:tcPr>
          <w:p w14:paraId="5C525C90">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260" w:type="pct"/>
            <w:vAlign w:val="center"/>
          </w:tcPr>
          <w:p w14:paraId="2EC1435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76" w:type="pct"/>
            <w:vMerge w:val="continue"/>
            <w:vAlign w:val="center"/>
          </w:tcPr>
          <w:p w14:paraId="285A8976">
            <w:pPr>
              <w:pStyle w:val="39"/>
              <w:rPr>
                <w:rFonts w:hint="default" w:ascii="Times New Roman" w:hAnsi="Times New Roman" w:cs="Times New Roman"/>
                <w:color w:val="auto"/>
                <w:u w:val="none"/>
              </w:rPr>
            </w:pPr>
          </w:p>
        </w:tc>
      </w:tr>
      <w:tr w14:paraId="42BC5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 w:type="pct"/>
            <w:vAlign w:val="center"/>
          </w:tcPr>
          <w:p w14:paraId="3D29346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7</w:t>
            </w:r>
          </w:p>
        </w:tc>
        <w:tc>
          <w:tcPr>
            <w:tcW w:w="654" w:type="pct"/>
            <w:vAlign w:val="center"/>
          </w:tcPr>
          <w:p w14:paraId="40A7EF8D">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废滤芯</w:t>
            </w:r>
          </w:p>
        </w:tc>
        <w:tc>
          <w:tcPr>
            <w:tcW w:w="404" w:type="pct"/>
            <w:vAlign w:val="center"/>
          </w:tcPr>
          <w:p w14:paraId="6332AD27">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HW49</w:t>
            </w:r>
          </w:p>
        </w:tc>
        <w:tc>
          <w:tcPr>
            <w:tcW w:w="702" w:type="pct"/>
            <w:vAlign w:val="center"/>
          </w:tcPr>
          <w:p w14:paraId="38F64F04">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900-401-49</w:t>
            </w:r>
          </w:p>
        </w:tc>
        <w:tc>
          <w:tcPr>
            <w:tcW w:w="531" w:type="pct"/>
            <w:vAlign w:val="center"/>
          </w:tcPr>
          <w:p w14:paraId="14103313">
            <w:pPr>
              <w:pStyle w:val="41"/>
              <w:rPr>
                <w:rFonts w:hint="default" w:ascii="Times New Roman" w:hAnsi="Times New Roman" w:cs="Times New Roman"/>
                <w:b w:val="0"/>
                <w:color w:val="auto"/>
                <w:u w:val="none"/>
              </w:rPr>
            </w:pPr>
            <w:r>
              <w:rPr>
                <w:rFonts w:hint="default" w:ascii="Times New Roman" w:hAnsi="Times New Roman" w:cs="Times New Roman"/>
                <w:color w:val="auto"/>
                <w:u w:val="none"/>
              </w:rPr>
              <w:t>0.</w:t>
            </w:r>
            <w:r>
              <w:rPr>
                <w:rFonts w:hint="eastAsia" w:cs="Times New Roman"/>
                <w:color w:val="auto"/>
                <w:u w:val="none"/>
                <w:lang w:val="en-US" w:eastAsia="zh-CN"/>
              </w:rPr>
              <w:t>2</w:t>
            </w:r>
          </w:p>
        </w:tc>
        <w:tc>
          <w:tcPr>
            <w:tcW w:w="757" w:type="pct"/>
            <w:vAlign w:val="center"/>
          </w:tcPr>
          <w:p w14:paraId="0E234A25">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阳极氧化设施</w:t>
            </w:r>
          </w:p>
        </w:tc>
        <w:tc>
          <w:tcPr>
            <w:tcW w:w="382" w:type="pct"/>
            <w:vAlign w:val="center"/>
          </w:tcPr>
          <w:p w14:paraId="4D38762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固态</w:t>
            </w:r>
          </w:p>
        </w:tc>
        <w:tc>
          <w:tcPr>
            <w:tcW w:w="479" w:type="pct"/>
            <w:vAlign w:val="center"/>
          </w:tcPr>
          <w:p w14:paraId="7C96979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重金属</w:t>
            </w:r>
          </w:p>
        </w:tc>
        <w:tc>
          <w:tcPr>
            <w:tcW w:w="260" w:type="pct"/>
            <w:vAlign w:val="center"/>
          </w:tcPr>
          <w:p w14:paraId="31A15CB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T/In</w:t>
            </w:r>
          </w:p>
        </w:tc>
        <w:tc>
          <w:tcPr>
            <w:tcW w:w="576" w:type="pct"/>
            <w:vMerge w:val="continue"/>
            <w:vAlign w:val="center"/>
          </w:tcPr>
          <w:p w14:paraId="3012F4EA">
            <w:pPr>
              <w:pStyle w:val="39"/>
              <w:rPr>
                <w:rFonts w:hint="default" w:ascii="Times New Roman" w:hAnsi="Times New Roman" w:cs="Times New Roman"/>
                <w:color w:val="auto"/>
                <w:u w:val="none"/>
              </w:rPr>
            </w:pPr>
          </w:p>
        </w:tc>
      </w:tr>
    </w:tbl>
    <w:p w14:paraId="13F4FC3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rPr>
        <w:t>①贮存场所符合性分析</w:t>
      </w:r>
    </w:p>
    <w:p w14:paraId="2B12E108">
      <w:pPr>
        <w:ind w:firstLine="480"/>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本项目危废间分为污泥暂存区</w:t>
      </w:r>
      <w:r>
        <w:rPr>
          <w:rFonts w:hint="default" w:ascii="Times New Roman" w:hAnsi="Times New Roman" w:cs="Times New Roman"/>
          <w:color w:val="auto"/>
          <w:kern w:val="0"/>
          <w:u w:val="none"/>
          <w:lang w:val="zh-CN" w:bidi="ar"/>
        </w:rPr>
        <w:t>、</w:t>
      </w:r>
      <w:r>
        <w:rPr>
          <w:rFonts w:hint="default" w:ascii="Times New Roman" w:hAnsi="Times New Roman" w:cs="Times New Roman"/>
          <w:color w:val="auto"/>
          <w:kern w:val="0"/>
          <w:u w:val="none"/>
          <w:lang w:bidi="ar"/>
        </w:rPr>
        <w:t>结晶盐暂存区、废包装暂存区、废活性炭滤芯暂存区、废槽液暂存区，危废间均按《危险废物贮存污染控制标准》（GB18597-20</w:t>
      </w:r>
      <w:r>
        <w:rPr>
          <w:rFonts w:hint="eastAsia" w:ascii="Times New Roman" w:hAnsi="Times New Roman" w:cs="Times New Roman"/>
          <w:color w:val="auto"/>
          <w:kern w:val="0"/>
          <w:u w:val="none"/>
          <w:lang w:val="en-US" w:eastAsia="zh-CN" w:bidi="ar"/>
        </w:rPr>
        <w:t>23</w:t>
      </w:r>
      <w:r>
        <w:rPr>
          <w:rFonts w:hint="default" w:ascii="Times New Roman" w:hAnsi="Times New Roman" w:cs="Times New Roman"/>
          <w:color w:val="auto"/>
          <w:kern w:val="0"/>
          <w:u w:val="none"/>
          <w:lang w:bidi="ar"/>
        </w:rPr>
        <w:t>）</w:t>
      </w:r>
      <w:r>
        <w:rPr>
          <w:rFonts w:hint="eastAsia" w:ascii="Times New Roman" w:hAnsi="Times New Roman" w:cs="Times New Roman"/>
          <w:color w:val="auto"/>
          <w:kern w:val="0"/>
          <w:u w:val="none"/>
          <w:lang w:eastAsia="zh-CN" w:bidi="ar"/>
        </w:rPr>
        <w:t>的</w:t>
      </w:r>
      <w:r>
        <w:rPr>
          <w:rFonts w:hint="default" w:ascii="Times New Roman" w:hAnsi="Times New Roman" w:cs="Times New Roman"/>
          <w:color w:val="auto"/>
          <w:kern w:val="0"/>
          <w:u w:val="none"/>
          <w:lang w:bidi="ar"/>
        </w:rPr>
        <w:t>要求做好相关防渗等措施，厂房四周均做了硬化处理。项目周边并没有敏感建筑，选址可行。本项目选址与《危险废物贮存污染控制标准》（GB18597-20</w:t>
      </w:r>
      <w:r>
        <w:rPr>
          <w:rFonts w:hint="eastAsia" w:ascii="Times New Roman" w:hAnsi="Times New Roman" w:cs="Times New Roman"/>
          <w:color w:val="auto"/>
          <w:kern w:val="0"/>
          <w:u w:val="none"/>
          <w:lang w:val="en-US" w:eastAsia="zh-CN" w:bidi="ar"/>
        </w:rPr>
        <w:t>23</w:t>
      </w:r>
      <w:r>
        <w:rPr>
          <w:rFonts w:hint="default" w:ascii="Times New Roman" w:hAnsi="Times New Roman" w:cs="Times New Roman"/>
          <w:color w:val="auto"/>
          <w:kern w:val="0"/>
          <w:u w:val="none"/>
          <w:lang w:bidi="ar"/>
        </w:rPr>
        <w:t>）的相符性详见下表。</w:t>
      </w:r>
    </w:p>
    <w:p w14:paraId="0E91C611">
      <w:pPr>
        <w:pStyle w:val="38"/>
        <w:rPr>
          <w:rFonts w:hint="default" w:ascii="Times New Roman" w:hAnsi="Times New Roman" w:cs="Times New Roman"/>
          <w:b/>
          <w:bCs/>
          <w:color w:val="auto"/>
          <w:u w:val="none"/>
          <w:lang w:val="zh-CN"/>
        </w:rPr>
      </w:pPr>
    </w:p>
    <w:p w14:paraId="34BE27AA">
      <w:pPr>
        <w:pStyle w:val="38"/>
        <w:rPr>
          <w:rFonts w:hint="default" w:ascii="Times New Roman" w:hAnsi="Times New Roman" w:cs="Times New Roman"/>
          <w:b/>
          <w:bCs/>
          <w:color w:val="auto"/>
          <w:u w:val="none"/>
          <w:lang w:val="zh-CN"/>
        </w:rPr>
      </w:pPr>
      <w:r>
        <w:rPr>
          <w:rFonts w:hint="default" w:ascii="Times New Roman" w:hAnsi="Times New Roman" w:cs="Times New Roman"/>
          <w:b/>
          <w:bCs/>
          <w:color w:val="auto"/>
          <w:u w:val="none"/>
          <w:lang w:val="zh-CN"/>
        </w:rPr>
        <w:t>表</w:t>
      </w:r>
      <w:r>
        <w:rPr>
          <w:rFonts w:hint="default" w:ascii="Times New Roman" w:hAnsi="Times New Roman" w:cs="Times New Roman"/>
          <w:b/>
          <w:bCs/>
          <w:color w:val="auto"/>
          <w:u w:val="none"/>
        </w:rPr>
        <w:t>6.2-33</w:t>
      </w:r>
      <w:r>
        <w:rPr>
          <w:rFonts w:hint="default" w:ascii="Times New Roman" w:hAnsi="Times New Roman" w:cs="Times New Roman"/>
          <w:b/>
          <w:bCs/>
          <w:color w:val="auto"/>
          <w:u w:val="none"/>
          <w:lang w:val="zh-CN"/>
        </w:rPr>
        <w:t xml:space="preserve"> 项目与危险废物贮存污染控制标准的相符性一览表</w:t>
      </w:r>
    </w:p>
    <w:tbl>
      <w:tblPr>
        <w:tblStyle w:val="3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3615"/>
        <w:gridCol w:w="3347"/>
        <w:gridCol w:w="1042"/>
      </w:tblGrid>
      <w:tr w14:paraId="18DC6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4C0DCEBD">
            <w:pPr>
              <w:pStyle w:val="56"/>
              <w:widowControl w:val="0"/>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rPr>
              <w:t>序号</w:t>
            </w:r>
          </w:p>
        </w:tc>
        <w:tc>
          <w:tcPr>
            <w:tcW w:w="2120" w:type="pct"/>
            <w:tcBorders>
              <w:tl2br w:val="nil"/>
              <w:tr2bl w:val="nil"/>
            </w:tcBorders>
            <w:vAlign w:val="center"/>
          </w:tcPr>
          <w:p w14:paraId="5F741974">
            <w:pPr>
              <w:pStyle w:val="45"/>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lang w:val="zh-CN"/>
              </w:rPr>
              <w:t>相关要求</w:t>
            </w:r>
          </w:p>
        </w:tc>
        <w:tc>
          <w:tcPr>
            <w:tcW w:w="1963" w:type="pct"/>
            <w:tcBorders>
              <w:tl2br w:val="nil"/>
              <w:tr2bl w:val="nil"/>
            </w:tcBorders>
            <w:vAlign w:val="center"/>
          </w:tcPr>
          <w:p w14:paraId="78447099">
            <w:pPr>
              <w:pStyle w:val="45"/>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lang w:val="zh-CN"/>
              </w:rPr>
              <w:t>本项目情况</w:t>
            </w:r>
          </w:p>
        </w:tc>
        <w:tc>
          <w:tcPr>
            <w:tcW w:w="611" w:type="pct"/>
            <w:tcBorders>
              <w:tl2br w:val="nil"/>
              <w:tr2bl w:val="nil"/>
            </w:tcBorders>
            <w:vAlign w:val="center"/>
          </w:tcPr>
          <w:p w14:paraId="77D6141D">
            <w:pPr>
              <w:pStyle w:val="45"/>
              <w:rPr>
                <w:rFonts w:hint="default" w:ascii="Times New Roman" w:hAnsi="Times New Roman" w:cs="Times New Roman"/>
                <w:b/>
                <w:bCs/>
                <w:color w:val="auto"/>
                <w:sz w:val="21"/>
                <w:szCs w:val="21"/>
                <w:u w:val="none"/>
                <w:lang w:val="zh-CN"/>
              </w:rPr>
            </w:pPr>
            <w:r>
              <w:rPr>
                <w:rFonts w:hint="default" w:ascii="Times New Roman" w:hAnsi="Times New Roman" w:cs="Times New Roman"/>
                <w:b/>
                <w:bCs/>
                <w:color w:val="auto"/>
                <w:sz w:val="21"/>
                <w:szCs w:val="21"/>
                <w:u w:val="none"/>
                <w:lang w:val="zh-CN"/>
              </w:rPr>
              <w:t>相符性</w:t>
            </w:r>
          </w:p>
        </w:tc>
      </w:tr>
      <w:tr w14:paraId="47A92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53C7C161">
            <w:pPr>
              <w:pStyle w:val="41"/>
              <w:widowControl w:val="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1</w:t>
            </w:r>
          </w:p>
        </w:tc>
        <w:tc>
          <w:tcPr>
            <w:tcW w:w="2120" w:type="pct"/>
            <w:tcBorders>
              <w:tl2br w:val="nil"/>
              <w:tr2bl w:val="nil"/>
            </w:tcBorders>
            <w:vAlign w:val="center"/>
          </w:tcPr>
          <w:p w14:paraId="2BED9582">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地质结构稳定，地震烈度不超过7度的区域内</w:t>
            </w:r>
          </w:p>
        </w:tc>
        <w:tc>
          <w:tcPr>
            <w:tcW w:w="1963" w:type="pct"/>
            <w:tcBorders>
              <w:tl2br w:val="nil"/>
              <w:tr2bl w:val="nil"/>
            </w:tcBorders>
            <w:vAlign w:val="center"/>
          </w:tcPr>
          <w:p w14:paraId="364DDDBD">
            <w:pPr>
              <w:pStyle w:val="4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本项目所在区域地质结构稳定，地震烈度为6度</w:t>
            </w:r>
          </w:p>
        </w:tc>
        <w:tc>
          <w:tcPr>
            <w:tcW w:w="611" w:type="pct"/>
            <w:tcBorders>
              <w:tl2br w:val="nil"/>
              <w:tr2bl w:val="nil"/>
            </w:tcBorders>
            <w:vAlign w:val="center"/>
          </w:tcPr>
          <w:p w14:paraId="65DBBE44">
            <w:pPr>
              <w:pStyle w:val="4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符合</w:t>
            </w:r>
          </w:p>
        </w:tc>
      </w:tr>
      <w:tr w14:paraId="74655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525D7A45">
            <w:pPr>
              <w:pStyle w:val="41"/>
              <w:widowControl w:val="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2</w:t>
            </w:r>
          </w:p>
        </w:tc>
        <w:tc>
          <w:tcPr>
            <w:tcW w:w="2120" w:type="pct"/>
            <w:tcBorders>
              <w:tl2br w:val="nil"/>
              <w:tr2bl w:val="nil"/>
            </w:tcBorders>
            <w:vAlign w:val="center"/>
          </w:tcPr>
          <w:p w14:paraId="29D2D89F">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设施底部必须高于地下水最高水位</w:t>
            </w:r>
          </w:p>
        </w:tc>
        <w:tc>
          <w:tcPr>
            <w:tcW w:w="1963" w:type="pct"/>
            <w:tcBorders>
              <w:tl2br w:val="nil"/>
              <w:tr2bl w:val="nil"/>
            </w:tcBorders>
            <w:vAlign w:val="center"/>
          </w:tcPr>
          <w:p w14:paraId="312B776B">
            <w:pPr>
              <w:pStyle w:val="45"/>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本项目危险废物暂存间位于地面，高于地下水最高水位</w:t>
            </w:r>
          </w:p>
        </w:tc>
        <w:tc>
          <w:tcPr>
            <w:tcW w:w="611" w:type="pct"/>
            <w:tcBorders>
              <w:tl2br w:val="nil"/>
              <w:tr2bl w:val="nil"/>
            </w:tcBorders>
            <w:vAlign w:val="center"/>
          </w:tcPr>
          <w:p w14:paraId="7705C2FD">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符合</w:t>
            </w:r>
          </w:p>
        </w:tc>
      </w:tr>
      <w:tr w14:paraId="63E38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05FB1AD2">
            <w:pPr>
              <w:pStyle w:val="41"/>
              <w:widowControl w:val="0"/>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3</w:t>
            </w:r>
          </w:p>
        </w:tc>
        <w:tc>
          <w:tcPr>
            <w:tcW w:w="2120" w:type="pct"/>
            <w:tcBorders>
              <w:tl2br w:val="nil"/>
              <w:tr2bl w:val="nil"/>
            </w:tcBorders>
            <w:vAlign w:val="center"/>
          </w:tcPr>
          <w:p w14:paraId="1092A726">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应避免建在溶洞区或易遭受严重自然灾害如洪水、滑坡、泥石流、潮汐等影响的地区</w:t>
            </w:r>
          </w:p>
        </w:tc>
        <w:tc>
          <w:tcPr>
            <w:tcW w:w="1963" w:type="pct"/>
            <w:tcBorders>
              <w:tl2br w:val="nil"/>
              <w:tr2bl w:val="nil"/>
            </w:tcBorders>
            <w:vAlign w:val="center"/>
          </w:tcPr>
          <w:p w14:paraId="0D0E58BF">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所在区域地势</w:t>
            </w:r>
            <w:r>
              <w:rPr>
                <w:rFonts w:hint="default" w:ascii="Times New Roman" w:hAnsi="Times New Roman" w:cs="Times New Roman"/>
                <w:color w:val="auto"/>
                <w:sz w:val="21"/>
                <w:szCs w:val="21"/>
                <w:u w:val="none"/>
              </w:rPr>
              <w:t>较</w:t>
            </w:r>
            <w:r>
              <w:rPr>
                <w:rFonts w:hint="default" w:ascii="Times New Roman" w:hAnsi="Times New Roman" w:cs="Times New Roman"/>
                <w:color w:val="auto"/>
                <w:sz w:val="21"/>
                <w:szCs w:val="21"/>
                <w:u w:val="none"/>
                <w:lang w:val="zh-CN"/>
              </w:rPr>
              <w:t>平坦，周边</w:t>
            </w:r>
            <w:r>
              <w:rPr>
                <w:rFonts w:hint="default" w:ascii="Times New Roman" w:hAnsi="Times New Roman" w:cs="Times New Roman"/>
                <w:color w:val="auto"/>
                <w:sz w:val="21"/>
                <w:szCs w:val="21"/>
                <w:u w:val="none"/>
              </w:rPr>
              <w:t>山体绿化程度高</w:t>
            </w:r>
            <w:r>
              <w:rPr>
                <w:rFonts w:hint="default" w:ascii="Times New Roman" w:hAnsi="Times New Roman" w:cs="Times New Roman"/>
                <w:color w:val="auto"/>
                <w:sz w:val="21"/>
                <w:szCs w:val="21"/>
                <w:u w:val="none"/>
                <w:lang w:val="zh-CN"/>
              </w:rPr>
              <w:t>，不会受山体滑坡、泥石流、洪水等自然灾害影响</w:t>
            </w:r>
          </w:p>
        </w:tc>
        <w:tc>
          <w:tcPr>
            <w:tcW w:w="611" w:type="pct"/>
            <w:tcBorders>
              <w:tl2br w:val="nil"/>
              <w:tr2bl w:val="nil"/>
            </w:tcBorders>
            <w:vAlign w:val="center"/>
          </w:tcPr>
          <w:p w14:paraId="09096246">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符合</w:t>
            </w:r>
          </w:p>
        </w:tc>
      </w:tr>
      <w:tr w14:paraId="35D8E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20C5B870">
            <w:pPr>
              <w:pStyle w:val="41"/>
              <w:widowControl w:val="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4</w:t>
            </w:r>
          </w:p>
        </w:tc>
        <w:tc>
          <w:tcPr>
            <w:tcW w:w="2120" w:type="pct"/>
            <w:tcBorders>
              <w:tl2br w:val="nil"/>
              <w:tr2bl w:val="nil"/>
            </w:tcBorders>
            <w:vAlign w:val="center"/>
          </w:tcPr>
          <w:p w14:paraId="385C1905">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应在易燃、易爆等危险品仓库、高压输电线路防护区域以外</w:t>
            </w:r>
          </w:p>
        </w:tc>
        <w:tc>
          <w:tcPr>
            <w:tcW w:w="1963" w:type="pct"/>
            <w:tcBorders>
              <w:tl2br w:val="nil"/>
              <w:tr2bl w:val="nil"/>
            </w:tcBorders>
            <w:vAlign w:val="center"/>
          </w:tcPr>
          <w:p w14:paraId="303BEA6D">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危险废物暂存区设置车间内部，防火间距满足要求</w:t>
            </w:r>
          </w:p>
        </w:tc>
        <w:tc>
          <w:tcPr>
            <w:tcW w:w="611" w:type="pct"/>
            <w:tcBorders>
              <w:tl2br w:val="nil"/>
              <w:tr2bl w:val="nil"/>
            </w:tcBorders>
            <w:vAlign w:val="center"/>
          </w:tcPr>
          <w:p w14:paraId="78CC8BF1">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符合</w:t>
            </w:r>
          </w:p>
        </w:tc>
      </w:tr>
      <w:tr w14:paraId="48A5A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2309785B">
            <w:pPr>
              <w:pStyle w:val="41"/>
              <w:widowControl w:val="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5</w:t>
            </w:r>
          </w:p>
        </w:tc>
        <w:tc>
          <w:tcPr>
            <w:tcW w:w="2120" w:type="pct"/>
            <w:tcBorders>
              <w:tl2br w:val="nil"/>
              <w:tr2bl w:val="nil"/>
            </w:tcBorders>
            <w:vAlign w:val="center"/>
          </w:tcPr>
          <w:p w14:paraId="44B2E24E">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应位于居民中心区场地最大风频的下风向</w:t>
            </w:r>
          </w:p>
        </w:tc>
        <w:tc>
          <w:tcPr>
            <w:tcW w:w="1963" w:type="pct"/>
            <w:tcBorders>
              <w:tl2br w:val="nil"/>
              <w:tr2bl w:val="nil"/>
            </w:tcBorders>
            <w:vAlign w:val="center"/>
          </w:tcPr>
          <w:p w14:paraId="20BDBB76">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项目周边没有居民中心区</w:t>
            </w:r>
          </w:p>
        </w:tc>
        <w:tc>
          <w:tcPr>
            <w:tcW w:w="611" w:type="pct"/>
            <w:tcBorders>
              <w:tl2br w:val="nil"/>
              <w:tr2bl w:val="nil"/>
            </w:tcBorders>
            <w:vAlign w:val="center"/>
          </w:tcPr>
          <w:p w14:paraId="583484EE">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符合</w:t>
            </w:r>
          </w:p>
        </w:tc>
      </w:tr>
      <w:tr w14:paraId="2EBED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04" w:type="pct"/>
            <w:tcBorders>
              <w:tl2br w:val="nil"/>
              <w:tr2bl w:val="nil"/>
            </w:tcBorders>
            <w:vAlign w:val="center"/>
          </w:tcPr>
          <w:p w14:paraId="19E64404">
            <w:pPr>
              <w:pStyle w:val="41"/>
              <w:widowControl w:val="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6</w:t>
            </w:r>
          </w:p>
        </w:tc>
        <w:tc>
          <w:tcPr>
            <w:tcW w:w="2120" w:type="pct"/>
            <w:tcBorders>
              <w:tl2br w:val="nil"/>
              <w:tr2bl w:val="nil"/>
            </w:tcBorders>
            <w:vAlign w:val="center"/>
          </w:tcPr>
          <w:p w14:paraId="44B79708">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lang w:val="zh-CN"/>
              </w:rPr>
              <w:t>基础必须防渗，防渗层为至少1m厚粘土层（渗透系数≤10</w:t>
            </w:r>
            <w:r>
              <w:rPr>
                <w:rFonts w:hint="default" w:ascii="Times New Roman" w:hAnsi="Times New Roman" w:cs="Times New Roman"/>
                <w:color w:val="auto"/>
                <w:sz w:val="21"/>
                <w:szCs w:val="21"/>
                <w:u w:val="none"/>
                <w:vertAlign w:val="superscript"/>
                <w:lang w:val="zh-CN"/>
              </w:rPr>
              <w:t>-7</w:t>
            </w:r>
            <w:r>
              <w:rPr>
                <w:rFonts w:hint="default" w:ascii="Times New Roman" w:hAnsi="Times New Roman" w:cs="Times New Roman"/>
                <w:color w:val="auto"/>
                <w:sz w:val="21"/>
                <w:szCs w:val="21"/>
                <w:u w:val="none"/>
                <w:lang w:val="zh-CN"/>
              </w:rPr>
              <w:t>cm/s），或2mm厚高密度聚乙烯，或至少2mm厚的其他人工材料，渗透系数≤10</w:t>
            </w:r>
            <w:r>
              <w:rPr>
                <w:rFonts w:hint="default" w:ascii="Times New Roman" w:hAnsi="Times New Roman" w:cs="Times New Roman"/>
                <w:color w:val="auto"/>
                <w:sz w:val="21"/>
                <w:szCs w:val="21"/>
                <w:u w:val="none"/>
                <w:vertAlign w:val="superscript"/>
                <w:lang w:val="zh-CN"/>
              </w:rPr>
              <w:t>-7</w:t>
            </w:r>
            <w:r>
              <w:rPr>
                <w:rFonts w:hint="default" w:ascii="Times New Roman" w:hAnsi="Times New Roman" w:cs="Times New Roman"/>
                <w:color w:val="auto"/>
                <w:sz w:val="21"/>
                <w:szCs w:val="21"/>
                <w:u w:val="none"/>
                <w:lang w:val="zh-CN"/>
              </w:rPr>
              <w:t>cm/s</w:t>
            </w:r>
          </w:p>
        </w:tc>
        <w:tc>
          <w:tcPr>
            <w:tcW w:w="1963" w:type="pct"/>
            <w:tcBorders>
              <w:tl2br w:val="nil"/>
              <w:tr2bl w:val="nil"/>
            </w:tcBorders>
            <w:vAlign w:val="center"/>
          </w:tcPr>
          <w:p w14:paraId="357718A9">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项目用地性质为建设用地，拟按照防渗要求建设，确保渗透系数</w:t>
            </w:r>
            <w:r>
              <w:rPr>
                <w:rFonts w:hint="default" w:ascii="Times New Roman" w:hAnsi="Times New Roman" w:cs="Times New Roman"/>
                <w:color w:val="auto"/>
                <w:sz w:val="21"/>
                <w:szCs w:val="21"/>
                <w:u w:val="none"/>
                <w:lang w:val="zh-CN"/>
              </w:rPr>
              <w:t>10</w:t>
            </w:r>
            <w:r>
              <w:rPr>
                <w:rFonts w:hint="default" w:ascii="Times New Roman" w:hAnsi="Times New Roman" w:cs="Times New Roman"/>
                <w:color w:val="auto"/>
                <w:sz w:val="21"/>
                <w:szCs w:val="21"/>
                <w:u w:val="none"/>
                <w:vertAlign w:val="superscript"/>
                <w:lang w:val="zh-CN"/>
              </w:rPr>
              <w:t>-7</w:t>
            </w:r>
            <w:r>
              <w:rPr>
                <w:rFonts w:hint="default" w:ascii="Times New Roman" w:hAnsi="Times New Roman" w:cs="Times New Roman"/>
                <w:color w:val="auto"/>
                <w:sz w:val="21"/>
                <w:szCs w:val="21"/>
                <w:u w:val="none"/>
                <w:lang w:val="zh-CN"/>
              </w:rPr>
              <w:t>cm/s</w:t>
            </w:r>
          </w:p>
        </w:tc>
        <w:tc>
          <w:tcPr>
            <w:tcW w:w="611" w:type="pct"/>
            <w:tcBorders>
              <w:tl2br w:val="nil"/>
              <w:tr2bl w:val="nil"/>
            </w:tcBorders>
            <w:vAlign w:val="center"/>
          </w:tcPr>
          <w:p w14:paraId="0BE69705">
            <w:pPr>
              <w:pStyle w:val="45"/>
              <w:rPr>
                <w:rFonts w:hint="default" w:ascii="Times New Roman" w:hAnsi="Times New Roman" w:cs="Times New Roman"/>
                <w:color w:val="auto"/>
                <w:sz w:val="21"/>
                <w:szCs w:val="21"/>
                <w:u w:val="none"/>
                <w:lang w:val="zh-CN"/>
              </w:rPr>
            </w:pPr>
            <w:r>
              <w:rPr>
                <w:rFonts w:hint="default" w:ascii="Times New Roman" w:hAnsi="Times New Roman" w:cs="Times New Roman"/>
                <w:color w:val="auto"/>
                <w:sz w:val="21"/>
                <w:szCs w:val="21"/>
                <w:u w:val="none"/>
              </w:rPr>
              <w:t>符合</w:t>
            </w:r>
          </w:p>
        </w:tc>
      </w:tr>
    </w:tbl>
    <w:p w14:paraId="5D9D7951">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 xml:space="preserve">②贮存场所（设施）的贮存能力分析 </w:t>
      </w:r>
    </w:p>
    <w:p w14:paraId="00859AA8">
      <w:pPr>
        <w:ind w:firstLine="480"/>
        <w:rPr>
          <w:rFonts w:hint="default" w:ascii="Times New Roman" w:hAnsi="Times New Roman" w:cs="Times New Roman"/>
          <w:color w:val="auto"/>
          <w:kern w:val="0"/>
          <w:u w:val="none"/>
          <w:lang w:bidi="ar"/>
        </w:rPr>
      </w:pPr>
      <w:r>
        <w:rPr>
          <w:rFonts w:hint="default" w:ascii="Times New Roman" w:hAnsi="Times New Roman" w:cs="Times New Roman"/>
          <w:color w:val="auto"/>
          <w:kern w:val="0"/>
          <w:u w:val="none"/>
          <w:lang w:bidi="ar"/>
        </w:rPr>
        <w:t>本项目危废间分为污泥暂存区</w:t>
      </w:r>
      <w:r>
        <w:rPr>
          <w:rFonts w:hint="default" w:ascii="Times New Roman" w:hAnsi="Times New Roman" w:cs="Times New Roman"/>
          <w:color w:val="auto"/>
          <w:kern w:val="0"/>
          <w:u w:val="none"/>
          <w:lang w:val="zh-CN" w:bidi="ar"/>
        </w:rPr>
        <w:t>、</w:t>
      </w:r>
      <w:r>
        <w:rPr>
          <w:rFonts w:hint="default" w:ascii="Times New Roman" w:hAnsi="Times New Roman" w:cs="Times New Roman"/>
          <w:color w:val="auto"/>
          <w:kern w:val="0"/>
          <w:u w:val="none"/>
          <w:lang w:bidi="ar"/>
        </w:rPr>
        <w:t>结晶盐暂存区、废包装暂存区、废活性炭滤芯暂存区、废槽液暂存区，危险废物贮存情况见下表。</w:t>
      </w:r>
    </w:p>
    <w:p w14:paraId="24DB810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表6.2-34</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危废暂存间情况一览表</w:t>
      </w:r>
    </w:p>
    <w:tbl>
      <w:tblPr>
        <w:tblStyle w:val="30"/>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57" w:type="dxa"/>
          <w:left w:w="28" w:type="dxa"/>
          <w:bottom w:w="57" w:type="dxa"/>
          <w:right w:w="28" w:type="dxa"/>
        </w:tblCellMar>
      </w:tblPr>
      <w:tblGrid>
        <w:gridCol w:w="267"/>
        <w:gridCol w:w="787"/>
        <w:gridCol w:w="787"/>
        <w:gridCol w:w="729"/>
        <w:gridCol w:w="1150"/>
        <w:gridCol w:w="520"/>
        <w:gridCol w:w="520"/>
        <w:gridCol w:w="520"/>
        <w:gridCol w:w="520"/>
        <w:gridCol w:w="882"/>
        <w:gridCol w:w="398"/>
        <w:gridCol w:w="478"/>
        <w:gridCol w:w="529"/>
        <w:gridCol w:w="267"/>
      </w:tblGrid>
      <w:tr w14:paraId="535FE4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2228DF71">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471" w:type="pct"/>
            <w:vAlign w:val="center"/>
          </w:tcPr>
          <w:p w14:paraId="112F7EB6">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贮存场所</w:t>
            </w:r>
          </w:p>
        </w:tc>
        <w:tc>
          <w:tcPr>
            <w:tcW w:w="471" w:type="pct"/>
            <w:vAlign w:val="center"/>
          </w:tcPr>
          <w:p w14:paraId="24E4336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固体废物名称</w:t>
            </w:r>
          </w:p>
        </w:tc>
        <w:tc>
          <w:tcPr>
            <w:tcW w:w="436" w:type="pct"/>
            <w:vAlign w:val="center"/>
          </w:tcPr>
          <w:p w14:paraId="0CE6042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废物类别</w:t>
            </w:r>
          </w:p>
        </w:tc>
        <w:tc>
          <w:tcPr>
            <w:tcW w:w="688" w:type="pct"/>
            <w:vAlign w:val="center"/>
          </w:tcPr>
          <w:p w14:paraId="0FE029F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危险废物代码</w:t>
            </w:r>
          </w:p>
        </w:tc>
        <w:tc>
          <w:tcPr>
            <w:tcW w:w="311" w:type="pct"/>
            <w:vAlign w:val="center"/>
          </w:tcPr>
          <w:p w14:paraId="563FCEE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贮存周期</w:t>
            </w:r>
          </w:p>
        </w:tc>
        <w:tc>
          <w:tcPr>
            <w:tcW w:w="311" w:type="pct"/>
            <w:vAlign w:val="center"/>
          </w:tcPr>
          <w:p w14:paraId="6C9F234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面积(m</w:t>
            </w:r>
            <w:r>
              <w:rPr>
                <w:rFonts w:hint="default" w:ascii="Times New Roman" w:hAnsi="Times New Roman" w:cs="Times New Roman"/>
                <w:b/>
                <w:bCs/>
                <w:color w:val="auto"/>
                <w:u w:val="none"/>
                <w:vertAlign w:val="superscript"/>
              </w:rPr>
              <w:t>2</w:t>
            </w:r>
            <w:r>
              <w:rPr>
                <w:rFonts w:hint="default" w:ascii="Times New Roman" w:hAnsi="Times New Roman" w:cs="Times New Roman"/>
                <w:b/>
                <w:bCs/>
                <w:color w:val="auto"/>
                <w:u w:val="none"/>
              </w:rPr>
              <w:t>)</w:t>
            </w:r>
          </w:p>
        </w:tc>
        <w:tc>
          <w:tcPr>
            <w:tcW w:w="311" w:type="pct"/>
            <w:vAlign w:val="center"/>
          </w:tcPr>
          <w:p w14:paraId="758826C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贮存方式</w:t>
            </w:r>
          </w:p>
        </w:tc>
        <w:tc>
          <w:tcPr>
            <w:tcW w:w="311" w:type="pct"/>
            <w:vAlign w:val="center"/>
          </w:tcPr>
          <w:p w14:paraId="026378D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形态</w:t>
            </w:r>
          </w:p>
        </w:tc>
        <w:tc>
          <w:tcPr>
            <w:tcW w:w="527" w:type="pct"/>
            <w:vAlign w:val="center"/>
          </w:tcPr>
          <w:p w14:paraId="17DBCB5B">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产生量t/a</w:t>
            </w:r>
          </w:p>
        </w:tc>
        <w:tc>
          <w:tcPr>
            <w:tcW w:w="238" w:type="pct"/>
            <w:vAlign w:val="center"/>
          </w:tcPr>
          <w:p w14:paraId="04D81949">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位置</w:t>
            </w:r>
          </w:p>
        </w:tc>
        <w:tc>
          <w:tcPr>
            <w:tcW w:w="284" w:type="pct"/>
            <w:vAlign w:val="center"/>
          </w:tcPr>
          <w:p w14:paraId="52DBD3F7">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转运周次（次/年）</w:t>
            </w:r>
          </w:p>
        </w:tc>
        <w:tc>
          <w:tcPr>
            <w:tcW w:w="316" w:type="pct"/>
            <w:vAlign w:val="center"/>
          </w:tcPr>
          <w:p w14:paraId="2BA83AC5">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贮存能力/t</w:t>
            </w:r>
          </w:p>
        </w:tc>
        <w:tc>
          <w:tcPr>
            <w:tcW w:w="159" w:type="pct"/>
            <w:vAlign w:val="center"/>
          </w:tcPr>
          <w:p w14:paraId="20F8B002">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利用处置方式</w:t>
            </w:r>
          </w:p>
        </w:tc>
      </w:tr>
      <w:tr w14:paraId="54D77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0C541A66">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w:t>
            </w:r>
          </w:p>
        </w:tc>
        <w:tc>
          <w:tcPr>
            <w:tcW w:w="471" w:type="pct"/>
            <w:vAlign w:val="center"/>
          </w:tcPr>
          <w:p w14:paraId="79F904E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29152B75">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危险化学品废包装</w:t>
            </w:r>
          </w:p>
        </w:tc>
        <w:tc>
          <w:tcPr>
            <w:tcW w:w="436" w:type="pct"/>
            <w:vAlign w:val="center"/>
          </w:tcPr>
          <w:p w14:paraId="268640B9">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HW49</w:t>
            </w:r>
          </w:p>
        </w:tc>
        <w:tc>
          <w:tcPr>
            <w:tcW w:w="688" w:type="pct"/>
            <w:vAlign w:val="center"/>
          </w:tcPr>
          <w:p w14:paraId="17A3D1A4">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900-401-49</w:t>
            </w:r>
          </w:p>
        </w:tc>
        <w:tc>
          <w:tcPr>
            <w:tcW w:w="311" w:type="pct"/>
            <w:vAlign w:val="center"/>
          </w:tcPr>
          <w:p w14:paraId="394A4EB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1个月</w:t>
            </w:r>
          </w:p>
        </w:tc>
        <w:tc>
          <w:tcPr>
            <w:tcW w:w="311" w:type="pct"/>
            <w:vAlign w:val="center"/>
          </w:tcPr>
          <w:p w14:paraId="7EC692F9">
            <w:pPr>
              <w:pStyle w:val="41"/>
              <w:rPr>
                <w:rFonts w:hint="default" w:ascii="Times New Roman" w:hAnsi="Times New Roman" w:cs="Times New Roman"/>
                <w:b w:val="0"/>
                <w:bCs w:val="0"/>
                <w:color w:val="auto"/>
                <w:u w:val="none"/>
                <w:lang w:val="en-US"/>
              </w:rPr>
            </w:pPr>
            <w:r>
              <w:rPr>
                <w:rFonts w:hint="eastAsia" w:cs="Times New Roman"/>
                <w:b w:val="0"/>
                <w:bCs w:val="0"/>
                <w:color w:val="auto"/>
                <w:u w:val="none"/>
                <w:lang w:val="en-US" w:eastAsia="zh-CN"/>
              </w:rPr>
              <w:t>10</w:t>
            </w:r>
          </w:p>
        </w:tc>
        <w:tc>
          <w:tcPr>
            <w:tcW w:w="311" w:type="pct"/>
            <w:vAlign w:val="center"/>
          </w:tcPr>
          <w:p w14:paraId="7B49C56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袋装</w:t>
            </w:r>
          </w:p>
        </w:tc>
        <w:tc>
          <w:tcPr>
            <w:tcW w:w="311" w:type="pct"/>
            <w:vAlign w:val="center"/>
          </w:tcPr>
          <w:p w14:paraId="5CF2D8E9">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固态</w:t>
            </w:r>
          </w:p>
        </w:tc>
        <w:tc>
          <w:tcPr>
            <w:tcW w:w="882" w:type="dxa"/>
            <w:vAlign w:val="center"/>
          </w:tcPr>
          <w:p w14:paraId="4004E99B">
            <w:pPr>
              <w:pStyle w:val="41"/>
              <w:rPr>
                <w:rFonts w:hint="default" w:ascii="Times New Roman" w:hAnsi="Times New Roman" w:cs="Times New Roman"/>
                <w:b w:val="0"/>
                <w:bCs w:val="0"/>
                <w:color w:val="auto"/>
                <w:u w:val="none"/>
              </w:rPr>
            </w:pPr>
            <w:r>
              <w:rPr>
                <w:rFonts w:hint="eastAsia" w:cs="Times New Roman"/>
                <w:color w:val="auto"/>
                <w:u w:val="none"/>
                <w:lang w:val="en-US" w:eastAsia="zh-CN"/>
              </w:rPr>
              <w:t>3</w:t>
            </w:r>
          </w:p>
        </w:tc>
        <w:tc>
          <w:tcPr>
            <w:tcW w:w="238" w:type="pct"/>
            <w:vMerge w:val="restart"/>
            <w:vAlign w:val="center"/>
          </w:tcPr>
          <w:p w14:paraId="0D3A66C1">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生产区内危废间</w:t>
            </w:r>
          </w:p>
          <w:p w14:paraId="69B94218">
            <w:pPr>
              <w:pStyle w:val="56"/>
              <w:rPr>
                <w:rFonts w:hint="default" w:ascii="Times New Roman" w:hAnsi="Times New Roman" w:cs="Times New Roman"/>
                <w:b w:val="0"/>
                <w:bCs w:val="0"/>
                <w:color w:val="auto"/>
                <w:u w:val="none"/>
              </w:rPr>
            </w:pPr>
          </w:p>
          <w:p w14:paraId="08E45AB1">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生产区内危废间</w:t>
            </w:r>
          </w:p>
        </w:tc>
        <w:tc>
          <w:tcPr>
            <w:tcW w:w="284" w:type="pct"/>
            <w:vAlign w:val="center"/>
          </w:tcPr>
          <w:p w14:paraId="59A589AF">
            <w:pPr>
              <w:pStyle w:val="41"/>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12</w:t>
            </w:r>
          </w:p>
        </w:tc>
        <w:tc>
          <w:tcPr>
            <w:tcW w:w="316" w:type="pct"/>
            <w:vAlign w:val="center"/>
          </w:tcPr>
          <w:p w14:paraId="76417633">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0.5</w:t>
            </w:r>
          </w:p>
        </w:tc>
        <w:tc>
          <w:tcPr>
            <w:tcW w:w="159" w:type="pct"/>
            <w:vMerge w:val="restart"/>
            <w:vAlign w:val="center"/>
          </w:tcPr>
          <w:p w14:paraId="751C4F79">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委托有相关资质单位进行处理</w:t>
            </w:r>
          </w:p>
        </w:tc>
      </w:tr>
      <w:tr w14:paraId="1D7EF2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5C528FEA">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2</w:t>
            </w:r>
          </w:p>
        </w:tc>
        <w:tc>
          <w:tcPr>
            <w:tcW w:w="471" w:type="pct"/>
            <w:vAlign w:val="center"/>
          </w:tcPr>
          <w:p w14:paraId="2711DD62">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4B67162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废槽渣</w:t>
            </w:r>
          </w:p>
        </w:tc>
        <w:tc>
          <w:tcPr>
            <w:tcW w:w="436" w:type="pct"/>
            <w:vAlign w:val="center"/>
          </w:tcPr>
          <w:p w14:paraId="19D20447">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HW17</w:t>
            </w:r>
          </w:p>
        </w:tc>
        <w:tc>
          <w:tcPr>
            <w:tcW w:w="688" w:type="pct"/>
            <w:vAlign w:val="center"/>
          </w:tcPr>
          <w:p w14:paraId="7FC0F028">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336-064-17</w:t>
            </w:r>
          </w:p>
        </w:tc>
        <w:tc>
          <w:tcPr>
            <w:tcW w:w="311" w:type="pct"/>
            <w:vAlign w:val="center"/>
          </w:tcPr>
          <w:p w14:paraId="27EDF021">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1个月</w:t>
            </w:r>
          </w:p>
        </w:tc>
        <w:tc>
          <w:tcPr>
            <w:tcW w:w="311" w:type="pct"/>
            <w:vAlign w:val="center"/>
          </w:tcPr>
          <w:p w14:paraId="6787833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10</w:t>
            </w:r>
          </w:p>
        </w:tc>
        <w:tc>
          <w:tcPr>
            <w:tcW w:w="311" w:type="pct"/>
            <w:vAlign w:val="center"/>
          </w:tcPr>
          <w:p w14:paraId="3532578B">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桶装</w:t>
            </w:r>
          </w:p>
        </w:tc>
        <w:tc>
          <w:tcPr>
            <w:tcW w:w="311" w:type="pct"/>
            <w:vAlign w:val="center"/>
          </w:tcPr>
          <w:p w14:paraId="22A805D8">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固态</w:t>
            </w:r>
          </w:p>
        </w:tc>
        <w:tc>
          <w:tcPr>
            <w:tcW w:w="882" w:type="dxa"/>
            <w:vAlign w:val="center"/>
          </w:tcPr>
          <w:p w14:paraId="00D2CBC7">
            <w:pPr>
              <w:pStyle w:val="41"/>
              <w:rPr>
                <w:rFonts w:hint="default" w:ascii="Times New Roman" w:hAnsi="Times New Roman" w:cs="Times New Roman"/>
                <w:b w:val="0"/>
                <w:bCs w:val="0"/>
                <w:color w:val="auto"/>
                <w:u w:val="none"/>
              </w:rPr>
            </w:pPr>
            <w:r>
              <w:rPr>
                <w:rFonts w:hint="eastAsia" w:cs="Times New Roman"/>
                <w:color w:val="auto"/>
                <w:u w:val="none"/>
                <w:lang w:val="en-US" w:eastAsia="zh-CN"/>
              </w:rPr>
              <w:t>0.8</w:t>
            </w:r>
          </w:p>
        </w:tc>
        <w:tc>
          <w:tcPr>
            <w:tcW w:w="238" w:type="pct"/>
            <w:vMerge w:val="continue"/>
            <w:vAlign w:val="center"/>
          </w:tcPr>
          <w:p w14:paraId="680ADD9B">
            <w:pPr>
              <w:pStyle w:val="56"/>
              <w:rPr>
                <w:rFonts w:hint="default" w:ascii="Times New Roman" w:hAnsi="Times New Roman" w:cs="Times New Roman"/>
                <w:b w:val="0"/>
                <w:bCs w:val="0"/>
                <w:color w:val="auto"/>
                <w:u w:val="none"/>
              </w:rPr>
            </w:pPr>
          </w:p>
        </w:tc>
        <w:tc>
          <w:tcPr>
            <w:tcW w:w="284" w:type="pct"/>
            <w:vAlign w:val="center"/>
          </w:tcPr>
          <w:p w14:paraId="4FBFAEBB">
            <w:pPr>
              <w:pStyle w:val="41"/>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12</w:t>
            </w:r>
          </w:p>
        </w:tc>
        <w:tc>
          <w:tcPr>
            <w:tcW w:w="316" w:type="pct"/>
            <w:vAlign w:val="center"/>
          </w:tcPr>
          <w:p w14:paraId="102BDC62">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0.1</w:t>
            </w:r>
          </w:p>
        </w:tc>
        <w:tc>
          <w:tcPr>
            <w:tcW w:w="159" w:type="pct"/>
            <w:vMerge w:val="continue"/>
            <w:vAlign w:val="center"/>
          </w:tcPr>
          <w:p w14:paraId="44D0C365">
            <w:pPr>
              <w:pStyle w:val="41"/>
              <w:rPr>
                <w:rFonts w:hint="default" w:ascii="Times New Roman" w:hAnsi="Times New Roman" w:cs="Times New Roman"/>
                <w:b w:val="0"/>
                <w:bCs w:val="0"/>
                <w:color w:val="auto"/>
                <w:u w:val="none"/>
              </w:rPr>
            </w:pPr>
          </w:p>
        </w:tc>
      </w:tr>
      <w:tr w14:paraId="16BE8D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06AFE1A0">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3</w:t>
            </w:r>
          </w:p>
        </w:tc>
        <w:tc>
          <w:tcPr>
            <w:tcW w:w="471" w:type="pct"/>
            <w:vAlign w:val="center"/>
          </w:tcPr>
          <w:p w14:paraId="505A91FB">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6D9289E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含磷废水处理系统浓缩液</w:t>
            </w:r>
          </w:p>
        </w:tc>
        <w:tc>
          <w:tcPr>
            <w:tcW w:w="436" w:type="pct"/>
            <w:vAlign w:val="center"/>
          </w:tcPr>
          <w:p w14:paraId="76648E4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HW17</w:t>
            </w:r>
          </w:p>
        </w:tc>
        <w:tc>
          <w:tcPr>
            <w:tcW w:w="688" w:type="pct"/>
            <w:vAlign w:val="center"/>
          </w:tcPr>
          <w:p w14:paraId="54D7DACF">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336-064-17</w:t>
            </w:r>
          </w:p>
        </w:tc>
        <w:tc>
          <w:tcPr>
            <w:tcW w:w="311" w:type="pct"/>
            <w:vAlign w:val="center"/>
          </w:tcPr>
          <w:p w14:paraId="5416D830">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15d</w:t>
            </w:r>
          </w:p>
        </w:tc>
        <w:tc>
          <w:tcPr>
            <w:tcW w:w="311" w:type="pct"/>
            <w:vAlign w:val="center"/>
          </w:tcPr>
          <w:p w14:paraId="156C17ED">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10</w:t>
            </w:r>
          </w:p>
        </w:tc>
        <w:tc>
          <w:tcPr>
            <w:tcW w:w="311" w:type="pct"/>
            <w:vAlign w:val="center"/>
          </w:tcPr>
          <w:p w14:paraId="21A6387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桶装</w:t>
            </w:r>
          </w:p>
        </w:tc>
        <w:tc>
          <w:tcPr>
            <w:tcW w:w="311" w:type="pct"/>
            <w:vAlign w:val="center"/>
          </w:tcPr>
          <w:p w14:paraId="1EB22546">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液态</w:t>
            </w:r>
          </w:p>
        </w:tc>
        <w:tc>
          <w:tcPr>
            <w:tcW w:w="882" w:type="dxa"/>
            <w:vAlign w:val="center"/>
          </w:tcPr>
          <w:p w14:paraId="4CEFC8C8">
            <w:pPr>
              <w:pStyle w:val="41"/>
              <w:rPr>
                <w:rFonts w:hint="default" w:ascii="Times New Roman" w:hAnsi="Times New Roman" w:cs="Times New Roman"/>
                <w:b w:val="0"/>
                <w:bCs w:val="0"/>
                <w:color w:val="auto"/>
                <w:u w:val="none"/>
              </w:rPr>
            </w:pPr>
            <w:r>
              <w:rPr>
                <w:rFonts w:hint="eastAsia" w:cs="Times New Roman"/>
                <w:color w:val="auto"/>
                <w:u w:val="none"/>
                <w:lang w:val="en-US" w:eastAsia="zh-CN"/>
              </w:rPr>
              <w:t>2.3</w:t>
            </w:r>
          </w:p>
        </w:tc>
        <w:tc>
          <w:tcPr>
            <w:tcW w:w="238" w:type="pct"/>
            <w:vMerge w:val="continue"/>
            <w:vAlign w:val="center"/>
          </w:tcPr>
          <w:p w14:paraId="6F4DC58D">
            <w:pPr>
              <w:pStyle w:val="56"/>
              <w:rPr>
                <w:rFonts w:hint="default" w:ascii="Times New Roman" w:hAnsi="Times New Roman" w:cs="Times New Roman"/>
                <w:b w:val="0"/>
                <w:bCs w:val="0"/>
                <w:color w:val="auto"/>
                <w:u w:val="none"/>
              </w:rPr>
            </w:pPr>
          </w:p>
        </w:tc>
        <w:tc>
          <w:tcPr>
            <w:tcW w:w="284" w:type="pct"/>
            <w:vAlign w:val="center"/>
          </w:tcPr>
          <w:p w14:paraId="64A568D5">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12</w:t>
            </w:r>
          </w:p>
        </w:tc>
        <w:tc>
          <w:tcPr>
            <w:tcW w:w="316" w:type="pct"/>
            <w:vAlign w:val="center"/>
          </w:tcPr>
          <w:p w14:paraId="75BBA8E3">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0.5</w:t>
            </w:r>
          </w:p>
        </w:tc>
        <w:tc>
          <w:tcPr>
            <w:tcW w:w="159" w:type="pct"/>
            <w:vMerge w:val="continue"/>
            <w:vAlign w:val="center"/>
          </w:tcPr>
          <w:p w14:paraId="7554788D">
            <w:pPr>
              <w:pStyle w:val="41"/>
              <w:rPr>
                <w:rFonts w:hint="default" w:ascii="Times New Roman" w:hAnsi="Times New Roman" w:cs="Times New Roman"/>
                <w:b w:val="0"/>
                <w:bCs w:val="0"/>
                <w:color w:val="auto"/>
                <w:u w:val="none"/>
              </w:rPr>
            </w:pPr>
          </w:p>
        </w:tc>
      </w:tr>
      <w:tr w14:paraId="4B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371877D9">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4</w:t>
            </w:r>
          </w:p>
        </w:tc>
        <w:tc>
          <w:tcPr>
            <w:tcW w:w="471" w:type="pct"/>
            <w:vAlign w:val="center"/>
          </w:tcPr>
          <w:p w14:paraId="1A5574D8">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56DFA57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含镍（铬）污泥</w:t>
            </w:r>
          </w:p>
        </w:tc>
        <w:tc>
          <w:tcPr>
            <w:tcW w:w="436" w:type="pct"/>
            <w:vAlign w:val="center"/>
          </w:tcPr>
          <w:p w14:paraId="64F12F8B">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HW17</w:t>
            </w:r>
          </w:p>
        </w:tc>
        <w:tc>
          <w:tcPr>
            <w:tcW w:w="688" w:type="pct"/>
            <w:vAlign w:val="center"/>
          </w:tcPr>
          <w:p w14:paraId="6991B0B0">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336-064-17</w:t>
            </w:r>
          </w:p>
        </w:tc>
        <w:tc>
          <w:tcPr>
            <w:tcW w:w="311" w:type="pct"/>
            <w:vAlign w:val="center"/>
          </w:tcPr>
          <w:p w14:paraId="401B3630">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15d</w:t>
            </w:r>
          </w:p>
        </w:tc>
        <w:tc>
          <w:tcPr>
            <w:tcW w:w="311" w:type="pct"/>
            <w:vAlign w:val="center"/>
          </w:tcPr>
          <w:p w14:paraId="45E9089B">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20</w:t>
            </w:r>
          </w:p>
        </w:tc>
        <w:tc>
          <w:tcPr>
            <w:tcW w:w="311" w:type="pct"/>
            <w:vAlign w:val="center"/>
          </w:tcPr>
          <w:p w14:paraId="4216CE98">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袋装</w:t>
            </w:r>
          </w:p>
        </w:tc>
        <w:tc>
          <w:tcPr>
            <w:tcW w:w="311" w:type="pct"/>
            <w:vAlign w:val="center"/>
          </w:tcPr>
          <w:p w14:paraId="2E3B4F3A">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固态</w:t>
            </w:r>
          </w:p>
        </w:tc>
        <w:tc>
          <w:tcPr>
            <w:tcW w:w="882" w:type="dxa"/>
            <w:vAlign w:val="center"/>
          </w:tcPr>
          <w:p w14:paraId="562C9A78">
            <w:pPr>
              <w:pStyle w:val="41"/>
              <w:rPr>
                <w:rFonts w:hint="default" w:ascii="Times New Roman" w:hAnsi="Times New Roman" w:cs="Times New Roman"/>
                <w:b w:val="0"/>
                <w:bCs w:val="0"/>
                <w:color w:val="auto"/>
                <w:u w:val="none"/>
              </w:rPr>
            </w:pPr>
            <w:r>
              <w:rPr>
                <w:rFonts w:hint="eastAsia" w:cs="Times New Roman"/>
                <w:color w:val="auto"/>
                <w:u w:val="none"/>
                <w:lang w:val="en-US" w:eastAsia="zh-CN"/>
              </w:rPr>
              <w:t>43.5</w:t>
            </w:r>
          </w:p>
        </w:tc>
        <w:tc>
          <w:tcPr>
            <w:tcW w:w="238" w:type="pct"/>
            <w:vMerge w:val="continue"/>
            <w:vAlign w:val="center"/>
          </w:tcPr>
          <w:p w14:paraId="6BC2A06E">
            <w:pPr>
              <w:pStyle w:val="56"/>
              <w:rPr>
                <w:rFonts w:hint="default" w:ascii="Times New Roman" w:hAnsi="Times New Roman" w:cs="Times New Roman"/>
                <w:b w:val="0"/>
                <w:bCs w:val="0"/>
                <w:color w:val="auto"/>
                <w:u w:val="none"/>
              </w:rPr>
            </w:pPr>
          </w:p>
        </w:tc>
        <w:tc>
          <w:tcPr>
            <w:tcW w:w="284" w:type="pct"/>
            <w:vAlign w:val="center"/>
          </w:tcPr>
          <w:p w14:paraId="30FE6D6F">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15</w:t>
            </w:r>
          </w:p>
        </w:tc>
        <w:tc>
          <w:tcPr>
            <w:tcW w:w="316" w:type="pct"/>
            <w:vAlign w:val="center"/>
          </w:tcPr>
          <w:p w14:paraId="36160F9D">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3</w:t>
            </w:r>
          </w:p>
        </w:tc>
        <w:tc>
          <w:tcPr>
            <w:tcW w:w="159" w:type="pct"/>
            <w:vMerge w:val="continue"/>
            <w:vAlign w:val="center"/>
          </w:tcPr>
          <w:p w14:paraId="60C4AB58">
            <w:pPr>
              <w:pStyle w:val="41"/>
              <w:rPr>
                <w:rFonts w:hint="default" w:ascii="Times New Roman" w:hAnsi="Times New Roman" w:cs="Times New Roman"/>
                <w:b w:val="0"/>
                <w:bCs w:val="0"/>
                <w:color w:val="auto"/>
                <w:u w:val="none"/>
              </w:rPr>
            </w:pPr>
          </w:p>
        </w:tc>
      </w:tr>
      <w:tr w14:paraId="5A798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2343D64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5</w:t>
            </w:r>
          </w:p>
        </w:tc>
        <w:tc>
          <w:tcPr>
            <w:tcW w:w="471" w:type="pct"/>
            <w:vAlign w:val="center"/>
          </w:tcPr>
          <w:p w14:paraId="216E953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6B2B9F3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含铬（镍）结晶盐</w:t>
            </w:r>
          </w:p>
        </w:tc>
        <w:tc>
          <w:tcPr>
            <w:tcW w:w="436" w:type="pct"/>
            <w:vAlign w:val="center"/>
          </w:tcPr>
          <w:p w14:paraId="3618065B">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HW17</w:t>
            </w:r>
          </w:p>
        </w:tc>
        <w:tc>
          <w:tcPr>
            <w:tcW w:w="688" w:type="pct"/>
            <w:vAlign w:val="center"/>
          </w:tcPr>
          <w:p w14:paraId="584186AE">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336-064-17</w:t>
            </w:r>
          </w:p>
        </w:tc>
        <w:tc>
          <w:tcPr>
            <w:tcW w:w="311" w:type="pct"/>
            <w:vAlign w:val="center"/>
          </w:tcPr>
          <w:p w14:paraId="252BCC59">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15d</w:t>
            </w:r>
          </w:p>
        </w:tc>
        <w:tc>
          <w:tcPr>
            <w:tcW w:w="311" w:type="pct"/>
            <w:vAlign w:val="center"/>
          </w:tcPr>
          <w:p w14:paraId="25C815DD">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10</w:t>
            </w:r>
          </w:p>
        </w:tc>
        <w:tc>
          <w:tcPr>
            <w:tcW w:w="311" w:type="pct"/>
            <w:vAlign w:val="center"/>
          </w:tcPr>
          <w:p w14:paraId="00A860CE">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桶装</w:t>
            </w:r>
          </w:p>
        </w:tc>
        <w:tc>
          <w:tcPr>
            <w:tcW w:w="311" w:type="pct"/>
            <w:vAlign w:val="center"/>
          </w:tcPr>
          <w:p w14:paraId="72347C2C">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固态</w:t>
            </w:r>
          </w:p>
        </w:tc>
        <w:tc>
          <w:tcPr>
            <w:tcW w:w="882" w:type="dxa"/>
            <w:vAlign w:val="center"/>
          </w:tcPr>
          <w:p w14:paraId="43A8284A">
            <w:pPr>
              <w:pStyle w:val="41"/>
              <w:rPr>
                <w:rFonts w:hint="default" w:ascii="Times New Roman" w:hAnsi="Times New Roman" w:eastAsia="宋体" w:cs="Times New Roman"/>
                <w:b w:val="0"/>
                <w:bCs w:val="0"/>
                <w:color w:val="auto"/>
                <w:u w:val="none"/>
                <w:lang w:val="en-US" w:eastAsia="zh-CN"/>
              </w:rPr>
            </w:pPr>
            <w:r>
              <w:rPr>
                <w:rFonts w:hint="eastAsia" w:cs="Times New Roman"/>
                <w:color w:val="auto"/>
                <w:u w:val="none"/>
                <w:lang w:val="en-US" w:eastAsia="zh-CN"/>
              </w:rPr>
              <w:t>4.2</w:t>
            </w:r>
          </w:p>
        </w:tc>
        <w:tc>
          <w:tcPr>
            <w:tcW w:w="238" w:type="pct"/>
            <w:vMerge w:val="continue"/>
            <w:vAlign w:val="center"/>
          </w:tcPr>
          <w:p w14:paraId="7315E24B">
            <w:pPr>
              <w:pStyle w:val="56"/>
              <w:rPr>
                <w:rFonts w:hint="default" w:ascii="Times New Roman" w:hAnsi="Times New Roman" w:cs="Times New Roman"/>
                <w:b w:val="0"/>
                <w:bCs w:val="0"/>
                <w:color w:val="auto"/>
                <w:u w:val="none"/>
              </w:rPr>
            </w:pPr>
          </w:p>
        </w:tc>
        <w:tc>
          <w:tcPr>
            <w:tcW w:w="284" w:type="pct"/>
            <w:vAlign w:val="center"/>
          </w:tcPr>
          <w:p w14:paraId="5228AFFD">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12</w:t>
            </w:r>
          </w:p>
        </w:tc>
        <w:tc>
          <w:tcPr>
            <w:tcW w:w="316" w:type="pct"/>
            <w:vAlign w:val="center"/>
          </w:tcPr>
          <w:p w14:paraId="54C98575">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0.5</w:t>
            </w:r>
          </w:p>
        </w:tc>
        <w:tc>
          <w:tcPr>
            <w:tcW w:w="159" w:type="pct"/>
            <w:vMerge w:val="continue"/>
            <w:vAlign w:val="center"/>
          </w:tcPr>
          <w:p w14:paraId="167939CC">
            <w:pPr>
              <w:pStyle w:val="41"/>
              <w:rPr>
                <w:rFonts w:hint="default" w:ascii="Times New Roman" w:hAnsi="Times New Roman" w:cs="Times New Roman"/>
                <w:b w:val="0"/>
                <w:bCs w:val="0"/>
                <w:color w:val="auto"/>
                <w:u w:val="none"/>
              </w:rPr>
            </w:pPr>
          </w:p>
        </w:tc>
      </w:tr>
      <w:tr w14:paraId="15C3D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694D0244">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6</w:t>
            </w:r>
          </w:p>
        </w:tc>
        <w:tc>
          <w:tcPr>
            <w:tcW w:w="471" w:type="pct"/>
            <w:vAlign w:val="center"/>
          </w:tcPr>
          <w:p w14:paraId="7CEE2AC2">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47366EDE">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中水回用和废水处理废RO反渗透膜</w:t>
            </w:r>
          </w:p>
        </w:tc>
        <w:tc>
          <w:tcPr>
            <w:tcW w:w="436" w:type="pct"/>
            <w:vAlign w:val="center"/>
          </w:tcPr>
          <w:p w14:paraId="248FC4B4">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HW49</w:t>
            </w:r>
          </w:p>
        </w:tc>
        <w:tc>
          <w:tcPr>
            <w:tcW w:w="688" w:type="pct"/>
            <w:vAlign w:val="center"/>
          </w:tcPr>
          <w:p w14:paraId="1C303802">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900-041-49</w:t>
            </w:r>
          </w:p>
        </w:tc>
        <w:tc>
          <w:tcPr>
            <w:tcW w:w="311" w:type="pct"/>
            <w:vAlign w:val="center"/>
          </w:tcPr>
          <w:p w14:paraId="796C2763">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12个月</w:t>
            </w:r>
          </w:p>
        </w:tc>
        <w:tc>
          <w:tcPr>
            <w:tcW w:w="311" w:type="pct"/>
            <w:vAlign w:val="center"/>
          </w:tcPr>
          <w:p w14:paraId="22D47D8E">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10</w:t>
            </w:r>
          </w:p>
        </w:tc>
        <w:tc>
          <w:tcPr>
            <w:tcW w:w="311" w:type="pct"/>
            <w:vAlign w:val="center"/>
          </w:tcPr>
          <w:p w14:paraId="66269AF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袋装</w:t>
            </w:r>
          </w:p>
        </w:tc>
        <w:tc>
          <w:tcPr>
            <w:tcW w:w="311" w:type="pct"/>
            <w:vAlign w:val="center"/>
          </w:tcPr>
          <w:p w14:paraId="65CF4EC4">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固态</w:t>
            </w:r>
          </w:p>
        </w:tc>
        <w:tc>
          <w:tcPr>
            <w:tcW w:w="882" w:type="dxa"/>
            <w:vAlign w:val="center"/>
          </w:tcPr>
          <w:p w14:paraId="0D535F37">
            <w:pPr>
              <w:pStyle w:val="41"/>
              <w:rPr>
                <w:rFonts w:hint="default" w:ascii="Times New Roman" w:hAnsi="Times New Roman" w:cs="Times New Roman"/>
                <w:b w:val="0"/>
                <w:bCs w:val="0"/>
                <w:color w:val="auto"/>
                <w:u w:val="none"/>
              </w:rPr>
            </w:pPr>
            <w:r>
              <w:rPr>
                <w:rFonts w:hint="eastAsia" w:cs="Times New Roman"/>
                <w:color w:val="auto"/>
                <w:u w:val="none"/>
                <w:lang w:val="en-US" w:eastAsia="zh-CN"/>
              </w:rPr>
              <w:t>0.3</w:t>
            </w:r>
          </w:p>
        </w:tc>
        <w:tc>
          <w:tcPr>
            <w:tcW w:w="238" w:type="pct"/>
            <w:vMerge w:val="continue"/>
            <w:vAlign w:val="center"/>
          </w:tcPr>
          <w:p w14:paraId="33C2FD8D">
            <w:pPr>
              <w:pStyle w:val="56"/>
              <w:rPr>
                <w:rFonts w:hint="default" w:ascii="Times New Roman" w:hAnsi="Times New Roman" w:cs="Times New Roman"/>
                <w:b w:val="0"/>
                <w:bCs w:val="0"/>
                <w:color w:val="auto"/>
                <w:u w:val="none"/>
              </w:rPr>
            </w:pPr>
          </w:p>
        </w:tc>
        <w:tc>
          <w:tcPr>
            <w:tcW w:w="284" w:type="pct"/>
            <w:vAlign w:val="center"/>
          </w:tcPr>
          <w:p w14:paraId="5074C9F2">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w:t>
            </w:r>
          </w:p>
        </w:tc>
        <w:tc>
          <w:tcPr>
            <w:tcW w:w="316" w:type="pct"/>
            <w:vAlign w:val="center"/>
          </w:tcPr>
          <w:p w14:paraId="24B7886E">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0.3</w:t>
            </w:r>
          </w:p>
        </w:tc>
        <w:tc>
          <w:tcPr>
            <w:tcW w:w="159" w:type="pct"/>
            <w:vMerge w:val="continue"/>
            <w:vAlign w:val="center"/>
          </w:tcPr>
          <w:p w14:paraId="506B93D3">
            <w:pPr>
              <w:pStyle w:val="41"/>
              <w:rPr>
                <w:rFonts w:hint="default" w:ascii="Times New Roman" w:hAnsi="Times New Roman" w:cs="Times New Roman"/>
                <w:b w:val="0"/>
                <w:bCs w:val="0"/>
                <w:color w:val="auto"/>
                <w:u w:val="none"/>
              </w:rPr>
            </w:pPr>
          </w:p>
        </w:tc>
      </w:tr>
      <w:tr w14:paraId="69D0AE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3F9FFCF4">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7</w:t>
            </w:r>
          </w:p>
        </w:tc>
        <w:tc>
          <w:tcPr>
            <w:tcW w:w="471" w:type="pct"/>
            <w:vAlign w:val="center"/>
          </w:tcPr>
          <w:p w14:paraId="669D95CE">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09F201AA">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废滤芯</w:t>
            </w:r>
          </w:p>
        </w:tc>
        <w:tc>
          <w:tcPr>
            <w:tcW w:w="436" w:type="pct"/>
            <w:vAlign w:val="center"/>
          </w:tcPr>
          <w:p w14:paraId="776057CC">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HW49</w:t>
            </w:r>
          </w:p>
        </w:tc>
        <w:tc>
          <w:tcPr>
            <w:tcW w:w="688" w:type="pct"/>
            <w:vAlign w:val="center"/>
          </w:tcPr>
          <w:p w14:paraId="39D6597A">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900-401-49</w:t>
            </w:r>
          </w:p>
        </w:tc>
        <w:tc>
          <w:tcPr>
            <w:tcW w:w="311" w:type="pct"/>
            <w:vAlign w:val="center"/>
          </w:tcPr>
          <w:p w14:paraId="7646888D">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12个月</w:t>
            </w:r>
          </w:p>
        </w:tc>
        <w:tc>
          <w:tcPr>
            <w:tcW w:w="311" w:type="pct"/>
            <w:vAlign w:val="center"/>
          </w:tcPr>
          <w:p w14:paraId="2D6677A7">
            <w:pPr>
              <w:pStyle w:val="41"/>
              <w:rPr>
                <w:rFonts w:hint="default" w:ascii="Times New Roman" w:hAnsi="Times New Roman" w:eastAsia="宋体" w:cs="Times New Roman"/>
                <w:b w:val="0"/>
                <w:bCs w:val="0"/>
                <w:color w:val="auto"/>
                <w:u w:val="none"/>
                <w:lang w:val="en-US" w:eastAsia="zh-CN"/>
              </w:rPr>
            </w:pPr>
            <w:r>
              <w:rPr>
                <w:rFonts w:hint="default" w:ascii="Times New Roman" w:hAnsi="Times New Roman" w:cs="Times New Roman"/>
                <w:b w:val="0"/>
                <w:bCs w:val="0"/>
                <w:color w:val="auto"/>
                <w:u w:val="none"/>
                <w:lang w:val="en-US" w:eastAsia="zh-CN"/>
              </w:rPr>
              <w:t>1</w:t>
            </w:r>
            <w:r>
              <w:rPr>
                <w:rFonts w:hint="eastAsia" w:cs="Times New Roman"/>
                <w:b w:val="0"/>
                <w:bCs w:val="0"/>
                <w:color w:val="auto"/>
                <w:u w:val="none"/>
                <w:lang w:val="en-US" w:eastAsia="zh-CN"/>
              </w:rPr>
              <w:t>0</w:t>
            </w:r>
          </w:p>
        </w:tc>
        <w:tc>
          <w:tcPr>
            <w:tcW w:w="311" w:type="pct"/>
            <w:vAlign w:val="center"/>
          </w:tcPr>
          <w:p w14:paraId="201EAB24">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袋装</w:t>
            </w:r>
          </w:p>
        </w:tc>
        <w:tc>
          <w:tcPr>
            <w:tcW w:w="311" w:type="pct"/>
            <w:vAlign w:val="center"/>
          </w:tcPr>
          <w:p w14:paraId="576108DF">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固态</w:t>
            </w:r>
          </w:p>
        </w:tc>
        <w:tc>
          <w:tcPr>
            <w:tcW w:w="882" w:type="dxa"/>
            <w:vAlign w:val="center"/>
          </w:tcPr>
          <w:p w14:paraId="6E0DA187">
            <w:pPr>
              <w:pStyle w:val="41"/>
              <w:rPr>
                <w:rFonts w:hint="default" w:ascii="Times New Roman" w:hAnsi="Times New Roman" w:cs="Times New Roman"/>
                <w:b w:val="0"/>
                <w:bCs w:val="0"/>
                <w:color w:val="auto"/>
                <w:u w:val="none"/>
              </w:rPr>
            </w:pPr>
            <w:r>
              <w:rPr>
                <w:rFonts w:hint="default" w:ascii="Times New Roman" w:hAnsi="Times New Roman" w:cs="Times New Roman"/>
                <w:color w:val="auto"/>
                <w:u w:val="none"/>
              </w:rPr>
              <w:t>0.</w:t>
            </w:r>
            <w:r>
              <w:rPr>
                <w:rFonts w:hint="eastAsia" w:cs="Times New Roman"/>
                <w:color w:val="auto"/>
                <w:u w:val="none"/>
                <w:lang w:val="en-US" w:eastAsia="zh-CN"/>
              </w:rPr>
              <w:t>2</w:t>
            </w:r>
          </w:p>
        </w:tc>
        <w:tc>
          <w:tcPr>
            <w:tcW w:w="238" w:type="pct"/>
            <w:vMerge w:val="continue"/>
            <w:vAlign w:val="center"/>
          </w:tcPr>
          <w:p w14:paraId="16A6AF44">
            <w:pPr>
              <w:pStyle w:val="56"/>
              <w:rPr>
                <w:rFonts w:hint="default" w:ascii="Times New Roman" w:hAnsi="Times New Roman" w:cs="Times New Roman"/>
                <w:b w:val="0"/>
                <w:bCs w:val="0"/>
                <w:color w:val="auto"/>
                <w:u w:val="none"/>
              </w:rPr>
            </w:pPr>
          </w:p>
        </w:tc>
        <w:tc>
          <w:tcPr>
            <w:tcW w:w="284" w:type="pct"/>
            <w:vAlign w:val="center"/>
          </w:tcPr>
          <w:p w14:paraId="47FC50E5">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1</w:t>
            </w:r>
          </w:p>
        </w:tc>
        <w:tc>
          <w:tcPr>
            <w:tcW w:w="316" w:type="pct"/>
            <w:vAlign w:val="center"/>
          </w:tcPr>
          <w:p w14:paraId="7220061C">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0.2</w:t>
            </w:r>
          </w:p>
        </w:tc>
        <w:tc>
          <w:tcPr>
            <w:tcW w:w="159" w:type="pct"/>
            <w:vMerge w:val="continue"/>
            <w:vAlign w:val="center"/>
          </w:tcPr>
          <w:p w14:paraId="11A2B38A">
            <w:pPr>
              <w:pStyle w:val="41"/>
              <w:rPr>
                <w:rFonts w:hint="default" w:ascii="Times New Roman" w:hAnsi="Times New Roman" w:cs="Times New Roman"/>
                <w:b w:val="0"/>
                <w:bCs w:val="0"/>
                <w:color w:val="auto"/>
                <w:u w:val="none"/>
              </w:rPr>
            </w:pPr>
          </w:p>
        </w:tc>
      </w:tr>
      <w:tr w14:paraId="2B6A5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28" w:type="dxa"/>
            <w:bottom w:w="57" w:type="dxa"/>
            <w:right w:w="28" w:type="dxa"/>
          </w:tblCellMar>
        </w:tblPrEx>
        <w:trPr>
          <w:trHeight w:val="34" w:hRule="atLeast"/>
          <w:jc w:val="center"/>
        </w:trPr>
        <w:tc>
          <w:tcPr>
            <w:tcW w:w="159" w:type="pct"/>
            <w:vAlign w:val="center"/>
          </w:tcPr>
          <w:p w14:paraId="5748E515">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8</w:t>
            </w:r>
          </w:p>
        </w:tc>
        <w:tc>
          <w:tcPr>
            <w:tcW w:w="471" w:type="pct"/>
            <w:vAlign w:val="center"/>
          </w:tcPr>
          <w:p w14:paraId="68E9DF64">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危废暂存间</w:t>
            </w:r>
          </w:p>
        </w:tc>
        <w:tc>
          <w:tcPr>
            <w:tcW w:w="471" w:type="pct"/>
            <w:vAlign w:val="center"/>
          </w:tcPr>
          <w:p w14:paraId="12DB574E">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废机油</w:t>
            </w:r>
          </w:p>
        </w:tc>
        <w:tc>
          <w:tcPr>
            <w:tcW w:w="436" w:type="pct"/>
            <w:vAlign w:val="center"/>
          </w:tcPr>
          <w:p w14:paraId="72146AE9">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HW08</w:t>
            </w:r>
          </w:p>
        </w:tc>
        <w:tc>
          <w:tcPr>
            <w:tcW w:w="688" w:type="pct"/>
            <w:vAlign w:val="center"/>
          </w:tcPr>
          <w:p w14:paraId="6D3B6CA8">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900-217-08</w:t>
            </w:r>
          </w:p>
        </w:tc>
        <w:tc>
          <w:tcPr>
            <w:tcW w:w="311" w:type="pct"/>
            <w:vAlign w:val="center"/>
          </w:tcPr>
          <w:p w14:paraId="5D03806F">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6个月</w:t>
            </w:r>
          </w:p>
        </w:tc>
        <w:tc>
          <w:tcPr>
            <w:tcW w:w="311" w:type="pct"/>
            <w:vAlign w:val="center"/>
          </w:tcPr>
          <w:p w14:paraId="78064C8F">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10</w:t>
            </w:r>
          </w:p>
        </w:tc>
        <w:tc>
          <w:tcPr>
            <w:tcW w:w="311" w:type="pct"/>
            <w:vAlign w:val="center"/>
          </w:tcPr>
          <w:p w14:paraId="48C9C0D0">
            <w:pPr>
              <w:pStyle w:val="41"/>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桶装</w:t>
            </w:r>
          </w:p>
        </w:tc>
        <w:tc>
          <w:tcPr>
            <w:tcW w:w="311" w:type="pct"/>
            <w:vAlign w:val="center"/>
          </w:tcPr>
          <w:p w14:paraId="71052CA0">
            <w:pPr>
              <w:pStyle w:val="56"/>
              <w:rPr>
                <w:rFonts w:hint="default" w:ascii="Times New Roman" w:hAnsi="Times New Roman" w:cs="Times New Roman"/>
                <w:b w:val="0"/>
                <w:bCs w:val="0"/>
                <w:color w:val="auto"/>
                <w:u w:val="none"/>
              </w:rPr>
            </w:pPr>
            <w:r>
              <w:rPr>
                <w:rFonts w:hint="default" w:ascii="Times New Roman" w:hAnsi="Times New Roman" w:cs="Times New Roman"/>
                <w:b w:val="0"/>
                <w:bCs w:val="0"/>
                <w:color w:val="auto"/>
                <w:u w:val="none"/>
              </w:rPr>
              <w:t>液态</w:t>
            </w:r>
          </w:p>
        </w:tc>
        <w:tc>
          <w:tcPr>
            <w:tcW w:w="527" w:type="pct"/>
            <w:vAlign w:val="center"/>
          </w:tcPr>
          <w:p w14:paraId="203A14E2">
            <w:pPr>
              <w:pStyle w:val="56"/>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0.5</w:t>
            </w:r>
          </w:p>
        </w:tc>
        <w:tc>
          <w:tcPr>
            <w:tcW w:w="238" w:type="pct"/>
            <w:vMerge w:val="continue"/>
            <w:vAlign w:val="center"/>
          </w:tcPr>
          <w:p w14:paraId="025E5679">
            <w:pPr>
              <w:pStyle w:val="56"/>
              <w:rPr>
                <w:rFonts w:hint="default" w:ascii="Times New Roman" w:hAnsi="Times New Roman" w:cs="Times New Roman"/>
                <w:b w:val="0"/>
                <w:bCs w:val="0"/>
                <w:color w:val="auto"/>
                <w:u w:val="none"/>
              </w:rPr>
            </w:pPr>
          </w:p>
        </w:tc>
        <w:tc>
          <w:tcPr>
            <w:tcW w:w="284" w:type="pct"/>
            <w:vAlign w:val="center"/>
          </w:tcPr>
          <w:p w14:paraId="2DD14E85">
            <w:pPr>
              <w:pStyle w:val="41"/>
              <w:rPr>
                <w:rFonts w:hint="eastAsia" w:ascii="Times New Roman" w:hAnsi="Times New Roman" w:eastAsia="宋体" w:cs="Times New Roman"/>
                <w:b w:val="0"/>
                <w:bCs w:val="0"/>
                <w:color w:val="auto"/>
                <w:u w:val="none"/>
                <w:lang w:eastAsia="zh-CN"/>
              </w:rPr>
            </w:pPr>
            <w:r>
              <w:rPr>
                <w:rFonts w:hint="eastAsia" w:cs="Times New Roman"/>
                <w:b w:val="0"/>
                <w:bCs w:val="0"/>
                <w:color w:val="auto"/>
                <w:u w:val="none"/>
                <w:lang w:val="en-US" w:eastAsia="zh-CN"/>
              </w:rPr>
              <w:t>1</w:t>
            </w:r>
          </w:p>
        </w:tc>
        <w:tc>
          <w:tcPr>
            <w:tcW w:w="316" w:type="pct"/>
            <w:vAlign w:val="center"/>
          </w:tcPr>
          <w:p w14:paraId="1ED25907">
            <w:pPr>
              <w:pStyle w:val="41"/>
              <w:rPr>
                <w:rFonts w:hint="default" w:ascii="Times New Roman" w:hAnsi="Times New Roman" w:eastAsia="宋体" w:cs="Times New Roman"/>
                <w:b w:val="0"/>
                <w:bCs w:val="0"/>
                <w:color w:val="auto"/>
                <w:u w:val="none"/>
                <w:lang w:val="en-US" w:eastAsia="zh-CN"/>
              </w:rPr>
            </w:pPr>
            <w:r>
              <w:rPr>
                <w:rFonts w:hint="eastAsia" w:cs="Times New Roman"/>
                <w:b w:val="0"/>
                <w:bCs w:val="0"/>
                <w:color w:val="auto"/>
                <w:u w:val="none"/>
                <w:lang w:val="en-US" w:eastAsia="zh-CN"/>
              </w:rPr>
              <w:t>0.5</w:t>
            </w:r>
          </w:p>
        </w:tc>
        <w:tc>
          <w:tcPr>
            <w:tcW w:w="159" w:type="pct"/>
            <w:vMerge w:val="continue"/>
            <w:vAlign w:val="center"/>
          </w:tcPr>
          <w:p w14:paraId="2AAA2AD6">
            <w:pPr>
              <w:pStyle w:val="41"/>
              <w:rPr>
                <w:rFonts w:hint="default" w:ascii="Times New Roman" w:hAnsi="Times New Roman" w:cs="Times New Roman"/>
                <w:b w:val="0"/>
                <w:bCs w:val="0"/>
                <w:color w:val="auto"/>
                <w:u w:val="none"/>
              </w:rPr>
            </w:pPr>
          </w:p>
        </w:tc>
      </w:tr>
    </w:tbl>
    <w:p w14:paraId="14415C9A">
      <w:pPr>
        <w:ind w:firstLine="480"/>
        <w:rPr>
          <w:rFonts w:hint="default" w:ascii="Times New Roman" w:hAnsi="Times New Roman" w:cs="Times New Roman"/>
          <w:color w:val="auto"/>
          <w:u w:val="none"/>
          <w:lang w:val="zh-CN"/>
        </w:rPr>
      </w:pPr>
      <w:r>
        <w:rPr>
          <w:rFonts w:hint="default" w:ascii="Times New Roman" w:hAnsi="Times New Roman" w:cs="Times New Roman"/>
          <w:color w:val="auto"/>
          <w:kern w:val="0"/>
          <w:u w:val="none"/>
          <w:lang w:bidi="ar"/>
        </w:rPr>
        <w:t>危险废物贮存能力与产生量、产废周期和转运周期密切相关，企业拟建设</w:t>
      </w:r>
      <w:r>
        <w:rPr>
          <w:rFonts w:hint="eastAsia" w:ascii="Times New Roman" w:hAnsi="Times New Roman" w:cs="Times New Roman"/>
          <w:color w:val="auto"/>
          <w:kern w:val="0"/>
          <w:u w:val="none"/>
          <w:lang w:val="en-US" w:eastAsia="zh-CN" w:bidi="ar"/>
        </w:rPr>
        <w:t>1</w:t>
      </w:r>
      <w:r>
        <w:rPr>
          <w:rFonts w:hint="default" w:ascii="Times New Roman" w:hAnsi="Times New Roman" w:cs="Times New Roman"/>
          <w:color w:val="auto"/>
          <w:kern w:val="0"/>
          <w:u w:val="none"/>
          <w:lang w:bidi="ar"/>
        </w:rPr>
        <w:t>个危废暂存间，总面积</w:t>
      </w:r>
      <w:r>
        <w:rPr>
          <w:rFonts w:hint="eastAsia" w:ascii="Times New Roman" w:hAnsi="Times New Roman" w:cs="Times New Roman"/>
          <w:color w:val="auto"/>
          <w:kern w:val="0"/>
          <w:u w:val="none"/>
          <w:lang w:val="en-US" w:eastAsia="zh-CN" w:bidi="ar"/>
        </w:rPr>
        <w:t>1</w:t>
      </w:r>
      <w:r>
        <w:rPr>
          <w:rFonts w:hint="default" w:ascii="Times New Roman" w:hAnsi="Times New Roman" w:cs="Times New Roman"/>
          <w:color w:val="auto"/>
          <w:kern w:val="0"/>
          <w:u w:val="none"/>
          <w:lang w:bidi="ar"/>
        </w:rPr>
        <w:t>00m</w:t>
      </w:r>
      <w:r>
        <w:rPr>
          <w:rFonts w:hint="default" w:ascii="Times New Roman" w:hAnsi="Times New Roman" w:cs="Times New Roman"/>
          <w:color w:val="auto"/>
          <w:kern w:val="0"/>
          <w:u w:val="none"/>
          <w:vertAlign w:val="superscript"/>
          <w:lang w:bidi="ar"/>
        </w:rPr>
        <w:t>2</w:t>
      </w:r>
      <w:r>
        <w:rPr>
          <w:rFonts w:hint="default" w:ascii="Times New Roman" w:hAnsi="Times New Roman" w:cs="Times New Roman"/>
          <w:color w:val="auto"/>
          <w:kern w:val="0"/>
          <w:u w:val="none"/>
          <w:lang w:bidi="ar"/>
        </w:rPr>
        <w:t>，总贮存能力约为</w:t>
      </w:r>
      <w:r>
        <w:rPr>
          <w:rFonts w:hint="eastAsia" w:ascii="Times New Roman" w:hAnsi="Times New Roman" w:cs="Times New Roman"/>
          <w:color w:val="auto"/>
          <w:kern w:val="0"/>
          <w:u w:val="none"/>
          <w:lang w:val="en-US" w:eastAsia="zh-CN" w:bidi="ar"/>
        </w:rPr>
        <w:t>10</w:t>
      </w:r>
      <w:r>
        <w:rPr>
          <w:rFonts w:hint="default" w:ascii="Times New Roman" w:hAnsi="Times New Roman" w:cs="Times New Roman"/>
          <w:color w:val="auto"/>
          <w:kern w:val="0"/>
          <w:u w:val="none"/>
          <w:lang w:bidi="ar"/>
        </w:rPr>
        <w:t>t的危废暂存间，满足要求。</w:t>
      </w:r>
    </w:p>
    <w:p w14:paraId="14E45CC8">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lang w:bidi="ar"/>
        </w:rPr>
        <w:t>综上，企业危废暂存间贮存能力可行。</w:t>
      </w:r>
    </w:p>
    <w:p w14:paraId="541819A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③对周围环境的影响</w:t>
      </w:r>
    </w:p>
    <w:p w14:paraId="3FBDA9F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rPr>
        <w:t>A</w:t>
      </w:r>
      <w:r>
        <w:rPr>
          <w:rFonts w:hint="default" w:ascii="Times New Roman" w:hAnsi="Times New Roman" w:cs="Times New Roman"/>
          <w:color w:val="auto"/>
          <w:u w:val="none"/>
          <w:lang w:val="zh-CN"/>
        </w:rPr>
        <w:t>对地表水、地下水、土壤的影响</w:t>
      </w:r>
    </w:p>
    <w:p w14:paraId="5B39D63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本项目危废暂存间在严格按照《危险废物贮存污染控制标准》（GB18597-20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lang w:val="zh-CN"/>
        </w:rPr>
        <w:t>）的要求设计、施工、运行、管理的前提下，正常情况不会对地面水、地下水和土壤产生影响。</w:t>
      </w:r>
    </w:p>
    <w:p w14:paraId="086FF78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建设单位在做好相关防渗、收集措施条件下，</w:t>
      </w:r>
      <w:r>
        <w:rPr>
          <w:rFonts w:hint="eastAsia" w:ascii="Times New Roman" w:hAnsi="Times New Roman" w:cs="Times New Roman"/>
          <w:color w:val="auto"/>
          <w:u w:val="none"/>
          <w:lang w:val="zh-CN"/>
        </w:rPr>
        <w:t>泄漏</w:t>
      </w:r>
      <w:r>
        <w:rPr>
          <w:rFonts w:hint="default" w:ascii="Times New Roman" w:hAnsi="Times New Roman" w:cs="Times New Roman"/>
          <w:color w:val="auto"/>
          <w:u w:val="none"/>
          <w:lang w:val="zh-CN"/>
        </w:rPr>
        <w:t>液体一般不会进入地面水、地下水和土壤。因此危废暂存间的危险废物对地面水、地下水、土壤的基本没有影响。</w:t>
      </w:r>
    </w:p>
    <w:p w14:paraId="217A68D3">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rPr>
        <w:t>B</w:t>
      </w:r>
      <w:r>
        <w:rPr>
          <w:rFonts w:hint="default" w:ascii="Times New Roman" w:hAnsi="Times New Roman" w:cs="Times New Roman"/>
          <w:color w:val="auto"/>
          <w:u w:val="none"/>
          <w:lang w:val="zh-CN"/>
        </w:rPr>
        <w:t>对环境空气的影响</w:t>
      </w:r>
    </w:p>
    <w:p w14:paraId="24D8694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项目产生的危险废物对环境空气的主要影响为各类危险废物在储存过程中散发的挥发性有机废气。</w:t>
      </w:r>
      <w:r>
        <w:rPr>
          <w:rFonts w:hint="default" w:ascii="Times New Roman" w:hAnsi="Times New Roman" w:cs="Times New Roman"/>
          <w:color w:val="auto"/>
          <w:u w:val="none"/>
        </w:rPr>
        <w:t>本项目产生的危险废物采用密闭容器进行收集，故</w:t>
      </w:r>
      <w:r>
        <w:rPr>
          <w:rFonts w:hint="default" w:ascii="Times New Roman" w:hAnsi="Times New Roman" w:cs="Times New Roman"/>
          <w:color w:val="auto"/>
          <w:u w:val="none"/>
          <w:lang w:val="zh-CN"/>
        </w:rPr>
        <w:t>危废暂存间有机废气产生量较小，直接排放对大气环境的影响较小。</w:t>
      </w:r>
    </w:p>
    <w:p w14:paraId="3696F6A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④委托周边危废处置单位的环境影响分析</w:t>
      </w:r>
    </w:p>
    <w:p w14:paraId="526BDFA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湖南瀚洋环保科技有限公司基本情况：</w:t>
      </w:r>
    </w:p>
    <w:p w14:paraId="57991E1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湖南瀚洋环保科技有限公司位于长沙市长沙县北山镇北山村万谷岭，其可以处置国家《危险废物名录》中46大类中的的43大类危险废物，即HW01（831-003-01、831-004-01、831-005-01） ；HW02；HW03；HW04；HW05；HW06；HW07；HW08；HW09；HW11；HW12；HW13；HW14；HW16；HW17；HW18；HW19；HW20；HW21；HW22；HW23；HW24；HW25；HW26；HW27；HW28；HW30；HW31；HW32；HW33；HW34；HW35；HW36；HW37；HW38；HW39；HW40；HW45；HW46；HW47；HW48；HW49；HW50。处置规模为 57450t/a，危险废物来源限长沙市、株洲市、湘潭市、娄底市、岳阳市、益阳市、常德市、怀化市、张家界市、湘西自治州。经营许可证有效期为2004-01-18至2042-06-12。</w:t>
      </w:r>
    </w:p>
    <w:p w14:paraId="2F3847A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本项目产生的危废类别主要为HW08、HW17、HW49，均在湖南瀚洋环保科技有限公司危废处置范围内，且收集范围包括岳阳市，因此，本项目产生的危废可委托湖南瀚洋环保科技有限公司处理可行。</w:t>
      </w:r>
    </w:p>
    <w:p w14:paraId="1C6AD171">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（2）危险废物收集、贮存、转运相关要求</w:t>
      </w:r>
    </w:p>
    <w:p w14:paraId="05F407B6">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项目危险废物的贮存按照《危险废物贮存污染控制标准》（GB 18597-2001），危险废物按不同类别分区存放，并设置隔离设施，禁止将不相容的危险废物在同一容器内混装。项目在各危险废物暂存区域张贴危险废物名称、来源、有害成分、危险特性、入库类别、入库日期、接收单位等内容。建设单位须定期对所贮存的危险废物包装容器及贮存设施进行检查，发现破损，应及时采取措施清理更换。</w:t>
      </w:r>
    </w:p>
    <w:p w14:paraId="26A7318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危险废物在转运过程中须严格执行《危险废物转移管理办法》，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w:t>
      </w:r>
    </w:p>
    <w:p w14:paraId="26977C7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结合《建设项目危险废物环境影响评价指南》（环境保护部公告[2017]43号）、《危险废物贮存污染控制标准》（G18597-2001）和《危险废物转移管理办法》中的相关要求，本评价要求建设单位按照如下防护措施建设危废暂存间：</w:t>
      </w:r>
    </w:p>
    <w:p w14:paraId="50FDC96B">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①贮存设施应以混凝土、砖等材料建成的相对封闭场所，并设置通风口；各类危险废物须分区、分类存放，禁止一般工业固废和生活垃圾混入。</w:t>
      </w:r>
    </w:p>
    <w:p w14:paraId="6C9BA645">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②贮存设施地面、围堰内壁需采用坚固、防渗、防腐蚀，且与危险废物相容的材料建造，以保证防渗的面层结构应足以承受一般负荷及移动容器时所产生的摩损，并确保液态废物不渗入地下。</w:t>
      </w:r>
    </w:p>
    <w:p w14:paraId="7FE1969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③贮存设施外部应修建雨水导排系统，防止雨水径流进入危废暂存间。</w:t>
      </w:r>
    </w:p>
    <w:p w14:paraId="3BC72A7A">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④危险废物贮存设施都必须按GB15562.2的规定设置警示标志。</w:t>
      </w:r>
    </w:p>
    <w:p w14:paraId="52BDFD4E">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⑤必须有泄漏液体收集装置、气体导出口及气体净化装置。</w:t>
      </w:r>
    </w:p>
    <w:p w14:paraId="314CBB47">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⑥设施内要有安全照明设施和观察窗口。</w:t>
      </w:r>
    </w:p>
    <w:p w14:paraId="51E464F7">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⑦用以存放装载液体、半固体危险废物容器的地方，必须有耐腐蚀的硬化地面，且表面无裂隙。</w:t>
      </w:r>
    </w:p>
    <w:p w14:paraId="6D30FA03">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⑧应设计堵截泄漏的裙脚,地面与裙脚所围建的容积不低于堵截最大容器的最大储量或总储量的1/5。</w:t>
      </w:r>
    </w:p>
    <w:p w14:paraId="529E1B9F">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⑨不相容的危险废物必须分开存放，并设有隔离间隔断。</w:t>
      </w:r>
    </w:p>
    <w:p w14:paraId="7FA8893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⑩危险废物贮存前应进行检验，确保同预定接收的危险废物一致，并登记注册，作好危险废物情况的记录，记录上须注明危险废物的名称、来源、数量、特性和包装容器的类别、入库日期、存放库位、废物出库日期及接收单位名称，并建立台账。</w:t>
      </w:r>
    </w:p>
    <w:p w14:paraId="5E1943ED">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⑪强化配套设施的配备，危险废物应当使用符合标准的容器盛装，禁止将不相容（相互反应）的危险废物在同一容器内混装；盛装危险废物的容器上必须粘贴符合标准标签。</w:t>
      </w:r>
    </w:p>
    <w:p w14:paraId="6C5C428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⑫必须定期对所贮存的危险废物包装容器及贮存设施进行检查，发现破损，应及时采取措施清理更换。</w:t>
      </w:r>
    </w:p>
    <w:p w14:paraId="40B0100E">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⑬危险废物贮存设施应配备通讯设备、照明设施、安全防护服装及工具，并设有应急防护设施。</w:t>
      </w:r>
    </w:p>
    <w:p w14:paraId="2A444B9F">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（3）运输过程的环境影响分析</w:t>
      </w:r>
    </w:p>
    <w:p w14:paraId="66B1C9BE">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本项目产生的危险废物委托有危险废物处理资质的公司清运处置。根据《危险废物委托处置合同》可知，危险废物的运输由危废处置单位提供运输车辆、安排运输计划，并保证待处置废物的运输按国家有关危险废物的运输规定执行。危险废物运输过程中产生散落、泄漏所引起的环境影响，由危废处置单位合理防范。</w:t>
      </w:r>
    </w:p>
    <w:p w14:paraId="29C46B0A">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综上所述，项目营运期产生的固体废物均可得到合理处置。</w:t>
      </w:r>
    </w:p>
    <w:p w14:paraId="0F15B2E5">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营运期土壤环境影响分析</w:t>
      </w:r>
    </w:p>
    <w:p w14:paraId="7BEEAAED">
      <w:pPr>
        <w:pStyle w:val="18"/>
        <w:ind w:firstLine="480"/>
        <w:rPr>
          <w:rFonts w:hint="default" w:ascii="Times New Roman" w:hAnsi="Times New Roman" w:cs="Times New Roman"/>
          <w:color w:val="auto"/>
          <w:sz w:val="24"/>
          <w:u w:val="none"/>
        </w:rPr>
      </w:pPr>
      <w:bookmarkStart w:id="135" w:name="_Toc26393"/>
      <w:r>
        <w:rPr>
          <w:rFonts w:hint="default" w:ascii="Times New Roman" w:hAnsi="Times New Roman" w:cs="Times New Roman"/>
          <w:color w:val="auto"/>
          <w:sz w:val="24"/>
          <w:u w:val="none"/>
        </w:rPr>
        <w:t>根据《环境影响评价技术导则-土壤环境》（HJ964-2018），本项目土壤环评影响评价等级为二级，根据导则8.7预测与评价方法中8.7.3“评价工作等级为一级、二级的建设项目，预测方法可参见附录E或进行类比分析”。根据《环境影响评价技术导则-土壤环境》（HJ964-2018）中工作等级的划分依据，本项目属于Ⅰ类建设项目（属于制造业，设备制造、金属制造、汽车制造及其他用品制造中金属制品表面制品处理），污染影响型；敏感类型为不敏感，占地规模为</w:t>
      </w:r>
      <w:r>
        <w:rPr>
          <w:rFonts w:hint="eastAsia" w:ascii="Times New Roman" w:hAnsi="Times New Roman" w:cs="Times New Roman"/>
          <w:color w:val="auto"/>
          <w:sz w:val="24"/>
          <w:u w:val="none"/>
          <w:lang w:val="en-US" w:eastAsia="zh-CN"/>
        </w:rPr>
        <w:t>小</w:t>
      </w:r>
      <w:r>
        <w:rPr>
          <w:rFonts w:hint="default" w:ascii="Times New Roman" w:hAnsi="Times New Roman" w:cs="Times New Roman"/>
          <w:color w:val="auto"/>
          <w:sz w:val="24"/>
          <w:u w:val="none"/>
        </w:rPr>
        <w:t>型，根据导则要求确定本项目土壤环境评价工作等级为二级。本项目土壤环境影响评价范围为项目厂界外200m。</w:t>
      </w:r>
    </w:p>
    <w:p w14:paraId="604886EB">
      <w:pPr>
        <w:pStyle w:val="6"/>
        <w:ind w:left="-480" w:firstLineChars="0"/>
        <w:rPr>
          <w:rFonts w:hint="default" w:ascii="Times New Roman" w:hAnsi="Times New Roman" w:cs="Times New Roman"/>
          <w:color w:val="auto"/>
          <w:u w:val="none"/>
        </w:rPr>
      </w:pPr>
      <w:r>
        <w:rPr>
          <w:rFonts w:hint="default" w:ascii="Times New Roman" w:hAnsi="Times New Roman" w:cs="Times New Roman"/>
          <w:color w:val="auto"/>
          <w:u w:val="none"/>
        </w:rPr>
        <w:t>土壤污染种类</w:t>
      </w:r>
    </w:p>
    <w:p w14:paraId="692EF8AF">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土壤污染物的种类繁多，按污染物的性质一般可分为4类，即有机污染物、重金属、放射性元素和病原微生物。</w:t>
      </w:r>
    </w:p>
    <w:p w14:paraId="3ACC7B28">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有机污染：作为影响土壤环境的主要污染物，有毒、有害的有机化合物在环境中不断积累，到一定时间或在一定条件下有可能给整个生态系统带来灾难性的后果。</w:t>
      </w:r>
    </w:p>
    <w:p w14:paraId="4DC58A91">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重金属：污染物在土壤中移动性差、滞留时间长、不能被微生物降解并可经水、植物等介质最终影响人类健康。</w:t>
      </w:r>
    </w:p>
    <w:p w14:paraId="11B0D768">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放射性元素：主要来源于大气层核实验的沉降物，以及原子能和平利用过程中所排放的各种废气、废水和废渣。含有放射性元素的物质不可避免地随自然沉降、雨水冲刷和废弃物堆放而污染土壤。</w:t>
      </w:r>
    </w:p>
    <w:p w14:paraId="29B73C03">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病原微生物：主要包括病原菌和病毒等，人若直接接触含有病原微生物的土壤，可能会对健康带来影响；若食用被土壤污染的蔬菜、水果等则间接受到污染。</w:t>
      </w:r>
    </w:p>
    <w:p w14:paraId="2CDF1140">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本项目对土壤环境的污染主要是有机污染物质。</w:t>
      </w:r>
    </w:p>
    <w:p w14:paraId="1ECDCACD">
      <w:pPr>
        <w:pStyle w:val="6"/>
        <w:ind w:left="-480" w:firstLineChars="0"/>
        <w:rPr>
          <w:rFonts w:hint="default" w:ascii="Times New Roman" w:hAnsi="Times New Roman" w:cs="Times New Roman"/>
          <w:color w:val="auto"/>
          <w:u w:val="none"/>
        </w:rPr>
      </w:pPr>
      <w:r>
        <w:rPr>
          <w:rFonts w:hint="default" w:ascii="Times New Roman" w:hAnsi="Times New Roman" w:cs="Times New Roman"/>
          <w:color w:val="auto"/>
          <w:u w:val="none"/>
        </w:rPr>
        <w:t>土壤受污染的特点</w:t>
      </w:r>
    </w:p>
    <w:p w14:paraId="7866ACFB">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1、隐蔽性和滞后性</w:t>
      </w:r>
    </w:p>
    <w:p w14:paraId="127AFEAB">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大气、水和固废污染等问题一般都比较直观，通过感官就能发现。而土壤污染则不同，往往要通过对土壤样品进行分析化验和农作物的残留检测，甚至通过研究对人畜健康状况的影响才能确定。因此，土壤污染从产生污染到出现问题通 常会滞后较长的时间，且一般都不太容易受到重视。</w:t>
      </w:r>
    </w:p>
    <w:p w14:paraId="7D38C307">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2、累积性</w:t>
      </w:r>
    </w:p>
    <w:p w14:paraId="45AB28D2">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污染物质在大气和水体中，一般都比在土壤中更容易迁移。这使得污染物质在土壤中并不像在大气和水体中那样容易扩散和稀释，因此容易在土壤中不断积累而超标，同时也使土壤污染具有很强的地域性。</w:t>
      </w:r>
    </w:p>
    <w:p w14:paraId="0D856449">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3、不可逆转性</w:t>
      </w:r>
    </w:p>
    <w:p w14:paraId="54A7562E">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重金属对土壤的污染基本上是一个不可转的过程，许多有机化学物质的污染也需要较长的时间才能降解。</w:t>
      </w:r>
    </w:p>
    <w:p w14:paraId="152B7F12">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4、难治理性</w:t>
      </w:r>
    </w:p>
    <w:p w14:paraId="5CAD1E32">
      <w:pPr>
        <w:pStyle w:val="18"/>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如果大气和水体受到污染，切断污染源之后通过稀释和自净化作用也有可能使污染问题不断逆转，但是积累在污染土壤中的难降解污染物则很难靠稀释作用 和自净化作用来消除。土壤污染一旦发生，仅仅依靠切断污染源的方法则往往很 难恢复，有时要靠换土、淋洗土壤等方法才能解决问题，其他治理技术可能见效 较慢。因此，治理污染土壤通常成本较高，治理周期较长。</w:t>
      </w:r>
    </w:p>
    <w:p w14:paraId="7EEF7ABC">
      <w:pPr>
        <w:pStyle w:val="6"/>
        <w:ind w:left="-480" w:firstLineChars="0"/>
        <w:rPr>
          <w:rFonts w:hint="default" w:ascii="Times New Roman" w:hAnsi="Times New Roman" w:cs="Times New Roman"/>
          <w:color w:val="auto"/>
          <w:u w:val="none"/>
        </w:rPr>
      </w:pPr>
      <w:r>
        <w:rPr>
          <w:rFonts w:hint="default" w:ascii="Times New Roman" w:hAnsi="Times New Roman" w:cs="Times New Roman"/>
          <w:color w:val="auto"/>
          <w:u w:val="none"/>
        </w:rPr>
        <w:t>对土壤环境影响分析</w:t>
      </w:r>
    </w:p>
    <w:p w14:paraId="5D89E4D3">
      <w:pPr>
        <w:pStyle w:val="18"/>
        <w:numPr>
          <w:ilvl w:val="0"/>
          <w:numId w:val="10"/>
        </w:numPr>
        <w:ind w:firstLine="480"/>
        <w:rPr>
          <w:rFonts w:hint="default" w:ascii="Times New Roman" w:hAnsi="Times New Roman" w:cs="Times New Roman"/>
          <w:color w:val="auto"/>
          <w:sz w:val="24"/>
          <w:u w:val="none"/>
        </w:rPr>
      </w:pPr>
      <w:r>
        <w:rPr>
          <w:rFonts w:hint="default" w:ascii="Times New Roman" w:hAnsi="Times New Roman" w:cs="Times New Roman"/>
          <w:color w:val="auto"/>
          <w:sz w:val="24"/>
          <w:u w:val="none"/>
        </w:rPr>
        <w:t>污染途径</w:t>
      </w:r>
    </w:p>
    <w:p w14:paraId="52D366AC">
      <w:pPr>
        <w:keepNext w:val="0"/>
        <w:keepLines w:val="0"/>
        <w:widowControl/>
        <w:suppressLineNumbers w:val="0"/>
        <w:jc w:val="left"/>
        <w:rPr>
          <w:rFonts w:hint="default" w:ascii="Times New Roman" w:hAnsi="Times New Roman" w:cs="Times New Roman"/>
          <w:color w:val="auto"/>
          <w:u w:val="none"/>
        </w:rPr>
      </w:pPr>
      <w:r>
        <w:rPr>
          <w:rFonts w:hint="default" w:ascii="Times New Roman" w:hAnsi="Times New Roman" w:cs="Times New Roman"/>
          <w:color w:val="auto"/>
          <w:u w:val="none"/>
        </w:rPr>
        <w:t>本项目位于湖南城陵矶临港产业新区内，租赁标准厂房，根据项目工程分析，本项目主要生产废气为酸雾等，项目涉及的重金属镍不通过废气排放和沉降，对主导风向下风向的居民危害较小，以及对周边土壤污染较小，因此本次评价不考虑大气污染物沉降污染。</w:t>
      </w:r>
      <w:r>
        <w:rPr>
          <w:rFonts w:hint="default" w:ascii="Times New Roman" w:hAnsi="Times New Roman" w:cs="Times New Roman"/>
          <w:color w:val="auto"/>
          <w:u w:val="none"/>
          <w:lang w:val="en-US" w:eastAsia="zh-CN"/>
        </w:rPr>
        <w:t>本项目</w:t>
      </w:r>
      <w:r>
        <w:rPr>
          <w:rFonts w:hint="default" w:ascii="Times New Roman" w:hAnsi="Times New Roman" w:cs="Times New Roman"/>
          <w:color w:val="auto"/>
          <w:u w:val="none"/>
        </w:rPr>
        <w:t>污染物垂直入渗影响主要可能是污水处理站、生产车间、危化品库、危废暂存间，主要为含重金属的重点防渗区，本环评对重点防渗区提出了更严格的防渗要求，因此污染物</w:t>
      </w:r>
      <w:r>
        <w:rPr>
          <w:rFonts w:hint="default" w:ascii="Times New Roman" w:hAnsi="Times New Roman" w:eastAsia="宋体" w:cs="Times New Roman"/>
          <w:color w:val="auto"/>
          <w:kern w:val="0"/>
          <w:sz w:val="24"/>
          <w:szCs w:val="24"/>
          <w:u w:val="none"/>
          <w:lang w:val="en-US" w:eastAsia="zh-CN" w:bidi="ar"/>
        </w:rPr>
        <w:t xml:space="preserve">通过地面垂直入渗进入土壤的几率很小。 </w:t>
      </w:r>
    </w:p>
    <w:p w14:paraId="5094E670">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土壤环境保护措施与对策</w:t>
      </w:r>
    </w:p>
    <w:p w14:paraId="0046703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根据《环境影响评价技术导则 土壤环境》（HJ964-2018）、《工矿用地土壤环境管理办法（试行）》（部令第3号）等要求，拟建项目应采取如下土壤污染控制措施：</w:t>
      </w:r>
    </w:p>
    <w:p w14:paraId="032C63F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（1）源头控制措施</w:t>
      </w:r>
    </w:p>
    <w:p w14:paraId="36DB751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通过对设备及生产厂房、危险化学品仓库、危险废物暂存间、污水处理设施等加强管理，减少或避免非正常事故。大力推广闭路循环、清洁工艺，以减少污染物排放；控制污染物排放的数量和浓度， 使之符合排放标准和总量控制要求。</w:t>
      </w:r>
    </w:p>
    <w:p w14:paraId="04718FA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（2）过程防控措施</w:t>
      </w:r>
    </w:p>
    <w:p w14:paraId="442A3C4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严格按照防渗分区及防渗要求，对各构筑物采取相应的防渗措施；危险化学品仓库、污水收集管道及生产装置等存在土壤污染风险的设施，应当按照国家有关标准和规范的要求，设计、建设和安装有关防腐蚀、防泄漏设施，从而控制污染物通过垂直入渗影响土壤环境。</w:t>
      </w:r>
    </w:p>
    <w:p w14:paraId="4F94C44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建立土壤污染隐患排查治理制度，定期对重点区域、重点设施开展隐患排查。发现污染隐患的，应当制定整改方案，及时采取技术、管理措施消除隐患。隐患排查、治理情况应当如实记录并建立档案。</w:t>
      </w:r>
    </w:p>
    <w:p w14:paraId="27E17C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按照相关技术规范要求，自行或者委托第三方定期开展土壤监测，重点监测存在污染隐患的区域和设施周边的土壤、地下水，并按照规定公开相关信息。</w:t>
      </w:r>
    </w:p>
    <w:p w14:paraId="665962E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14:paraId="7562A11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（2）环境跟踪监测方案</w:t>
      </w:r>
    </w:p>
    <w:p w14:paraId="191E4F7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项目根据《环境影响评价技术导则 土壤环境》（HJ964-2018)，制定土壤环境跟踪监测计划，建立跟踪监测制度。</w:t>
      </w:r>
    </w:p>
    <w:p w14:paraId="67B07A0C">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结论</w:t>
      </w:r>
    </w:p>
    <w:p w14:paraId="314B4138">
      <w:pPr>
        <w:ind w:firstLine="476"/>
        <w:rPr>
          <w:rFonts w:hint="default" w:ascii="Times New Roman" w:hAnsi="Times New Roman" w:cs="Times New Roman"/>
          <w:color w:val="auto"/>
          <w:u w:val="none"/>
        </w:rPr>
      </w:pPr>
      <w:r>
        <w:rPr>
          <w:rFonts w:hint="default" w:ascii="Times New Roman" w:hAnsi="Times New Roman" w:cs="Times New Roman"/>
          <w:color w:val="auto"/>
          <w:spacing w:val="-1"/>
          <w:u w:val="none"/>
          <w:lang w:val="en-US" w:eastAsia="zh-CN"/>
        </w:rPr>
        <w:t>本项目</w:t>
      </w:r>
      <w:r>
        <w:rPr>
          <w:rFonts w:hint="default" w:ascii="Times New Roman" w:hAnsi="Times New Roman" w:cs="Times New Roman"/>
          <w:color w:val="auto"/>
          <w:spacing w:val="-5"/>
          <w:u w:val="none"/>
        </w:rPr>
        <w:t>在做好风险防范措施、落实跟踪监测制度的情</w:t>
      </w:r>
      <w:r>
        <w:rPr>
          <w:rFonts w:hint="default" w:ascii="Times New Roman" w:hAnsi="Times New Roman" w:cs="Times New Roman"/>
          <w:color w:val="auto"/>
          <w:u w:val="none"/>
        </w:rPr>
        <w:t>况下，本项目土壤影响在可接受范围。</w:t>
      </w:r>
    </w:p>
    <w:p w14:paraId="59A4BE32">
      <w:pPr>
        <w:pStyle w:val="4"/>
        <w:ind w:left="0" w:leftChars="0" w:firstLineChars="0"/>
        <w:rPr>
          <w:rFonts w:hint="default" w:ascii="Times New Roman" w:hAnsi="Times New Roman" w:cs="Times New Roman"/>
          <w:color w:val="auto"/>
          <w:u w:val="none"/>
        </w:rPr>
      </w:pPr>
      <w:bookmarkStart w:id="136" w:name="_Toc2602"/>
      <w:r>
        <w:rPr>
          <w:rFonts w:hint="default" w:ascii="Times New Roman" w:hAnsi="Times New Roman" w:cs="Times New Roman"/>
          <w:color w:val="auto"/>
          <w:u w:val="none"/>
        </w:rPr>
        <w:t>环境风险分析</w:t>
      </w:r>
      <w:bookmarkEnd w:id="136"/>
    </w:p>
    <w:p w14:paraId="02F206A6">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环境风险评价概述</w:t>
      </w:r>
    </w:p>
    <w:p w14:paraId="2924D4A2">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评价目的</w:t>
      </w:r>
    </w:p>
    <w:p w14:paraId="187E6823">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环境风险是指突发性事故对环境造成的危害程度及可能性，它具有危害性大、影响范围广等特点，同时风险发生又有很大的不确定性，倘若一旦发生，其破坏性极强，对生态环境会产生严重破坏。</w:t>
      </w:r>
    </w:p>
    <w:p w14:paraId="53E66ACF">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环境风险评价的目的是分析和预测建设项目存在的潜在危险、有害因素，建设项目建设和运行期间可能发生的突发性事件或事故，引起有毒有害和易燃易爆等物质的泄漏，所造成的人身安全与环境影响和损害程度，提出合理可行的防范、应急与减缓措施，以使建设项目事故率、损失和环境影响达到可接受的水平。</w:t>
      </w:r>
    </w:p>
    <w:p w14:paraId="3F15E089">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评价原则</w:t>
      </w:r>
    </w:p>
    <w:p w14:paraId="01C66131">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1C531737">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评价工作程序</w:t>
      </w:r>
    </w:p>
    <w:p w14:paraId="74C7F53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环境风险评价工作程序详见图6.3-1。</w:t>
      </w:r>
    </w:p>
    <w:p w14:paraId="03DCBB50">
      <w:pPr>
        <w:ind w:firstLine="480"/>
        <w:rPr>
          <w:rFonts w:hint="default" w:ascii="Times New Roman" w:hAnsi="Times New Roman" w:cs="Times New Roman"/>
          <w:color w:val="FF0000"/>
          <w:u w:val="none"/>
        </w:rPr>
      </w:pPr>
      <w:r>
        <w:rPr>
          <w:rFonts w:hint="default" w:ascii="Times New Roman" w:hAnsi="Times New Roman" w:cs="Times New Roman"/>
          <w:color w:val="FF0000"/>
          <w:u w:val="none"/>
        </w:rPr>
        <w:drawing>
          <wp:inline distT="0" distB="0" distL="114300" distR="114300">
            <wp:extent cx="4766310" cy="4883785"/>
            <wp:effectExtent l="0" t="0" r="15240" b="12065"/>
            <wp:docPr id="4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3"/>
                    <pic:cNvPicPr>
                      <a:picLocks noChangeAspect="1"/>
                    </pic:cNvPicPr>
                  </pic:nvPicPr>
                  <pic:blipFill>
                    <a:blip r:embed="rId46"/>
                    <a:stretch>
                      <a:fillRect/>
                    </a:stretch>
                  </pic:blipFill>
                  <pic:spPr>
                    <a:xfrm>
                      <a:off x="0" y="0"/>
                      <a:ext cx="4766310" cy="4883785"/>
                    </a:xfrm>
                    <a:prstGeom prst="rect">
                      <a:avLst/>
                    </a:prstGeom>
                    <a:noFill/>
                    <a:ln>
                      <a:noFill/>
                    </a:ln>
                  </pic:spPr>
                </pic:pic>
              </a:graphicData>
            </a:graphic>
          </wp:inline>
        </w:drawing>
      </w:r>
    </w:p>
    <w:p w14:paraId="72BD35DA">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lang w:val="zh-CN"/>
        </w:rPr>
        <w:t>图</w:t>
      </w:r>
      <w:r>
        <w:rPr>
          <w:rFonts w:hint="default" w:ascii="Times New Roman" w:hAnsi="Times New Roman" w:cs="Times New Roman"/>
          <w:b/>
          <w:bCs/>
          <w:color w:val="auto"/>
          <w:u w:val="none"/>
        </w:rPr>
        <w:t>6.3-1环境风险评价工作程序图</w:t>
      </w:r>
    </w:p>
    <w:p w14:paraId="2F83E438">
      <w:pPr>
        <w:pStyle w:val="5"/>
        <w:rPr>
          <w:rFonts w:hint="default" w:ascii="Times New Roman" w:hAnsi="Times New Roman" w:cs="Times New Roman"/>
          <w:color w:val="auto"/>
          <w:u w:val="none"/>
        </w:rPr>
      </w:pPr>
      <w:r>
        <w:rPr>
          <w:rFonts w:hint="default" w:ascii="Times New Roman" w:hAnsi="Times New Roman" w:cs="Times New Roman"/>
          <w:color w:val="auto"/>
          <w:u w:val="none"/>
        </w:rPr>
        <w:t>风险评价等级</w:t>
      </w:r>
    </w:p>
    <w:p w14:paraId="02A1C94D">
      <w:pPr>
        <w:pStyle w:val="6"/>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风险调查</w:t>
      </w:r>
    </w:p>
    <w:p w14:paraId="3080B725">
      <w:pPr>
        <w:ind w:firstLine="480"/>
        <w:rPr>
          <w:rFonts w:hint="default" w:ascii="Times New Roman" w:hAnsi="Times New Roman" w:cs="Times New Roman"/>
          <w:color w:val="auto"/>
          <w:kern w:val="0"/>
          <w:u w:val="none"/>
        </w:rPr>
      </w:pPr>
      <w:r>
        <w:rPr>
          <w:rFonts w:hint="default" w:ascii="Times New Roman" w:hAnsi="Times New Roman" w:cs="Times New Roman"/>
          <w:color w:val="auto"/>
          <w:kern w:val="0"/>
          <w:u w:val="none"/>
          <w:lang w:val="zh-CN"/>
        </w:rPr>
        <w:t>（</w:t>
      </w:r>
      <w:r>
        <w:rPr>
          <w:rFonts w:hint="default" w:ascii="Times New Roman" w:hAnsi="Times New Roman" w:cs="Times New Roman"/>
          <w:color w:val="auto"/>
          <w:kern w:val="0"/>
          <w:u w:val="none"/>
        </w:rPr>
        <w:t>1）项目风险源调查</w:t>
      </w:r>
    </w:p>
    <w:p w14:paraId="11AF71E3">
      <w:pPr>
        <w:autoSpaceDE w:val="0"/>
        <w:autoSpaceDN w:val="0"/>
        <w:adjustRightInd w:val="0"/>
        <w:ind w:firstLine="480"/>
        <w:jc w:val="left"/>
        <w:rPr>
          <w:rFonts w:hint="eastAsia" w:ascii="Times New Roman" w:hAnsi="Times New Roman" w:cs="Times New Roman"/>
          <w:color w:val="auto"/>
          <w:u w:val="none"/>
          <w:lang w:val="en-US" w:eastAsia="zh-CN"/>
        </w:rPr>
      </w:pPr>
      <w:r>
        <w:rPr>
          <w:rFonts w:hint="default" w:ascii="Times New Roman" w:hAnsi="Times New Roman" w:cs="Times New Roman"/>
          <w:color w:val="auto"/>
          <w:kern w:val="0"/>
          <w:u w:val="none"/>
        </w:rPr>
        <w:t>本项目生产过程中的主要物料、中间产品、最终产品等物质，依据《危险化学品名录》（2018版），及其物质本身的危险性、毒理性指标和毒性等级分类，并考虑其燃烧爆炸性，进行识别。</w:t>
      </w:r>
      <w:r>
        <w:rPr>
          <w:rFonts w:hint="default" w:ascii="Times New Roman" w:hAnsi="Times New Roman" w:cs="Times New Roman"/>
          <w:color w:val="auto"/>
          <w:u w:val="none"/>
        </w:rPr>
        <w:t>根据各物质的易燃易爆性、毒理性分析，项目主要危险物质为硫酸</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硝酸</w:t>
      </w:r>
    </w:p>
    <w:p w14:paraId="28BE1D7E">
      <w:pPr>
        <w:autoSpaceDE w:val="0"/>
        <w:autoSpaceDN w:val="0"/>
        <w:adjustRightInd w:val="0"/>
        <w:ind w:firstLine="480"/>
        <w:jc w:val="left"/>
        <w:rPr>
          <w:rFonts w:hint="default" w:ascii="Times New Roman" w:hAnsi="Times New Roman" w:cs="Times New Roman"/>
          <w:color w:val="auto"/>
          <w:u w:val="none"/>
        </w:rPr>
      </w:pPr>
      <w:r>
        <w:rPr>
          <w:rFonts w:hint="default" w:ascii="Times New Roman" w:hAnsi="Times New Roman" w:cs="Times New Roman"/>
          <w:color w:val="auto"/>
          <w:kern w:val="0"/>
          <w:u w:val="none"/>
        </w:rPr>
        <w:t>等</w:t>
      </w:r>
      <w:r>
        <w:rPr>
          <w:rFonts w:hint="default" w:ascii="Times New Roman" w:hAnsi="Times New Roman" w:cs="Times New Roman"/>
          <w:color w:val="auto"/>
          <w:u w:val="none"/>
        </w:rPr>
        <w:t>。其理化性质见表6.3-1。</w:t>
      </w:r>
    </w:p>
    <w:p w14:paraId="2A3F891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cs="Times New Roman"/>
          <w:b/>
          <w:bCs/>
          <w:color w:val="auto"/>
          <w:u w:val="none"/>
          <w:lang w:val="en-US" w:eastAsia="zh-CN"/>
        </w:rPr>
        <w:t xml:space="preserve">1 </w:t>
      </w:r>
      <w:r>
        <w:rPr>
          <w:rFonts w:hint="default" w:ascii="Times New Roman" w:hAnsi="Times New Roman" w:cs="Times New Roman"/>
          <w:b/>
          <w:bCs/>
          <w:color w:val="auto"/>
          <w:u w:val="none"/>
        </w:rPr>
        <w:t>硫酸理化性质一览表</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77"/>
        <w:gridCol w:w="1498"/>
        <w:gridCol w:w="807"/>
        <w:gridCol w:w="497"/>
        <w:gridCol w:w="1039"/>
        <w:gridCol w:w="78"/>
        <w:gridCol w:w="58"/>
        <w:gridCol w:w="1314"/>
        <w:gridCol w:w="242"/>
        <w:gridCol w:w="227"/>
        <w:gridCol w:w="137"/>
        <w:gridCol w:w="812"/>
        <w:gridCol w:w="707"/>
        <w:gridCol w:w="540"/>
      </w:tblGrid>
      <w:tr w14:paraId="50549C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7" w:type="pct"/>
            <w:vMerge w:val="restart"/>
            <w:tcBorders>
              <w:tl2br w:val="nil"/>
              <w:tr2bl w:val="nil"/>
            </w:tcBorders>
            <w:vAlign w:val="center"/>
          </w:tcPr>
          <w:p w14:paraId="7E986F7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标识</w:t>
            </w:r>
          </w:p>
        </w:tc>
        <w:tc>
          <w:tcPr>
            <w:tcW w:w="2304" w:type="pct"/>
            <w:gridSpan w:val="4"/>
            <w:tcBorders>
              <w:tl2br w:val="nil"/>
              <w:tr2bl w:val="nil"/>
            </w:tcBorders>
            <w:vAlign w:val="center"/>
          </w:tcPr>
          <w:p w14:paraId="4EF6F201">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英文名：Nitric acid</w:t>
            </w:r>
          </w:p>
        </w:tc>
        <w:tc>
          <w:tcPr>
            <w:tcW w:w="1151" w:type="pct"/>
            <w:gridSpan w:val="5"/>
            <w:tcBorders>
              <w:tl2br w:val="nil"/>
              <w:tr2bl w:val="nil"/>
            </w:tcBorders>
            <w:vAlign w:val="center"/>
          </w:tcPr>
          <w:p w14:paraId="215983DC">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分子式：HNO3</w:t>
            </w:r>
          </w:p>
        </w:tc>
        <w:tc>
          <w:tcPr>
            <w:tcW w:w="1316" w:type="pct"/>
            <w:gridSpan w:val="4"/>
            <w:tcBorders>
              <w:tl2br w:val="nil"/>
              <w:tr2bl w:val="nil"/>
            </w:tcBorders>
            <w:vAlign w:val="center"/>
          </w:tcPr>
          <w:p w14:paraId="6B1F1827">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分子量：63.01</w:t>
            </w:r>
          </w:p>
        </w:tc>
      </w:tr>
      <w:tr w14:paraId="55D184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7" w:type="pct"/>
            <w:vMerge w:val="continue"/>
            <w:tcBorders>
              <w:tl2br w:val="nil"/>
              <w:tr2bl w:val="nil"/>
            </w:tcBorders>
            <w:vAlign w:val="center"/>
          </w:tcPr>
          <w:p w14:paraId="36C1CEAA">
            <w:pPr>
              <w:pStyle w:val="41"/>
              <w:adjustRightInd w:val="0"/>
              <w:snapToGrid w:val="0"/>
              <w:rPr>
                <w:rFonts w:hint="default" w:ascii="Times New Roman" w:hAnsi="Times New Roman" w:cs="Times New Roman"/>
                <w:color w:val="auto"/>
                <w:u w:val="none"/>
              </w:rPr>
            </w:pPr>
          </w:p>
        </w:tc>
        <w:tc>
          <w:tcPr>
            <w:tcW w:w="2304" w:type="pct"/>
            <w:gridSpan w:val="4"/>
            <w:tcBorders>
              <w:tl2br w:val="nil"/>
              <w:tr2bl w:val="nil"/>
            </w:tcBorders>
            <w:vAlign w:val="center"/>
          </w:tcPr>
          <w:p w14:paraId="2E4C9E68">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国标编号：81002</w:t>
            </w:r>
          </w:p>
        </w:tc>
        <w:tc>
          <w:tcPr>
            <w:tcW w:w="1151" w:type="pct"/>
            <w:gridSpan w:val="5"/>
            <w:tcBorders>
              <w:tl2br w:val="nil"/>
              <w:tr2bl w:val="nil"/>
            </w:tcBorders>
            <w:vAlign w:val="center"/>
          </w:tcPr>
          <w:p w14:paraId="1C3D7ED0">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CAS号：7697-37-2</w:t>
            </w:r>
          </w:p>
        </w:tc>
        <w:tc>
          <w:tcPr>
            <w:tcW w:w="1316" w:type="pct"/>
            <w:gridSpan w:val="4"/>
            <w:tcBorders>
              <w:tl2br w:val="nil"/>
              <w:tr2bl w:val="nil"/>
            </w:tcBorders>
            <w:vAlign w:val="center"/>
          </w:tcPr>
          <w:p w14:paraId="2E69DD7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UN编号：</w:t>
            </w:r>
          </w:p>
        </w:tc>
      </w:tr>
      <w:tr w14:paraId="4255BE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27" w:type="pct"/>
            <w:vMerge w:val="restart"/>
            <w:tcBorders>
              <w:tl2br w:val="nil"/>
              <w:tr2bl w:val="nil"/>
            </w:tcBorders>
            <w:vAlign w:val="center"/>
          </w:tcPr>
          <w:p w14:paraId="4431357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理化性质</w:t>
            </w:r>
          </w:p>
        </w:tc>
        <w:tc>
          <w:tcPr>
            <w:tcW w:w="898" w:type="pct"/>
            <w:tcBorders>
              <w:tl2br w:val="nil"/>
              <w:tr2bl w:val="nil"/>
            </w:tcBorders>
            <w:vAlign w:val="center"/>
          </w:tcPr>
          <w:p w14:paraId="508ADE3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外观与性状</w:t>
            </w:r>
          </w:p>
        </w:tc>
        <w:tc>
          <w:tcPr>
            <w:tcW w:w="3873" w:type="pct"/>
            <w:gridSpan w:val="12"/>
            <w:tcBorders>
              <w:tl2br w:val="nil"/>
              <w:tr2bl w:val="nil"/>
            </w:tcBorders>
            <w:vAlign w:val="center"/>
          </w:tcPr>
          <w:p w14:paraId="3BC785A0">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纯品为无色透明发烟液体，有酸味</w:t>
            </w:r>
          </w:p>
        </w:tc>
      </w:tr>
      <w:tr w14:paraId="4DF5C0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7" w:type="pct"/>
            <w:vMerge w:val="continue"/>
            <w:tcBorders>
              <w:tl2br w:val="nil"/>
              <w:tr2bl w:val="nil"/>
            </w:tcBorders>
            <w:vAlign w:val="center"/>
          </w:tcPr>
          <w:p w14:paraId="4F4EB287">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07A5ABFF">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熔点（℃）</w:t>
            </w:r>
          </w:p>
        </w:tc>
        <w:tc>
          <w:tcPr>
            <w:tcW w:w="484" w:type="pct"/>
            <w:tcBorders>
              <w:tl2br w:val="nil"/>
              <w:tr2bl w:val="nil"/>
            </w:tcBorders>
            <w:vAlign w:val="center"/>
          </w:tcPr>
          <w:p w14:paraId="3DC6E195">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-42</w:t>
            </w:r>
          </w:p>
        </w:tc>
        <w:tc>
          <w:tcPr>
            <w:tcW w:w="968" w:type="pct"/>
            <w:gridSpan w:val="3"/>
            <w:tcBorders>
              <w:tl2br w:val="nil"/>
              <w:tr2bl w:val="nil"/>
            </w:tcBorders>
            <w:vAlign w:val="center"/>
          </w:tcPr>
          <w:p w14:paraId="1FCA8B3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相对密度（水=1）</w:t>
            </w:r>
          </w:p>
        </w:tc>
        <w:tc>
          <w:tcPr>
            <w:tcW w:w="968" w:type="pct"/>
            <w:gridSpan w:val="3"/>
            <w:tcBorders>
              <w:tl2br w:val="nil"/>
              <w:tr2bl w:val="nil"/>
            </w:tcBorders>
            <w:vAlign w:val="center"/>
          </w:tcPr>
          <w:p w14:paraId="57B0897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1.5</w:t>
            </w:r>
          </w:p>
        </w:tc>
        <w:tc>
          <w:tcPr>
            <w:tcW w:w="1129" w:type="pct"/>
            <w:gridSpan w:val="4"/>
            <w:tcBorders>
              <w:tl2br w:val="nil"/>
              <w:tr2bl w:val="nil"/>
            </w:tcBorders>
            <w:vAlign w:val="center"/>
          </w:tcPr>
          <w:p w14:paraId="4D97479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相对密度（空气=1）</w:t>
            </w:r>
          </w:p>
        </w:tc>
        <w:tc>
          <w:tcPr>
            <w:tcW w:w="323" w:type="pct"/>
            <w:tcBorders>
              <w:tl2br w:val="nil"/>
              <w:tr2bl w:val="nil"/>
            </w:tcBorders>
            <w:vAlign w:val="center"/>
          </w:tcPr>
          <w:p w14:paraId="25455913">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2.17</w:t>
            </w:r>
          </w:p>
        </w:tc>
      </w:tr>
      <w:tr w14:paraId="7C0F49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7" w:type="pct"/>
            <w:vMerge w:val="continue"/>
            <w:tcBorders>
              <w:tl2br w:val="nil"/>
              <w:tr2bl w:val="nil"/>
            </w:tcBorders>
            <w:vAlign w:val="center"/>
          </w:tcPr>
          <w:p w14:paraId="58CC5E8F">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413EB3A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沸点（℃）</w:t>
            </w:r>
          </w:p>
        </w:tc>
        <w:tc>
          <w:tcPr>
            <w:tcW w:w="484" w:type="pct"/>
            <w:tcBorders>
              <w:tl2br w:val="nil"/>
              <w:tr2bl w:val="nil"/>
            </w:tcBorders>
            <w:vAlign w:val="center"/>
          </w:tcPr>
          <w:p w14:paraId="3892098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86</w:t>
            </w:r>
          </w:p>
        </w:tc>
        <w:tc>
          <w:tcPr>
            <w:tcW w:w="968" w:type="pct"/>
            <w:gridSpan w:val="3"/>
            <w:tcBorders>
              <w:tl2br w:val="nil"/>
              <w:tr2bl w:val="nil"/>
            </w:tcBorders>
            <w:vAlign w:val="center"/>
          </w:tcPr>
          <w:p w14:paraId="4F28A1F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饱和蒸汽压</w:t>
            </w:r>
          </w:p>
        </w:tc>
        <w:tc>
          <w:tcPr>
            <w:tcW w:w="968" w:type="pct"/>
            <w:gridSpan w:val="3"/>
            <w:tcBorders>
              <w:tl2br w:val="nil"/>
              <w:tr2bl w:val="nil"/>
            </w:tcBorders>
            <w:vAlign w:val="center"/>
          </w:tcPr>
          <w:p w14:paraId="1E3A8C6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4.4kPa（20℃）</w:t>
            </w:r>
          </w:p>
        </w:tc>
        <w:tc>
          <w:tcPr>
            <w:tcW w:w="1129" w:type="pct"/>
            <w:gridSpan w:val="4"/>
            <w:tcBorders>
              <w:tl2br w:val="nil"/>
              <w:tr2bl w:val="nil"/>
            </w:tcBorders>
            <w:vAlign w:val="center"/>
          </w:tcPr>
          <w:p w14:paraId="024C64FB">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闪点（℃）</w:t>
            </w:r>
          </w:p>
        </w:tc>
        <w:tc>
          <w:tcPr>
            <w:tcW w:w="323" w:type="pct"/>
            <w:tcBorders>
              <w:tl2br w:val="nil"/>
              <w:tr2bl w:val="nil"/>
            </w:tcBorders>
            <w:vAlign w:val="center"/>
          </w:tcPr>
          <w:p w14:paraId="026F9ADC">
            <w:pPr>
              <w:pStyle w:val="41"/>
              <w:adjustRightInd w:val="0"/>
              <w:snapToGrid w:val="0"/>
              <w:rPr>
                <w:rFonts w:hint="default" w:ascii="Times New Roman" w:hAnsi="Times New Roman" w:cs="Times New Roman"/>
                <w:color w:val="auto"/>
                <w:u w:val="none"/>
              </w:rPr>
            </w:pPr>
          </w:p>
        </w:tc>
      </w:tr>
      <w:tr w14:paraId="7DA793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7" w:type="pct"/>
            <w:vMerge w:val="continue"/>
            <w:tcBorders>
              <w:tl2br w:val="nil"/>
              <w:tr2bl w:val="nil"/>
            </w:tcBorders>
            <w:vAlign w:val="center"/>
          </w:tcPr>
          <w:p w14:paraId="568D85C5">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4ABCF47F">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溶解性</w:t>
            </w:r>
          </w:p>
        </w:tc>
        <w:tc>
          <w:tcPr>
            <w:tcW w:w="3873" w:type="pct"/>
            <w:gridSpan w:val="12"/>
            <w:tcBorders>
              <w:tl2br w:val="nil"/>
              <w:tr2bl w:val="nil"/>
            </w:tcBorders>
            <w:vAlign w:val="center"/>
          </w:tcPr>
          <w:p w14:paraId="2E208D1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与水混溶</w:t>
            </w:r>
          </w:p>
        </w:tc>
      </w:tr>
      <w:tr w14:paraId="06F30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7" w:type="pct"/>
            <w:vMerge w:val="restart"/>
            <w:tcBorders>
              <w:tl2br w:val="nil"/>
              <w:tr2bl w:val="nil"/>
            </w:tcBorders>
            <w:vAlign w:val="center"/>
          </w:tcPr>
          <w:p w14:paraId="1BCC94C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毒性及健康危害</w:t>
            </w:r>
          </w:p>
        </w:tc>
        <w:tc>
          <w:tcPr>
            <w:tcW w:w="898" w:type="pct"/>
            <w:tcBorders>
              <w:tl2br w:val="nil"/>
              <w:tr2bl w:val="nil"/>
            </w:tcBorders>
            <w:vAlign w:val="center"/>
          </w:tcPr>
          <w:p w14:paraId="3B0FCE5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侵入途径</w:t>
            </w:r>
          </w:p>
        </w:tc>
        <w:tc>
          <w:tcPr>
            <w:tcW w:w="3873" w:type="pct"/>
            <w:gridSpan w:val="12"/>
            <w:tcBorders>
              <w:tl2br w:val="nil"/>
              <w:tr2bl w:val="nil"/>
            </w:tcBorders>
            <w:vAlign w:val="center"/>
          </w:tcPr>
          <w:p w14:paraId="47DDDC63">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吸入、食入</w:t>
            </w:r>
          </w:p>
        </w:tc>
      </w:tr>
      <w:tr w14:paraId="39576A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7" w:type="pct"/>
            <w:vMerge w:val="continue"/>
            <w:tcBorders>
              <w:tl2br w:val="nil"/>
              <w:tr2bl w:val="nil"/>
            </w:tcBorders>
            <w:vAlign w:val="center"/>
          </w:tcPr>
          <w:p w14:paraId="0656F09E">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40281DBF">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毒性</w:t>
            </w:r>
          </w:p>
        </w:tc>
        <w:tc>
          <w:tcPr>
            <w:tcW w:w="3873" w:type="pct"/>
            <w:gridSpan w:val="12"/>
            <w:tcBorders>
              <w:tl2br w:val="nil"/>
              <w:tr2bl w:val="nil"/>
            </w:tcBorders>
            <w:vAlign w:val="center"/>
          </w:tcPr>
          <w:p w14:paraId="600E1DC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高毒类</w:t>
            </w:r>
          </w:p>
        </w:tc>
      </w:tr>
      <w:tr w14:paraId="4B320D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227" w:type="pct"/>
            <w:vMerge w:val="continue"/>
            <w:tcBorders>
              <w:tl2br w:val="nil"/>
              <w:tr2bl w:val="nil"/>
            </w:tcBorders>
            <w:vAlign w:val="center"/>
          </w:tcPr>
          <w:p w14:paraId="05370463">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58FEB89B">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健康危害</w:t>
            </w:r>
          </w:p>
        </w:tc>
        <w:tc>
          <w:tcPr>
            <w:tcW w:w="3873" w:type="pct"/>
            <w:gridSpan w:val="12"/>
            <w:tcBorders>
              <w:tl2br w:val="nil"/>
              <w:tr2bl w:val="nil"/>
            </w:tcBorders>
            <w:vAlign w:val="center"/>
          </w:tcPr>
          <w:p w14:paraId="204636D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r>
      <w:tr w14:paraId="57F91C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227" w:type="pct"/>
            <w:vMerge w:val="restart"/>
            <w:tcBorders>
              <w:tl2br w:val="nil"/>
              <w:tr2bl w:val="nil"/>
            </w:tcBorders>
            <w:vAlign w:val="center"/>
          </w:tcPr>
          <w:p w14:paraId="6B318A00">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燃烧爆炸危险性</w:t>
            </w:r>
          </w:p>
        </w:tc>
        <w:tc>
          <w:tcPr>
            <w:tcW w:w="898" w:type="pct"/>
            <w:tcBorders>
              <w:tl2br w:val="nil"/>
              <w:tr2bl w:val="nil"/>
            </w:tcBorders>
            <w:vAlign w:val="center"/>
          </w:tcPr>
          <w:p w14:paraId="4F015E8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燃烧性</w:t>
            </w:r>
          </w:p>
        </w:tc>
        <w:tc>
          <w:tcPr>
            <w:tcW w:w="1487" w:type="pct"/>
            <w:gridSpan w:val="5"/>
            <w:tcBorders>
              <w:tl2br w:val="nil"/>
              <w:tr2bl w:val="nil"/>
            </w:tcBorders>
            <w:vAlign w:val="center"/>
          </w:tcPr>
          <w:p w14:paraId="39F77A2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151" w:type="pct"/>
            <w:gridSpan w:val="4"/>
            <w:tcBorders>
              <w:tl2br w:val="nil"/>
              <w:tr2bl w:val="nil"/>
            </w:tcBorders>
            <w:vAlign w:val="center"/>
          </w:tcPr>
          <w:p w14:paraId="4E68C2A5">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燃烧分解物</w:t>
            </w:r>
          </w:p>
        </w:tc>
        <w:tc>
          <w:tcPr>
            <w:tcW w:w="1234" w:type="pct"/>
            <w:gridSpan w:val="3"/>
            <w:tcBorders>
              <w:tl2br w:val="nil"/>
              <w:tr2bl w:val="nil"/>
            </w:tcBorders>
            <w:vAlign w:val="center"/>
          </w:tcPr>
          <w:p w14:paraId="03D4AAE1">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氧化氮</w:t>
            </w:r>
          </w:p>
        </w:tc>
      </w:tr>
      <w:tr w14:paraId="2B56D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27" w:type="pct"/>
            <w:vMerge w:val="continue"/>
            <w:tcBorders>
              <w:tl2br w:val="nil"/>
              <w:tr2bl w:val="nil"/>
            </w:tcBorders>
            <w:vAlign w:val="center"/>
          </w:tcPr>
          <w:p w14:paraId="0AC34B4D">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15D46B27">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危险特性</w:t>
            </w:r>
          </w:p>
        </w:tc>
        <w:tc>
          <w:tcPr>
            <w:tcW w:w="3873" w:type="pct"/>
            <w:gridSpan w:val="12"/>
            <w:tcBorders>
              <w:tl2br w:val="nil"/>
              <w:tr2bl w:val="nil"/>
            </w:tcBorders>
            <w:vAlign w:val="center"/>
          </w:tcPr>
          <w:p w14:paraId="44E5063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具有强氧化性。与易燃物(如苯)和有机物(如糖、纤维素等)接触会发生剧烈反应，甚至引起燃烧。与碱金属能发生剧烈反应。具有强腐蚀性。</w:t>
            </w:r>
          </w:p>
        </w:tc>
      </w:tr>
      <w:tr w14:paraId="0C92F0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7" w:type="pct"/>
            <w:vMerge w:val="continue"/>
            <w:tcBorders>
              <w:tl2br w:val="nil"/>
              <w:tr2bl w:val="nil"/>
            </w:tcBorders>
            <w:vAlign w:val="center"/>
          </w:tcPr>
          <w:p w14:paraId="11F328D8">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504B41B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建规火险分级</w:t>
            </w:r>
          </w:p>
        </w:tc>
        <w:tc>
          <w:tcPr>
            <w:tcW w:w="782" w:type="pct"/>
            <w:gridSpan w:val="2"/>
            <w:tcBorders>
              <w:tl2br w:val="nil"/>
              <w:tr2bl w:val="nil"/>
            </w:tcBorders>
            <w:vAlign w:val="center"/>
          </w:tcPr>
          <w:p w14:paraId="1EBD0124">
            <w:pPr>
              <w:pStyle w:val="41"/>
              <w:adjustRightInd w:val="0"/>
              <w:snapToGrid w:val="0"/>
              <w:rPr>
                <w:rFonts w:hint="default" w:ascii="Times New Roman" w:hAnsi="Times New Roman" w:cs="Times New Roman"/>
                <w:color w:val="auto"/>
                <w:u w:val="none"/>
              </w:rPr>
            </w:pPr>
          </w:p>
        </w:tc>
        <w:tc>
          <w:tcPr>
            <w:tcW w:w="705" w:type="pct"/>
            <w:gridSpan w:val="3"/>
            <w:tcBorders>
              <w:tl2br w:val="nil"/>
              <w:tr2bl w:val="nil"/>
            </w:tcBorders>
            <w:vAlign w:val="center"/>
          </w:tcPr>
          <w:p w14:paraId="5C6D4DB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稳定性</w:t>
            </w:r>
          </w:p>
        </w:tc>
        <w:tc>
          <w:tcPr>
            <w:tcW w:w="788" w:type="pct"/>
            <w:tcBorders>
              <w:tl2br w:val="nil"/>
              <w:tr2bl w:val="nil"/>
            </w:tcBorders>
            <w:vAlign w:val="center"/>
          </w:tcPr>
          <w:p w14:paraId="671877A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稳定</w:t>
            </w:r>
          </w:p>
        </w:tc>
        <w:tc>
          <w:tcPr>
            <w:tcW w:w="850" w:type="pct"/>
            <w:gridSpan w:val="4"/>
            <w:tcBorders>
              <w:tl2br w:val="nil"/>
              <w:tr2bl w:val="nil"/>
            </w:tcBorders>
            <w:vAlign w:val="center"/>
          </w:tcPr>
          <w:p w14:paraId="179A3D01">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聚合危害</w:t>
            </w:r>
          </w:p>
        </w:tc>
        <w:tc>
          <w:tcPr>
            <w:tcW w:w="746" w:type="pct"/>
            <w:gridSpan w:val="2"/>
            <w:tcBorders>
              <w:tl2br w:val="nil"/>
              <w:tr2bl w:val="nil"/>
            </w:tcBorders>
            <w:vAlign w:val="center"/>
          </w:tcPr>
          <w:p w14:paraId="68CB3821">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不聚合</w:t>
            </w:r>
          </w:p>
        </w:tc>
      </w:tr>
      <w:tr w14:paraId="0A9E2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27" w:type="pct"/>
            <w:vMerge w:val="continue"/>
            <w:tcBorders>
              <w:tl2br w:val="nil"/>
              <w:tr2bl w:val="nil"/>
            </w:tcBorders>
            <w:vAlign w:val="center"/>
          </w:tcPr>
          <w:p w14:paraId="65FA5E55">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69E0F874">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泄漏处理</w:t>
            </w:r>
          </w:p>
        </w:tc>
        <w:tc>
          <w:tcPr>
            <w:tcW w:w="3873" w:type="pct"/>
            <w:gridSpan w:val="12"/>
            <w:tcBorders>
              <w:tl2br w:val="nil"/>
              <w:tr2bl w:val="nil"/>
            </w:tcBorders>
            <w:vAlign w:val="center"/>
          </w:tcPr>
          <w:p w14:paraId="5602299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疏散泄漏污染区人员至安全区，禁止无关人员进入污染区，建议应急处理人员戴好防毒面具，穿化学防护服。不要直接接触泄漏物，勿使泄漏物与可燃物质(木材、纸、油等)接触，在确保安全情况下堵漏。喷水雾能减少蒸发但不要使水进入储存容器内。将地面洒上苏打灰，然后收集运至废物处理场所处置。也可以用大量水冲洗，经稀释的洗水放入废水系统。如大量泄漏，利用围堤收容，然后收集、转移、回收或无害处理后废弃。</w:t>
            </w:r>
          </w:p>
        </w:tc>
      </w:tr>
      <w:tr w14:paraId="45FEF6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27" w:type="pct"/>
            <w:vMerge w:val="continue"/>
            <w:tcBorders>
              <w:tl2br w:val="nil"/>
              <w:tr2bl w:val="nil"/>
            </w:tcBorders>
            <w:vAlign w:val="center"/>
          </w:tcPr>
          <w:p w14:paraId="05BF4C7F">
            <w:pPr>
              <w:pStyle w:val="41"/>
              <w:adjustRightInd w:val="0"/>
              <w:snapToGrid w:val="0"/>
              <w:rPr>
                <w:rFonts w:hint="default" w:ascii="Times New Roman" w:hAnsi="Times New Roman" w:cs="Times New Roman"/>
                <w:color w:val="auto"/>
                <w:u w:val="none"/>
              </w:rPr>
            </w:pPr>
          </w:p>
        </w:tc>
        <w:tc>
          <w:tcPr>
            <w:tcW w:w="898" w:type="pct"/>
            <w:tcBorders>
              <w:tl2br w:val="nil"/>
              <w:tr2bl w:val="nil"/>
            </w:tcBorders>
            <w:vAlign w:val="center"/>
          </w:tcPr>
          <w:p w14:paraId="067C0B22">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灭火方法</w:t>
            </w:r>
          </w:p>
        </w:tc>
        <w:tc>
          <w:tcPr>
            <w:tcW w:w="3873" w:type="pct"/>
            <w:gridSpan w:val="12"/>
            <w:tcBorders>
              <w:tl2br w:val="nil"/>
              <w:tr2bl w:val="nil"/>
            </w:tcBorders>
            <w:vAlign w:val="center"/>
          </w:tcPr>
          <w:p w14:paraId="1740443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二氧化碳、砂土、雾状水、火场周围可用的灭火介质。</w:t>
            </w:r>
          </w:p>
        </w:tc>
      </w:tr>
      <w:tr w14:paraId="2676DF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26" w:type="pct"/>
            <w:gridSpan w:val="2"/>
            <w:tcBorders>
              <w:tl2br w:val="nil"/>
              <w:tr2bl w:val="nil"/>
            </w:tcBorders>
            <w:vAlign w:val="center"/>
          </w:tcPr>
          <w:p w14:paraId="5183AAD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防护措施</w:t>
            </w:r>
          </w:p>
        </w:tc>
        <w:tc>
          <w:tcPr>
            <w:tcW w:w="3873" w:type="pct"/>
            <w:gridSpan w:val="12"/>
            <w:tcBorders>
              <w:tl2br w:val="nil"/>
              <w:tr2bl w:val="nil"/>
            </w:tcBorders>
            <w:vAlign w:val="center"/>
          </w:tcPr>
          <w:p w14:paraId="53FB2149">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呼吸系统防护：可能接触其蒸气或烟雾时，必须佩戴防毒面具或供气式头盔。紧急事态抢救或逃生时，建议佩带自给式呼吸器。眼睛防护：戴化学安全防护眼镜。防护服：穿工作服(防腐材料制作)。手防护：戴橡皮手套。其它：工作后，淋浴更衣。单独存放被毒物污染的衣服，洗后再用。保持良好的卫生习惯。</w:t>
            </w:r>
          </w:p>
        </w:tc>
      </w:tr>
      <w:tr w14:paraId="08170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6" w:type="pct"/>
            <w:gridSpan w:val="2"/>
            <w:tcBorders>
              <w:tl2br w:val="nil"/>
              <w:tr2bl w:val="nil"/>
            </w:tcBorders>
            <w:vAlign w:val="center"/>
          </w:tcPr>
          <w:p w14:paraId="39240BA5">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急救措施</w:t>
            </w:r>
          </w:p>
        </w:tc>
        <w:tc>
          <w:tcPr>
            <w:tcW w:w="3873" w:type="pct"/>
            <w:gridSpan w:val="12"/>
            <w:tcBorders>
              <w:tl2br w:val="nil"/>
              <w:tr2bl w:val="nil"/>
            </w:tcBorders>
            <w:vAlign w:val="center"/>
          </w:tcPr>
          <w:p w14:paraId="2A31EDDF">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皮肤接触：立即用水冲洗至少15分钟。或用2%碳酸氢钠溶液冲洗。若有灼伤，就医治疗。眼睛接触：立即提起眼睑，用流动清水或生理盐水冲洗至少15分钟。就医。吸入：迅速脱离现场至空气新鲜处。呼吸困难时给输氧。给予2-4%碳酸氢钠溶液雾化吸入。就医。食入：误服者给牛奶、蛋清、植物油等口服，不可催吐。立即就医。</w:t>
            </w:r>
          </w:p>
        </w:tc>
      </w:tr>
    </w:tbl>
    <w:p w14:paraId="5A292FB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表6.3-2</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硝酸理化性质一览表</w:t>
      </w:r>
    </w:p>
    <w:tbl>
      <w:tblPr>
        <w:tblStyle w:val="30"/>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74"/>
        <w:gridCol w:w="1499"/>
        <w:gridCol w:w="807"/>
        <w:gridCol w:w="497"/>
        <w:gridCol w:w="1040"/>
        <w:gridCol w:w="77"/>
        <w:gridCol w:w="58"/>
        <w:gridCol w:w="1314"/>
        <w:gridCol w:w="242"/>
        <w:gridCol w:w="228"/>
        <w:gridCol w:w="135"/>
        <w:gridCol w:w="812"/>
        <w:gridCol w:w="707"/>
        <w:gridCol w:w="543"/>
      </w:tblGrid>
      <w:tr w14:paraId="20B714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5" w:type="pct"/>
            <w:vMerge w:val="restart"/>
            <w:tcBorders>
              <w:tl2br w:val="nil"/>
              <w:tr2bl w:val="nil"/>
            </w:tcBorders>
            <w:vAlign w:val="top"/>
          </w:tcPr>
          <w:p w14:paraId="4FB1C38E">
            <w:pPr>
              <w:pStyle w:val="56"/>
              <w:rPr>
                <w:b w:val="0"/>
              </w:rPr>
            </w:pPr>
            <w:r>
              <w:rPr>
                <w:b w:val="0"/>
              </w:rPr>
              <w:t>标识</w:t>
            </w:r>
          </w:p>
        </w:tc>
        <w:tc>
          <w:tcPr>
            <w:tcW w:w="2305" w:type="pct"/>
            <w:gridSpan w:val="4"/>
            <w:tcBorders>
              <w:tl2br w:val="nil"/>
              <w:tr2bl w:val="nil"/>
            </w:tcBorders>
            <w:vAlign w:val="top"/>
          </w:tcPr>
          <w:p w14:paraId="734A5EBC">
            <w:pPr>
              <w:pStyle w:val="56"/>
              <w:rPr>
                <w:b w:val="0"/>
              </w:rPr>
            </w:pPr>
            <w:r>
              <w:rPr>
                <w:b w:val="0"/>
              </w:rPr>
              <w:t>英文名：Nitric acid</w:t>
            </w:r>
          </w:p>
        </w:tc>
        <w:tc>
          <w:tcPr>
            <w:tcW w:w="1151" w:type="pct"/>
            <w:gridSpan w:val="5"/>
            <w:tcBorders>
              <w:tl2br w:val="nil"/>
              <w:tr2bl w:val="nil"/>
            </w:tcBorders>
            <w:vAlign w:val="top"/>
          </w:tcPr>
          <w:p w14:paraId="0475621D">
            <w:pPr>
              <w:pStyle w:val="56"/>
              <w:rPr>
                <w:b w:val="0"/>
              </w:rPr>
            </w:pPr>
            <w:r>
              <w:rPr>
                <w:b w:val="0"/>
              </w:rPr>
              <w:t>分子式：HNO3</w:t>
            </w:r>
          </w:p>
        </w:tc>
        <w:tc>
          <w:tcPr>
            <w:tcW w:w="1317" w:type="pct"/>
            <w:gridSpan w:val="4"/>
            <w:tcBorders>
              <w:tl2br w:val="nil"/>
              <w:tr2bl w:val="nil"/>
            </w:tcBorders>
            <w:vAlign w:val="top"/>
          </w:tcPr>
          <w:p w14:paraId="50D56F3D">
            <w:pPr>
              <w:pStyle w:val="56"/>
              <w:rPr>
                <w:b w:val="0"/>
              </w:rPr>
            </w:pPr>
            <w:r>
              <w:rPr>
                <w:b w:val="0"/>
              </w:rPr>
              <w:t>分子量：63.01</w:t>
            </w:r>
          </w:p>
        </w:tc>
      </w:tr>
      <w:tr w14:paraId="548D83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5" w:type="pct"/>
            <w:vMerge w:val="continue"/>
            <w:tcBorders>
              <w:tl2br w:val="nil"/>
              <w:tr2bl w:val="nil"/>
            </w:tcBorders>
            <w:vAlign w:val="top"/>
          </w:tcPr>
          <w:p w14:paraId="7A854EC9">
            <w:pPr>
              <w:pStyle w:val="41"/>
              <w:adjustRightInd w:val="0"/>
              <w:snapToGrid w:val="0"/>
            </w:pPr>
          </w:p>
        </w:tc>
        <w:tc>
          <w:tcPr>
            <w:tcW w:w="2305" w:type="pct"/>
            <w:gridSpan w:val="4"/>
            <w:tcBorders>
              <w:tl2br w:val="nil"/>
              <w:tr2bl w:val="nil"/>
            </w:tcBorders>
            <w:vAlign w:val="top"/>
          </w:tcPr>
          <w:p w14:paraId="7D781B7F">
            <w:pPr>
              <w:pStyle w:val="41"/>
              <w:adjustRightInd w:val="0"/>
              <w:snapToGrid w:val="0"/>
            </w:pPr>
            <w:r>
              <w:t>国标编号：81002</w:t>
            </w:r>
          </w:p>
        </w:tc>
        <w:tc>
          <w:tcPr>
            <w:tcW w:w="1151" w:type="pct"/>
            <w:gridSpan w:val="5"/>
            <w:tcBorders>
              <w:tl2br w:val="nil"/>
              <w:tr2bl w:val="nil"/>
            </w:tcBorders>
            <w:vAlign w:val="top"/>
          </w:tcPr>
          <w:p w14:paraId="08087BE4">
            <w:pPr>
              <w:pStyle w:val="41"/>
              <w:adjustRightInd w:val="0"/>
              <w:snapToGrid w:val="0"/>
            </w:pPr>
            <w:r>
              <w:t>CAS号：7697-37-2</w:t>
            </w:r>
          </w:p>
        </w:tc>
        <w:tc>
          <w:tcPr>
            <w:tcW w:w="1317" w:type="pct"/>
            <w:gridSpan w:val="4"/>
            <w:tcBorders>
              <w:tl2br w:val="nil"/>
              <w:tr2bl w:val="nil"/>
            </w:tcBorders>
            <w:vAlign w:val="top"/>
          </w:tcPr>
          <w:p w14:paraId="7C51EC3A">
            <w:pPr>
              <w:pStyle w:val="41"/>
              <w:adjustRightInd w:val="0"/>
              <w:snapToGrid w:val="0"/>
            </w:pPr>
            <w:r>
              <w:t>UN编号：</w:t>
            </w:r>
          </w:p>
        </w:tc>
      </w:tr>
      <w:tr w14:paraId="742AD8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225" w:type="pct"/>
            <w:vMerge w:val="restart"/>
            <w:tcBorders>
              <w:tl2br w:val="nil"/>
              <w:tr2bl w:val="nil"/>
            </w:tcBorders>
            <w:vAlign w:val="top"/>
          </w:tcPr>
          <w:p w14:paraId="46D7D011">
            <w:pPr>
              <w:pStyle w:val="41"/>
              <w:adjustRightInd w:val="0"/>
              <w:snapToGrid w:val="0"/>
            </w:pPr>
            <w:r>
              <w:t>理化性质</w:t>
            </w:r>
          </w:p>
        </w:tc>
        <w:tc>
          <w:tcPr>
            <w:tcW w:w="899" w:type="pct"/>
            <w:tcBorders>
              <w:tl2br w:val="nil"/>
              <w:tr2bl w:val="nil"/>
            </w:tcBorders>
            <w:vAlign w:val="top"/>
          </w:tcPr>
          <w:p w14:paraId="75DF9205">
            <w:pPr>
              <w:pStyle w:val="41"/>
              <w:adjustRightInd w:val="0"/>
              <w:snapToGrid w:val="0"/>
            </w:pPr>
            <w:r>
              <w:t>外观与性状</w:t>
            </w:r>
          </w:p>
        </w:tc>
        <w:tc>
          <w:tcPr>
            <w:tcW w:w="3875" w:type="pct"/>
            <w:gridSpan w:val="12"/>
            <w:tcBorders>
              <w:tl2br w:val="nil"/>
              <w:tr2bl w:val="nil"/>
            </w:tcBorders>
            <w:vAlign w:val="top"/>
          </w:tcPr>
          <w:p w14:paraId="4808A55E">
            <w:pPr>
              <w:pStyle w:val="41"/>
              <w:adjustRightInd w:val="0"/>
              <w:snapToGrid w:val="0"/>
            </w:pPr>
            <w:r>
              <w:t>纯品为无色透明发烟液体，有酸味</w:t>
            </w:r>
          </w:p>
        </w:tc>
      </w:tr>
      <w:tr w14:paraId="67D7C9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5" w:type="pct"/>
            <w:vMerge w:val="continue"/>
            <w:tcBorders>
              <w:tl2br w:val="nil"/>
              <w:tr2bl w:val="nil"/>
            </w:tcBorders>
            <w:vAlign w:val="top"/>
          </w:tcPr>
          <w:p w14:paraId="25D065DA">
            <w:pPr>
              <w:pStyle w:val="41"/>
              <w:adjustRightInd w:val="0"/>
              <w:snapToGrid w:val="0"/>
            </w:pPr>
          </w:p>
        </w:tc>
        <w:tc>
          <w:tcPr>
            <w:tcW w:w="899" w:type="pct"/>
            <w:tcBorders>
              <w:tl2br w:val="nil"/>
              <w:tr2bl w:val="nil"/>
            </w:tcBorders>
            <w:vAlign w:val="top"/>
          </w:tcPr>
          <w:p w14:paraId="65C30F66">
            <w:pPr>
              <w:pStyle w:val="41"/>
              <w:adjustRightInd w:val="0"/>
              <w:snapToGrid w:val="0"/>
            </w:pPr>
            <w:r>
              <w:t>熔点（℃）</w:t>
            </w:r>
          </w:p>
        </w:tc>
        <w:tc>
          <w:tcPr>
            <w:tcW w:w="484" w:type="pct"/>
            <w:tcBorders>
              <w:tl2br w:val="nil"/>
              <w:tr2bl w:val="nil"/>
            </w:tcBorders>
            <w:vAlign w:val="top"/>
          </w:tcPr>
          <w:p w14:paraId="789648A7">
            <w:pPr>
              <w:pStyle w:val="41"/>
              <w:adjustRightInd w:val="0"/>
              <w:snapToGrid w:val="0"/>
            </w:pPr>
            <w:r>
              <w:t>-42</w:t>
            </w:r>
          </w:p>
        </w:tc>
        <w:tc>
          <w:tcPr>
            <w:tcW w:w="968" w:type="pct"/>
            <w:gridSpan w:val="3"/>
            <w:tcBorders>
              <w:tl2br w:val="nil"/>
              <w:tr2bl w:val="nil"/>
            </w:tcBorders>
            <w:vAlign w:val="top"/>
          </w:tcPr>
          <w:p w14:paraId="2A187BA7">
            <w:pPr>
              <w:pStyle w:val="41"/>
              <w:adjustRightInd w:val="0"/>
              <w:snapToGrid w:val="0"/>
            </w:pPr>
            <w:r>
              <w:t>相对密度（水=1）</w:t>
            </w:r>
          </w:p>
        </w:tc>
        <w:tc>
          <w:tcPr>
            <w:tcW w:w="968" w:type="pct"/>
            <w:gridSpan w:val="3"/>
            <w:tcBorders>
              <w:tl2br w:val="nil"/>
              <w:tr2bl w:val="nil"/>
            </w:tcBorders>
            <w:vAlign w:val="top"/>
          </w:tcPr>
          <w:p w14:paraId="4386865F">
            <w:pPr>
              <w:pStyle w:val="41"/>
              <w:adjustRightInd w:val="0"/>
              <w:snapToGrid w:val="0"/>
            </w:pPr>
            <w:r>
              <w:t>1.5</w:t>
            </w:r>
          </w:p>
        </w:tc>
        <w:tc>
          <w:tcPr>
            <w:tcW w:w="1129" w:type="pct"/>
            <w:gridSpan w:val="4"/>
            <w:tcBorders>
              <w:tl2br w:val="nil"/>
              <w:tr2bl w:val="nil"/>
            </w:tcBorders>
            <w:vAlign w:val="top"/>
          </w:tcPr>
          <w:p w14:paraId="18474C41">
            <w:pPr>
              <w:pStyle w:val="41"/>
              <w:adjustRightInd w:val="0"/>
              <w:snapToGrid w:val="0"/>
            </w:pPr>
            <w:r>
              <w:t>相对密度（空气=1）</w:t>
            </w:r>
          </w:p>
        </w:tc>
        <w:tc>
          <w:tcPr>
            <w:tcW w:w="324" w:type="pct"/>
            <w:tcBorders>
              <w:tl2br w:val="nil"/>
              <w:tr2bl w:val="nil"/>
            </w:tcBorders>
            <w:vAlign w:val="top"/>
          </w:tcPr>
          <w:p w14:paraId="31BE7A7E">
            <w:pPr>
              <w:pStyle w:val="41"/>
              <w:adjustRightInd w:val="0"/>
              <w:snapToGrid w:val="0"/>
            </w:pPr>
            <w:r>
              <w:t>2.17</w:t>
            </w:r>
          </w:p>
        </w:tc>
      </w:tr>
      <w:tr w14:paraId="1376EB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5" w:type="pct"/>
            <w:vMerge w:val="continue"/>
            <w:tcBorders>
              <w:tl2br w:val="nil"/>
              <w:tr2bl w:val="nil"/>
            </w:tcBorders>
            <w:vAlign w:val="top"/>
          </w:tcPr>
          <w:p w14:paraId="465D2ECC">
            <w:pPr>
              <w:pStyle w:val="41"/>
              <w:adjustRightInd w:val="0"/>
              <w:snapToGrid w:val="0"/>
            </w:pPr>
          </w:p>
        </w:tc>
        <w:tc>
          <w:tcPr>
            <w:tcW w:w="899" w:type="pct"/>
            <w:tcBorders>
              <w:tl2br w:val="nil"/>
              <w:tr2bl w:val="nil"/>
            </w:tcBorders>
            <w:vAlign w:val="top"/>
          </w:tcPr>
          <w:p w14:paraId="7ACE3BF4">
            <w:pPr>
              <w:pStyle w:val="41"/>
              <w:adjustRightInd w:val="0"/>
              <w:snapToGrid w:val="0"/>
            </w:pPr>
            <w:r>
              <w:t>沸点（℃）</w:t>
            </w:r>
          </w:p>
        </w:tc>
        <w:tc>
          <w:tcPr>
            <w:tcW w:w="484" w:type="pct"/>
            <w:tcBorders>
              <w:tl2br w:val="nil"/>
              <w:tr2bl w:val="nil"/>
            </w:tcBorders>
            <w:vAlign w:val="top"/>
          </w:tcPr>
          <w:p w14:paraId="75F6A912">
            <w:pPr>
              <w:pStyle w:val="41"/>
              <w:adjustRightInd w:val="0"/>
              <w:snapToGrid w:val="0"/>
            </w:pPr>
            <w:r>
              <w:t>86</w:t>
            </w:r>
          </w:p>
        </w:tc>
        <w:tc>
          <w:tcPr>
            <w:tcW w:w="968" w:type="pct"/>
            <w:gridSpan w:val="3"/>
            <w:tcBorders>
              <w:tl2br w:val="nil"/>
              <w:tr2bl w:val="nil"/>
            </w:tcBorders>
            <w:vAlign w:val="top"/>
          </w:tcPr>
          <w:p w14:paraId="25F70E52">
            <w:pPr>
              <w:pStyle w:val="41"/>
              <w:adjustRightInd w:val="0"/>
              <w:snapToGrid w:val="0"/>
            </w:pPr>
            <w:r>
              <w:t>饱和蒸汽压</w:t>
            </w:r>
          </w:p>
        </w:tc>
        <w:tc>
          <w:tcPr>
            <w:tcW w:w="968" w:type="pct"/>
            <w:gridSpan w:val="3"/>
            <w:tcBorders>
              <w:tl2br w:val="nil"/>
              <w:tr2bl w:val="nil"/>
            </w:tcBorders>
            <w:vAlign w:val="top"/>
          </w:tcPr>
          <w:p w14:paraId="3E2975CF">
            <w:pPr>
              <w:pStyle w:val="41"/>
              <w:adjustRightInd w:val="0"/>
              <w:snapToGrid w:val="0"/>
            </w:pPr>
            <w:r>
              <w:t>4.4kPa（20℃）</w:t>
            </w:r>
          </w:p>
        </w:tc>
        <w:tc>
          <w:tcPr>
            <w:tcW w:w="1129" w:type="pct"/>
            <w:gridSpan w:val="4"/>
            <w:tcBorders>
              <w:tl2br w:val="nil"/>
              <w:tr2bl w:val="nil"/>
            </w:tcBorders>
            <w:vAlign w:val="top"/>
          </w:tcPr>
          <w:p w14:paraId="57D1A3F1">
            <w:pPr>
              <w:pStyle w:val="41"/>
              <w:adjustRightInd w:val="0"/>
              <w:snapToGrid w:val="0"/>
            </w:pPr>
            <w:r>
              <w:t>闪点（℃）</w:t>
            </w:r>
          </w:p>
        </w:tc>
        <w:tc>
          <w:tcPr>
            <w:tcW w:w="324" w:type="pct"/>
            <w:tcBorders>
              <w:tl2br w:val="nil"/>
              <w:tr2bl w:val="nil"/>
            </w:tcBorders>
            <w:vAlign w:val="top"/>
          </w:tcPr>
          <w:p w14:paraId="0FFDE7EB">
            <w:pPr>
              <w:pStyle w:val="41"/>
              <w:adjustRightInd w:val="0"/>
              <w:snapToGrid w:val="0"/>
            </w:pPr>
          </w:p>
        </w:tc>
      </w:tr>
      <w:tr w14:paraId="4A16A6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5" w:type="pct"/>
            <w:vMerge w:val="continue"/>
            <w:tcBorders>
              <w:tl2br w:val="nil"/>
              <w:tr2bl w:val="nil"/>
            </w:tcBorders>
            <w:vAlign w:val="top"/>
          </w:tcPr>
          <w:p w14:paraId="040D16EC">
            <w:pPr>
              <w:pStyle w:val="41"/>
              <w:adjustRightInd w:val="0"/>
              <w:snapToGrid w:val="0"/>
            </w:pPr>
          </w:p>
        </w:tc>
        <w:tc>
          <w:tcPr>
            <w:tcW w:w="899" w:type="pct"/>
            <w:tcBorders>
              <w:tl2br w:val="nil"/>
              <w:tr2bl w:val="nil"/>
            </w:tcBorders>
            <w:vAlign w:val="top"/>
          </w:tcPr>
          <w:p w14:paraId="3CD6FE05">
            <w:pPr>
              <w:pStyle w:val="41"/>
              <w:adjustRightInd w:val="0"/>
              <w:snapToGrid w:val="0"/>
            </w:pPr>
            <w:r>
              <w:t>溶解性</w:t>
            </w:r>
          </w:p>
        </w:tc>
        <w:tc>
          <w:tcPr>
            <w:tcW w:w="3875" w:type="pct"/>
            <w:gridSpan w:val="12"/>
            <w:tcBorders>
              <w:tl2br w:val="nil"/>
              <w:tr2bl w:val="nil"/>
            </w:tcBorders>
            <w:vAlign w:val="top"/>
          </w:tcPr>
          <w:p w14:paraId="07BDDF5B">
            <w:pPr>
              <w:pStyle w:val="41"/>
              <w:adjustRightInd w:val="0"/>
              <w:snapToGrid w:val="0"/>
            </w:pPr>
            <w:r>
              <w:t>与水混溶</w:t>
            </w:r>
          </w:p>
        </w:tc>
      </w:tr>
      <w:tr w14:paraId="43ACB8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5" w:type="pct"/>
            <w:vMerge w:val="restart"/>
            <w:tcBorders>
              <w:tl2br w:val="nil"/>
              <w:tr2bl w:val="nil"/>
            </w:tcBorders>
            <w:vAlign w:val="top"/>
          </w:tcPr>
          <w:p w14:paraId="78DA5B3B">
            <w:pPr>
              <w:pStyle w:val="41"/>
              <w:adjustRightInd w:val="0"/>
              <w:snapToGrid w:val="0"/>
            </w:pPr>
            <w:r>
              <w:t>毒性及健康危害</w:t>
            </w:r>
          </w:p>
        </w:tc>
        <w:tc>
          <w:tcPr>
            <w:tcW w:w="899" w:type="pct"/>
            <w:tcBorders>
              <w:tl2br w:val="nil"/>
              <w:tr2bl w:val="nil"/>
            </w:tcBorders>
            <w:vAlign w:val="top"/>
          </w:tcPr>
          <w:p w14:paraId="7DDA0A7E">
            <w:pPr>
              <w:pStyle w:val="41"/>
              <w:adjustRightInd w:val="0"/>
              <w:snapToGrid w:val="0"/>
            </w:pPr>
            <w:r>
              <w:t>侵入途径</w:t>
            </w:r>
          </w:p>
        </w:tc>
        <w:tc>
          <w:tcPr>
            <w:tcW w:w="3875" w:type="pct"/>
            <w:gridSpan w:val="12"/>
            <w:tcBorders>
              <w:tl2br w:val="nil"/>
              <w:tr2bl w:val="nil"/>
            </w:tcBorders>
            <w:vAlign w:val="top"/>
          </w:tcPr>
          <w:p w14:paraId="70E8232B">
            <w:pPr>
              <w:pStyle w:val="41"/>
              <w:adjustRightInd w:val="0"/>
              <w:snapToGrid w:val="0"/>
            </w:pPr>
            <w:r>
              <w:t>吸入、食入</w:t>
            </w:r>
          </w:p>
        </w:tc>
      </w:tr>
      <w:tr w14:paraId="4C15A1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25" w:type="pct"/>
            <w:vMerge w:val="continue"/>
            <w:tcBorders>
              <w:tl2br w:val="nil"/>
              <w:tr2bl w:val="nil"/>
            </w:tcBorders>
            <w:vAlign w:val="top"/>
          </w:tcPr>
          <w:p w14:paraId="6168605F">
            <w:pPr>
              <w:pStyle w:val="41"/>
              <w:adjustRightInd w:val="0"/>
              <w:snapToGrid w:val="0"/>
            </w:pPr>
          </w:p>
        </w:tc>
        <w:tc>
          <w:tcPr>
            <w:tcW w:w="899" w:type="pct"/>
            <w:tcBorders>
              <w:tl2br w:val="nil"/>
              <w:tr2bl w:val="nil"/>
            </w:tcBorders>
            <w:vAlign w:val="top"/>
          </w:tcPr>
          <w:p w14:paraId="103E30DD">
            <w:pPr>
              <w:pStyle w:val="41"/>
              <w:adjustRightInd w:val="0"/>
              <w:snapToGrid w:val="0"/>
            </w:pPr>
            <w:r>
              <w:t>毒性</w:t>
            </w:r>
          </w:p>
        </w:tc>
        <w:tc>
          <w:tcPr>
            <w:tcW w:w="3875" w:type="pct"/>
            <w:gridSpan w:val="12"/>
            <w:tcBorders>
              <w:tl2br w:val="nil"/>
              <w:tr2bl w:val="nil"/>
            </w:tcBorders>
            <w:vAlign w:val="top"/>
          </w:tcPr>
          <w:p w14:paraId="026610EB">
            <w:pPr>
              <w:pStyle w:val="41"/>
              <w:adjustRightInd w:val="0"/>
              <w:snapToGrid w:val="0"/>
            </w:pPr>
            <w:r>
              <w:t>高毒类</w:t>
            </w:r>
          </w:p>
        </w:tc>
      </w:tr>
      <w:tr w14:paraId="5EC85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225" w:type="pct"/>
            <w:vMerge w:val="continue"/>
            <w:tcBorders>
              <w:tl2br w:val="nil"/>
              <w:tr2bl w:val="nil"/>
            </w:tcBorders>
            <w:vAlign w:val="top"/>
          </w:tcPr>
          <w:p w14:paraId="69F7E5E8">
            <w:pPr>
              <w:pStyle w:val="41"/>
              <w:adjustRightInd w:val="0"/>
              <w:snapToGrid w:val="0"/>
            </w:pPr>
          </w:p>
        </w:tc>
        <w:tc>
          <w:tcPr>
            <w:tcW w:w="899" w:type="pct"/>
            <w:tcBorders>
              <w:tl2br w:val="nil"/>
              <w:tr2bl w:val="nil"/>
            </w:tcBorders>
            <w:vAlign w:val="top"/>
          </w:tcPr>
          <w:p w14:paraId="46001A0A">
            <w:pPr>
              <w:pStyle w:val="41"/>
              <w:adjustRightInd w:val="0"/>
              <w:snapToGrid w:val="0"/>
            </w:pPr>
            <w:r>
              <w:t>健康危害</w:t>
            </w:r>
          </w:p>
        </w:tc>
        <w:tc>
          <w:tcPr>
            <w:tcW w:w="3875" w:type="pct"/>
            <w:gridSpan w:val="12"/>
            <w:tcBorders>
              <w:tl2br w:val="nil"/>
              <w:tr2bl w:val="nil"/>
            </w:tcBorders>
            <w:vAlign w:val="top"/>
          </w:tcPr>
          <w:p w14:paraId="683FCF1C">
            <w:pPr>
              <w:pStyle w:val="41"/>
              <w:adjustRightInd w:val="0"/>
              <w:snapToGrid w:val="0"/>
            </w:pPr>
            <w: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r>
      <w:tr w14:paraId="5A39F6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225" w:type="pct"/>
            <w:vMerge w:val="restart"/>
            <w:tcBorders>
              <w:tl2br w:val="nil"/>
              <w:tr2bl w:val="nil"/>
            </w:tcBorders>
            <w:vAlign w:val="top"/>
          </w:tcPr>
          <w:p w14:paraId="6BBC6468">
            <w:pPr>
              <w:pStyle w:val="41"/>
              <w:adjustRightInd w:val="0"/>
              <w:snapToGrid w:val="0"/>
            </w:pPr>
            <w:r>
              <w:t>燃烧爆炸危险性</w:t>
            </w:r>
          </w:p>
        </w:tc>
        <w:tc>
          <w:tcPr>
            <w:tcW w:w="899" w:type="pct"/>
            <w:tcBorders>
              <w:tl2br w:val="nil"/>
              <w:tr2bl w:val="nil"/>
            </w:tcBorders>
            <w:vAlign w:val="top"/>
          </w:tcPr>
          <w:p w14:paraId="1A6E54F5">
            <w:pPr>
              <w:pStyle w:val="41"/>
              <w:adjustRightInd w:val="0"/>
              <w:snapToGrid w:val="0"/>
            </w:pPr>
            <w:r>
              <w:t>燃烧性</w:t>
            </w:r>
          </w:p>
        </w:tc>
        <w:tc>
          <w:tcPr>
            <w:tcW w:w="1487" w:type="pct"/>
            <w:gridSpan w:val="5"/>
            <w:tcBorders>
              <w:tl2br w:val="nil"/>
              <w:tr2bl w:val="nil"/>
            </w:tcBorders>
            <w:vAlign w:val="top"/>
          </w:tcPr>
          <w:p w14:paraId="4FB771A8">
            <w:pPr>
              <w:pStyle w:val="41"/>
              <w:adjustRightInd w:val="0"/>
              <w:snapToGrid w:val="0"/>
            </w:pPr>
            <w:r>
              <w:t>/</w:t>
            </w:r>
          </w:p>
        </w:tc>
        <w:tc>
          <w:tcPr>
            <w:tcW w:w="1151" w:type="pct"/>
            <w:gridSpan w:val="4"/>
            <w:tcBorders>
              <w:tl2br w:val="nil"/>
              <w:tr2bl w:val="nil"/>
            </w:tcBorders>
            <w:vAlign w:val="top"/>
          </w:tcPr>
          <w:p w14:paraId="535C45CB">
            <w:pPr>
              <w:pStyle w:val="41"/>
              <w:adjustRightInd w:val="0"/>
              <w:snapToGrid w:val="0"/>
            </w:pPr>
            <w:r>
              <w:t>燃烧分解物</w:t>
            </w:r>
          </w:p>
        </w:tc>
        <w:tc>
          <w:tcPr>
            <w:tcW w:w="1235" w:type="pct"/>
            <w:gridSpan w:val="3"/>
            <w:tcBorders>
              <w:tl2br w:val="nil"/>
              <w:tr2bl w:val="nil"/>
            </w:tcBorders>
            <w:vAlign w:val="top"/>
          </w:tcPr>
          <w:p w14:paraId="2E9B41BB">
            <w:pPr>
              <w:pStyle w:val="41"/>
              <w:adjustRightInd w:val="0"/>
              <w:snapToGrid w:val="0"/>
            </w:pPr>
            <w:r>
              <w:t>氧化氮</w:t>
            </w:r>
          </w:p>
        </w:tc>
      </w:tr>
      <w:tr w14:paraId="2216E5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225" w:type="pct"/>
            <w:vMerge w:val="continue"/>
            <w:tcBorders>
              <w:tl2br w:val="nil"/>
              <w:tr2bl w:val="nil"/>
            </w:tcBorders>
            <w:vAlign w:val="top"/>
          </w:tcPr>
          <w:p w14:paraId="3F88A10C">
            <w:pPr>
              <w:pStyle w:val="41"/>
              <w:adjustRightInd w:val="0"/>
              <w:snapToGrid w:val="0"/>
            </w:pPr>
          </w:p>
        </w:tc>
        <w:tc>
          <w:tcPr>
            <w:tcW w:w="899" w:type="pct"/>
            <w:tcBorders>
              <w:tl2br w:val="nil"/>
              <w:tr2bl w:val="nil"/>
            </w:tcBorders>
            <w:vAlign w:val="top"/>
          </w:tcPr>
          <w:p w14:paraId="3B10B2A0">
            <w:pPr>
              <w:pStyle w:val="41"/>
              <w:adjustRightInd w:val="0"/>
              <w:snapToGrid w:val="0"/>
            </w:pPr>
            <w:r>
              <w:t>危险特性</w:t>
            </w:r>
          </w:p>
        </w:tc>
        <w:tc>
          <w:tcPr>
            <w:tcW w:w="3875" w:type="pct"/>
            <w:gridSpan w:val="12"/>
            <w:tcBorders>
              <w:tl2br w:val="nil"/>
              <w:tr2bl w:val="nil"/>
            </w:tcBorders>
            <w:vAlign w:val="top"/>
          </w:tcPr>
          <w:p w14:paraId="706643C0">
            <w:pPr>
              <w:pStyle w:val="41"/>
              <w:adjustRightInd w:val="0"/>
              <w:snapToGrid w:val="0"/>
            </w:pPr>
            <w:r>
              <w:t>具有强氧化性。与易燃物(如苯)和有机物(如糖、纤维素等)接触会发生剧烈反应，甚至引起燃烧。与碱金属能发生剧烈反应。具有强腐蚀性。</w:t>
            </w:r>
          </w:p>
        </w:tc>
      </w:tr>
      <w:tr w14:paraId="4CB0C2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5" w:type="pct"/>
            <w:vMerge w:val="continue"/>
            <w:tcBorders>
              <w:tl2br w:val="nil"/>
              <w:tr2bl w:val="nil"/>
            </w:tcBorders>
            <w:vAlign w:val="top"/>
          </w:tcPr>
          <w:p w14:paraId="56DD42E0">
            <w:pPr>
              <w:pStyle w:val="41"/>
              <w:adjustRightInd w:val="0"/>
              <w:snapToGrid w:val="0"/>
            </w:pPr>
          </w:p>
        </w:tc>
        <w:tc>
          <w:tcPr>
            <w:tcW w:w="899" w:type="pct"/>
            <w:tcBorders>
              <w:tl2br w:val="nil"/>
              <w:tr2bl w:val="nil"/>
            </w:tcBorders>
            <w:vAlign w:val="top"/>
          </w:tcPr>
          <w:p w14:paraId="17335CFD">
            <w:pPr>
              <w:pStyle w:val="41"/>
              <w:adjustRightInd w:val="0"/>
              <w:snapToGrid w:val="0"/>
            </w:pPr>
            <w:r>
              <w:t>建规火险分级</w:t>
            </w:r>
          </w:p>
        </w:tc>
        <w:tc>
          <w:tcPr>
            <w:tcW w:w="782" w:type="pct"/>
            <w:gridSpan w:val="2"/>
            <w:tcBorders>
              <w:tl2br w:val="nil"/>
              <w:tr2bl w:val="nil"/>
            </w:tcBorders>
            <w:vAlign w:val="top"/>
          </w:tcPr>
          <w:p w14:paraId="278C9B7D">
            <w:pPr>
              <w:pStyle w:val="41"/>
              <w:adjustRightInd w:val="0"/>
              <w:snapToGrid w:val="0"/>
            </w:pPr>
          </w:p>
        </w:tc>
        <w:tc>
          <w:tcPr>
            <w:tcW w:w="705" w:type="pct"/>
            <w:gridSpan w:val="3"/>
            <w:tcBorders>
              <w:tl2br w:val="nil"/>
              <w:tr2bl w:val="nil"/>
            </w:tcBorders>
            <w:vAlign w:val="top"/>
          </w:tcPr>
          <w:p w14:paraId="47778A93">
            <w:pPr>
              <w:pStyle w:val="41"/>
              <w:adjustRightInd w:val="0"/>
              <w:snapToGrid w:val="0"/>
            </w:pPr>
            <w:r>
              <w:t>稳定性</w:t>
            </w:r>
          </w:p>
        </w:tc>
        <w:tc>
          <w:tcPr>
            <w:tcW w:w="788" w:type="pct"/>
            <w:tcBorders>
              <w:tl2br w:val="nil"/>
              <w:tr2bl w:val="nil"/>
            </w:tcBorders>
            <w:vAlign w:val="top"/>
          </w:tcPr>
          <w:p w14:paraId="2DC173A6">
            <w:pPr>
              <w:pStyle w:val="41"/>
              <w:adjustRightInd w:val="0"/>
              <w:snapToGrid w:val="0"/>
            </w:pPr>
            <w:r>
              <w:t>稳定</w:t>
            </w:r>
          </w:p>
        </w:tc>
        <w:tc>
          <w:tcPr>
            <w:tcW w:w="850" w:type="pct"/>
            <w:gridSpan w:val="4"/>
            <w:tcBorders>
              <w:tl2br w:val="nil"/>
              <w:tr2bl w:val="nil"/>
            </w:tcBorders>
            <w:vAlign w:val="top"/>
          </w:tcPr>
          <w:p w14:paraId="2478850E">
            <w:pPr>
              <w:pStyle w:val="41"/>
              <w:adjustRightInd w:val="0"/>
              <w:snapToGrid w:val="0"/>
            </w:pPr>
            <w:r>
              <w:t>聚合危害</w:t>
            </w:r>
          </w:p>
        </w:tc>
        <w:tc>
          <w:tcPr>
            <w:tcW w:w="748" w:type="pct"/>
            <w:gridSpan w:val="2"/>
            <w:tcBorders>
              <w:tl2br w:val="nil"/>
              <w:tr2bl w:val="nil"/>
            </w:tcBorders>
            <w:vAlign w:val="top"/>
          </w:tcPr>
          <w:p w14:paraId="7755653D">
            <w:pPr>
              <w:pStyle w:val="41"/>
              <w:adjustRightInd w:val="0"/>
              <w:snapToGrid w:val="0"/>
            </w:pPr>
            <w:r>
              <w:t>不聚合</w:t>
            </w:r>
          </w:p>
        </w:tc>
      </w:tr>
      <w:tr w14:paraId="27863A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225" w:type="pct"/>
            <w:vMerge w:val="continue"/>
            <w:tcBorders>
              <w:tl2br w:val="nil"/>
              <w:tr2bl w:val="nil"/>
            </w:tcBorders>
            <w:vAlign w:val="top"/>
          </w:tcPr>
          <w:p w14:paraId="1CABA121">
            <w:pPr>
              <w:pStyle w:val="41"/>
              <w:adjustRightInd w:val="0"/>
              <w:snapToGrid w:val="0"/>
            </w:pPr>
          </w:p>
        </w:tc>
        <w:tc>
          <w:tcPr>
            <w:tcW w:w="899" w:type="pct"/>
            <w:tcBorders>
              <w:tl2br w:val="nil"/>
              <w:tr2bl w:val="nil"/>
            </w:tcBorders>
            <w:vAlign w:val="top"/>
          </w:tcPr>
          <w:p w14:paraId="7B62F671">
            <w:pPr>
              <w:pStyle w:val="41"/>
              <w:adjustRightInd w:val="0"/>
              <w:snapToGrid w:val="0"/>
            </w:pPr>
            <w:r>
              <w:t>泄漏处理</w:t>
            </w:r>
          </w:p>
        </w:tc>
        <w:tc>
          <w:tcPr>
            <w:tcW w:w="3875" w:type="pct"/>
            <w:gridSpan w:val="12"/>
            <w:tcBorders>
              <w:tl2br w:val="nil"/>
              <w:tr2bl w:val="nil"/>
            </w:tcBorders>
            <w:vAlign w:val="top"/>
          </w:tcPr>
          <w:p w14:paraId="025281F1">
            <w:pPr>
              <w:pStyle w:val="41"/>
              <w:adjustRightInd w:val="0"/>
              <w:snapToGrid w:val="0"/>
            </w:pPr>
            <w:r>
              <w:t>疏散泄漏污染区人员至安全区，禁止无关人员进入污染区，建议应急处理人员戴好防毒面具，穿化学防护服。不要直接接触泄漏物，勿使泄漏物与可燃物质(木材、纸、油等)接触，在确保安全情况下堵漏。喷水雾能减少蒸发但不要使水进入储存容器内。将地面洒上苏打灰，然后收集运至废物处理场所处置。也可以用大量水冲洗，经稀释的洗水放入废水系统。如大量泄漏，利用围堤收容，然后收集、转移、回收或无害处理后废弃。</w:t>
            </w:r>
          </w:p>
        </w:tc>
      </w:tr>
      <w:tr w14:paraId="23A8DF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225" w:type="pct"/>
            <w:vMerge w:val="continue"/>
            <w:tcBorders>
              <w:tl2br w:val="nil"/>
              <w:tr2bl w:val="nil"/>
            </w:tcBorders>
            <w:vAlign w:val="top"/>
          </w:tcPr>
          <w:p w14:paraId="7230E3F7">
            <w:pPr>
              <w:pStyle w:val="41"/>
              <w:adjustRightInd w:val="0"/>
              <w:snapToGrid w:val="0"/>
            </w:pPr>
          </w:p>
        </w:tc>
        <w:tc>
          <w:tcPr>
            <w:tcW w:w="899" w:type="pct"/>
            <w:tcBorders>
              <w:tl2br w:val="nil"/>
              <w:tr2bl w:val="nil"/>
            </w:tcBorders>
            <w:vAlign w:val="top"/>
          </w:tcPr>
          <w:p w14:paraId="7637C837">
            <w:pPr>
              <w:pStyle w:val="41"/>
              <w:adjustRightInd w:val="0"/>
              <w:snapToGrid w:val="0"/>
            </w:pPr>
            <w:r>
              <w:t>灭火方法</w:t>
            </w:r>
          </w:p>
        </w:tc>
        <w:tc>
          <w:tcPr>
            <w:tcW w:w="3875" w:type="pct"/>
            <w:gridSpan w:val="12"/>
            <w:tcBorders>
              <w:tl2br w:val="nil"/>
              <w:tr2bl w:val="nil"/>
            </w:tcBorders>
            <w:vAlign w:val="top"/>
          </w:tcPr>
          <w:p w14:paraId="11CEF3EA">
            <w:pPr>
              <w:pStyle w:val="41"/>
              <w:adjustRightInd w:val="0"/>
              <w:snapToGrid w:val="0"/>
            </w:pPr>
            <w:r>
              <w:t>二氧化碳、砂土、雾状水、火场周围可用的灭火介质。</w:t>
            </w:r>
          </w:p>
        </w:tc>
      </w:tr>
      <w:tr w14:paraId="159B3D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24" w:type="pct"/>
            <w:gridSpan w:val="2"/>
            <w:tcBorders>
              <w:tl2br w:val="nil"/>
              <w:tr2bl w:val="nil"/>
            </w:tcBorders>
            <w:vAlign w:val="top"/>
          </w:tcPr>
          <w:p w14:paraId="67D5D8B4">
            <w:pPr>
              <w:pStyle w:val="41"/>
              <w:adjustRightInd w:val="0"/>
              <w:snapToGrid w:val="0"/>
            </w:pPr>
            <w:r>
              <w:t>防护措施</w:t>
            </w:r>
          </w:p>
        </w:tc>
        <w:tc>
          <w:tcPr>
            <w:tcW w:w="3875" w:type="pct"/>
            <w:gridSpan w:val="12"/>
            <w:tcBorders>
              <w:tl2br w:val="nil"/>
              <w:tr2bl w:val="nil"/>
            </w:tcBorders>
            <w:vAlign w:val="top"/>
          </w:tcPr>
          <w:p w14:paraId="6C16C1F8">
            <w:pPr>
              <w:pStyle w:val="41"/>
              <w:adjustRightInd w:val="0"/>
              <w:snapToGrid w:val="0"/>
              <w:jc w:val="left"/>
            </w:pPr>
            <w:r>
              <w:t>呼吸系统防护：可能接触其蒸气或烟雾时，必须佩戴防毒面具或供气式头盔。紧急事态抢救或逃生时，建议佩带自给式呼吸器。眼睛防护：戴化学安全防护眼镜。防护服：穿工作服(防腐材料制作)。手防护：戴橡皮手套。其它：工作后，淋浴更衣。单独存放被毒物污染的衣服，洗后再用。保持良好的卫生习惯。</w:t>
            </w:r>
          </w:p>
        </w:tc>
      </w:tr>
      <w:tr w14:paraId="3D2B22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4" w:type="pct"/>
            <w:gridSpan w:val="2"/>
            <w:tcBorders>
              <w:tl2br w:val="nil"/>
              <w:tr2bl w:val="nil"/>
            </w:tcBorders>
            <w:vAlign w:val="top"/>
          </w:tcPr>
          <w:p w14:paraId="2DEDAD3F">
            <w:pPr>
              <w:pStyle w:val="41"/>
              <w:adjustRightInd w:val="0"/>
              <w:snapToGrid w:val="0"/>
            </w:pPr>
            <w:r>
              <w:t>急救措施</w:t>
            </w:r>
          </w:p>
        </w:tc>
        <w:tc>
          <w:tcPr>
            <w:tcW w:w="3875" w:type="pct"/>
            <w:gridSpan w:val="12"/>
            <w:tcBorders>
              <w:tl2br w:val="nil"/>
              <w:tr2bl w:val="nil"/>
            </w:tcBorders>
            <w:vAlign w:val="top"/>
          </w:tcPr>
          <w:p w14:paraId="4FB101F8">
            <w:pPr>
              <w:pStyle w:val="41"/>
              <w:adjustRightInd w:val="0"/>
              <w:snapToGrid w:val="0"/>
              <w:jc w:val="left"/>
            </w:pPr>
            <w:r>
              <w:t>皮肤接触：立即用水冲洗至少15分钟。或用2%碳酸氢钠溶液冲洗。若有灼伤，就医治疗。眼睛接触：立即提起眼睑，用流动清水或生理盐水冲洗至少15分钟。就医。吸入：迅速脱离现场至空气新鲜处。呼吸困难时给输氧。给予2-4%碳酸氢钠溶液雾化吸入。就医。食入：误服者给牛奶、蛋清、植物油等口服，不可催吐。立即就医。</w:t>
            </w:r>
          </w:p>
        </w:tc>
      </w:tr>
    </w:tbl>
    <w:p w14:paraId="4AD1B668">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环境风险潜势初判</w:t>
      </w:r>
    </w:p>
    <w:p w14:paraId="1B713DB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1、Q值的确定</w:t>
      </w:r>
    </w:p>
    <w:p w14:paraId="28F14F2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 169-2018）中环境风险潜势的确定步骤，首先计算项目危险物质与其临界量的比值Q。</w:t>
      </w:r>
    </w:p>
    <w:p w14:paraId="698CF6C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当只涉及一种危险物质时，计算该物质的总量与其临界量比值，即为Q；当存在多种危险物质时，则按式(C.1)计算物质总量与其临界量比值（Q）：</w:t>
      </w:r>
    </w:p>
    <w:p w14:paraId="27130431">
      <w:pPr>
        <w:ind w:firstLine="480"/>
        <w:jc w:val="center"/>
        <w:rPr>
          <w:rFonts w:hint="default" w:ascii="Times New Roman" w:hAnsi="Times New Roman" w:cs="Times New Roman"/>
          <w:color w:val="auto"/>
          <w:u w:val="none"/>
        </w:rPr>
      </w:pPr>
      <w:r>
        <w:rPr>
          <w:rFonts w:hint="default" w:ascii="Times New Roman" w:hAnsi="Times New Roman" w:cs="Times New Roman"/>
          <w:color w:val="auto"/>
          <w:u w:val="none"/>
        </w:rPr>
        <w:drawing>
          <wp:inline distT="0" distB="0" distL="114300" distR="114300">
            <wp:extent cx="3488055" cy="397510"/>
            <wp:effectExtent l="0" t="0" r="17145" b="2540"/>
            <wp:docPr id="50"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4"/>
                    <pic:cNvPicPr>
                      <a:picLocks noChangeAspect="1"/>
                    </pic:cNvPicPr>
                  </pic:nvPicPr>
                  <pic:blipFill>
                    <a:blip r:embed="rId47"/>
                    <a:srcRect t="12470" b="12470"/>
                    <a:stretch>
                      <a:fillRect/>
                    </a:stretch>
                  </pic:blipFill>
                  <pic:spPr>
                    <a:xfrm>
                      <a:off x="0" y="0"/>
                      <a:ext cx="3488055" cy="397510"/>
                    </a:xfrm>
                    <a:prstGeom prst="rect">
                      <a:avLst/>
                    </a:prstGeom>
                    <a:noFill/>
                    <a:ln>
                      <a:noFill/>
                    </a:ln>
                  </pic:spPr>
                </pic:pic>
              </a:graphicData>
            </a:graphic>
          </wp:inline>
        </w:drawing>
      </w:r>
    </w:p>
    <w:p w14:paraId="517BC20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式中：q</w:t>
      </w:r>
      <w:r>
        <w:rPr>
          <w:rFonts w:hint="default" w:ascii="Times New Roman" w:hAnsi="Times New Roman" w:cs="Times New Roman"/>
          <w:color w:val="auto"/>
          <w:u w:val="none"/>
          <w:vertAlign w:val="subscript"/>
        </w:rPr>
        <w:t>1</w:t>
      </w:r>
      <w:r>
        <w:rPr>
          <w:rFonts w:hint="default" w:ascii="Times New Roman" w:hAnsi="Times New Roman" w:cs="Times New Roman"/>
          <w:color w:val="auto"/>
          <w:u w:val="none"/>
        </w:rPr>
        <w:t>，q</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，…，q</w:t>
      </w:r>
      <w:r>
        <w:rPr>
          <w:rFonts w:hint="default" w:ascii="Times New Roman" w:hAnsi="Times New Roman" w:cs="Times New Roman"/>
          <w:color w:val="auto"/>
          <w:u w:val="none"/>
          <w:vertAlign w:val="subscript"/>
        </w:rPr>
        <w:t>n</w:t>
      </w:r>
      <w:r>
        <w:rPr>
          <w:rFonts w:hint="default" w:ascii="Times New Roman" w:hAnsi="Times New Roman" w:cs="Times New Roman"/>
          <w:color w:val="auto"/>
          <w:u w:val="none"/>
        </w:rPr>
        <w:t>—每种危险物质的最大存在总量，t；</w:t>
      </w:r>
    </w:p>
    <w:p w14:paraId="427E8767">
      <w:pPr>
        <w:ind w:firstLine="1200" w:firstLineChars="500"/>
        <w:rPr>
          <w:rFonts w:hint="default" w:ascii="Times New Roman" w:hAnsi="Times New Roman" w:cs="Times New Roman"/>
          <w:color w:val="auto"/>
          <w:u w:val="none"/>
        </w:rPr>
      </w:pPr>
      <w:r>
        <w:rPr>
          <w:rFonts w:hint="default" w:ascii="Times New Roman" w:hAnsi="Times New Roman" w:cs="Times New Roman"/>
          <w:color w:val="auto"/>
          <w:u w:val="none"/>
        </w:rPr>
        <w:t>Q</w:t>
      </w:r>
      <w:r>
        <w:rPr>
          <w:rFonts w:hint="default" w:ascii="Times New Roman" w:hAnsi="Times New Roman" w:cs="Times New Roman"/>
          <w:color w:val="auto"/>
          <w:u w:val="none"/>
          <w:vertAlign w:val="subscript"/>
        </w:rPr>
        <w:t>1</w:t>
      </w:r>
      <w:r>
        <w:rPr>
          <w:rFonts w:hint="default" w:ascii="Times New Roman" w:hAnsi="Times New Roman" w:cs="Times New Roman"/>
          <w:color w:val="auto"/>
          <w:u w:val="none"/>
        </w:rPr>
        <w:t>，Q</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，…，Q</w:t>
      </w:r>
      <w:r>
        <w:rPr>
          <w:rFonts w:hint="default" w:ascii="Times New Roman" w:hAnsi="Times New Roman" w:cs="Times New Roman"/>
          <w:color w:val="auto"/>
          <w:u w:val="none"/>
          <w:vertAlign w:val="subscript"/>
        </w:rPr>
        <w:t>n</w:t>
      </w:r>
      <w:r>
        <w:rPr>
          <w:rFonts w:hint="default" w:ascii="Times New Roman" w:hAnsi="Times New Roman" w:cs="Times New Roman"/>
          <w:color w:val="auto"/>
          <w:u w:val="none"/>
        </w:rPr>
        <w:t>—每种危险物质的临界量，t。</w:t>
      </w:r>
    </w:p>
    <w:p w14:paraId="53E2C69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当Q＜1时，该项目环境风险潜势为I。</w:t>
      </w:r>
    </w:p>
    <w:p w14:paraId="1595B70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当Q≥1时，将Q值划分为：(1)1≤Q＜10；(2)10≤Q＜100；(3)Q≥100。</w:t>
      </w:r>
    </w:p>
    <w:p w14:paraId="35C3F70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对照《建设项目环境风险评价技术导则》（HJ 169-2018）中附录B，项目涉及的风险物质为硫酸、硝酸</w:t>
      </w:r>
      <w:r>
        <w:rPr>
          <w:rFonts w:hint="default" w:ascii="Times New Roman" w:hAnsi="Times New Roman" w:cs="Times New Roman"/>
          <w:color w:val="auto"/>
          <w:kern w:val="0"/>
          <w:u w:val="none"/>
        </w:rPr>
        <w:t>等风险物质</w:t>
      </w:r>
      <w:r>
        <w:rPr>
          <w:rFonts w:hint="default" w:ascii="Times New Roman" w:hAnsi="Times New Roman" w:cs="Times New Roman"/>
          <w:color w:val="auto"/>
          <w:u w:val="none"/>
        </w:rPr>
        <w:t>。</w:t>
      </w:r>
    </w:p>
    <w:p w14:paraId="1B608146">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cs="Times New Roman"/>
          <w:b/>
          <w:bCs/>
          <w:color w:val="auto"/>
          <w:u w:val="none"/>
          <w:lang w:val="en-US" w:eastAsia="zh-CN"/>
        </w:rPr>
        <w:t xml:space="preserve">3  </w:t>
      </w:r>
      <w:r>
        <w:rPr>
          <w:rFonts w:hint="default" w:ascii="Times New Roman" w:hAnsi="Times New Roman" w:cs="Times New Roman"/>
          <w:b/>
          <w:bCs/>
          <w:color w:val="auto"/>
          <w:u w:val="none"/>
        </w:rPr>
        <w:t>危险物质数量与临界量的比值一览表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1265"/>
        <w:gridCol w:w="1098"/>
        <w:gridCol w:w="1734"/>
        <w:gridCol w:w="1410"/>
        <w:gridCol w:w="1779"/>
      </w:tblGrid>
      <w:tr w14:paraId="2A8E4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74981298">
            <w:pPr>
              <w:pStyle w:val="56"/>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b w:val="0"/>
                <w:color w:val="auto"/>
                <w:u w:val="none"/>
              </w:rPr>
            </w:pPr>
            <w:r>
              <w:rPr>
                <w:rFonts w:hint="default" w:ascii="Times New Roman" w:hAnsi="Times New Roman" w:cs="Times New Roman"/>
                <w:b w:val="0"/>
                <w:color w:val="auto"/>
                <w:u w:val="none"/>
              </w:rPr>
              <w:t>物质名称</w:t>
            </w:r>
          </w:p>
        </w:tc>
        <w:tc>
          <w:tcPr>
            <w:tcW w:w="742" w:type="pct"/>
            <w:vAlign w:val="center"/>
          </w:tcPr>
          <w:p w14:paraId="30A960D8">
            <w:pPr>
              <w:pStyle w:val="56"/>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b w:val="0"/>
                <w:color w:val="auto"/>
                <w:u w:val="none"/>
              </w:rPr>
            </w:pPr>
            <w:r>
              <w:rPr>
                <w:rFonts w:hint="default" w:ascii="Times New Roman" w:hAnsi="Times New Roman" w:cs="Times New Roman"/>
                <w:b w:val="0"/>
                <w:color w:val="auto"/>
                <w:u w:val="none"/>
              </w:rPr>
              <w:t>危险类别</w:t>
            </w:r>
          </w:p>
        </w:tc>
        <w:tc>
          <w:tcPr>
            <w:tcW w:w="644" w:type="pct"/>
            <w:vAlign w:val="center"/>
          </w:tcPr>
          <w:p w14:paraId="5FFCBAE3">
            <w:pPr>
              <w:pStyle w:val="56"/>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b w:val="0"/>
                <w:color w:val="auto"/>
                <w:u w:val="none"/>
              </w:rPr>
            </w:pPr>
            <w:r>
              <w:rPr>
                <w:rFonts w:hint="default" w:ascii="Times New Roman" w:hAnsi="Times New Roman" w:cs="Times New Roman"/>
                <w:b w:val="0"/>
                <w:color w:val="auto"/>
                <w:u w:val="none"/>
              </w:rPr>
              <w:t>CAS</w:t>
            </w:r>
          </w:p>
        </w:tc>
        <w:tc>
          <w:tcPr>
            <w:tcW w:w="1017" w:type="pct"/>
            <w:vAlign w:val="center"/>
          </w:tcPr>
          <w:p w14:paraId="3CAC20D6">
            <w:pPr>
              <w:pStyle w:val="56"/>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b w:val="0"/>
                <w:color w:val="auto"/>
                <w:u w:val="none"/>
              </w:rPr>
            </w:pPr>
            <w:r>
              <w:rPr>
                <w:rFonts w:hint="default" w:ascii="Times New Roman" w:hAnsi="Times New Roman" w:cs="Times New Roman"/>
                <w:b w:val="0"/>
                <w:color w:val="auto"/>
                <w:u w:val="none"/>
              </w:rPr>
              <w:t>最大储存量q（t/a）</w:t>
            </w:r>
          </w:p>
        </w:tc>
        <w:tc>
          <w:tcPr>
            <w:tcW w:w="827" w:type="pct"/>
            <w:vAlign w:val="center"/>
          </w:tcPr>
          <w:p w14:paraId="03EF8846">
            <w:pPr>
              <w:pStyle w:val="56"/>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b w:val="0"/>
                <w:color w:val="auto"/>
                <w:u w:val="none"/>
              </w:rPr>
            </w:pPr>
            <w:r>
              <w:rPr>
                <w:rFonts w:hint="default" w:ascii="Times New Roman" w:hAnsi="Times New Roman" w:cs="Times New Roman"/>
                <w:b w:val="0"/>
                <w:color w:val="auto"/>
                <w:u w:val="none"/>
              </w:rPr>
              <w:t>临界量Q（t/a）</w:t>
            </w:r>
          </w:p>
        </w:tc>
        <w:tc>
          <w:tcPr>
            <w:tcW w:w="1043" w:type="pct"/>
            <w:vAlign w:val="center"/>
          </w:tcPr>
          <w:p w14:paraId="63C5491C">
            <w:pPr>
              <w:pStyle w:val="56"/>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b w:val="0"/>
                <w:color w:val="auto"/>
                <w:u w:val="none"/>
              </w:rPr>
            </w:pPr>
            <w:r>
              <w:rPr>
                <w:rFonts w:hint="default" w:ascii="Times New Roman" w:hAnsi="Times New Roman" w:cs="Times New Roman"/>
                <w:b w:val="0"/>
                <w:color w:val="auto"/>
                <w:u w:val="none"/>
              </w:rPr>
              <w:t>qi/Qi</w:t>
            </w:r>
          </w:p>
        </w:tc>
      </w:tr>
      <w:tr w14:paraId="42FAF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pct"/>
            <w:vAlign w:val="center"/>
          </w:tcPr>
          <w:p w14:paraId="3AFB6C4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重铬酸钾</w:t>
            </w:r>
          </w:p>
        </w:tc>
        <w:tc>
          <w:tcPr>
            <w:tcW w:w="742" w:type="pct"/>
            <w:vAlign w:val="center"/>
          </w:tcPr>
          <w:p w14:paraId="3669947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6922354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7B73EDCB">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eastAsia" w:cs="Times New Roman"/>
                <w:color w:val="auto"/>
                <w:u w:val="none"/>
                <w:lang w:val="en-US" w:eastAsia="zh-CN"/>
              </w:rPr>
              <w:t>0.03</w:t>
            </w:r>
            <w:r>
              <w:rPr>
                <w:rFonts w:hint="default" w:ascii="Times New Roman" w:hAnsi="Times New Roman" w:cs="Times New Roman"/>
                <w:color w:val="auto"/>
                <w:u w:val="none"/>
              </w:rPr>
              <w:t>(以铬计)</w:t>
            </w:r>
          </w:p>
        </w:tc>
        <w:tc>
          <w:tcPr>
            <w:tcW w:w="827" w:type="pct"/>
            <w:vAlign w:val="center"/>
          </w:tcPr>
          <w:p w14:paraId="4F9FA075">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646A495B">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0.12</w:t>
            </w:r>
          </w:p>
        </w:tc>
      </w:tr>
      <w:tr w14:paraId="38B8C3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pct"/>
            <w:vAlign w:val="center"/>
          </w:tcPr>
          <w:p w14:paraId="1B9B5254">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u w:val="none"/>
              </w:rPr>
              <w:t>硝酸</w:t>
            </w:r>
          </w:p>
        </w:tc>
        <w:tc>
          <w:tcPr>
            <w:tcW w:w="742" w:type="pct"/>
            <w:vAlign w:val="center"/>
          </w:tcPr>
          <w:p w14:paraId="62C58378">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u w:val="none"/>
              </w:rPr>
              <w:t>酸性腐蚀品</w:t>
            </w:r>
          </w:p>
        </w:tc>
        <w:tc>
          <w:tcPr>
            <w:tcW w:w="644" w:type="pct"/>
            <w:vAlign w:val="center"/>
          </w:tcPr>
          <w:p w14:paraId="018E6D98">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u w:val="none"/>
              </w:rPr>
              <w:t>7697-37-2</w:t>
            </w:r>
          </w:p>
        </w:tc>
        <w:tc>
          <w:tcPr>
            <w:tcW w:w="1017" w:type="pct"/>
            <w:vAlign w:val="center"/>
          </w:tcPr>
          <w:p w14:paraId="43BA1540">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5</w:t>
            </w:r>
          </w:p>
        </w:tc>
        <w:tc>
          <w:tcPr>
            <w:tcW w:w="827" w:type="pct"/>
            <w:vAlign w:val="center"/>
          </w:tcPr>
          <w:p w14:paraId="7F6E4B6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7.5</w:t>
            </w:r>
          </w:p>
        </w:tc>
        <w:tc>
          <w:tcPr>
            <w:tcW w:w="1043" w:type="pct"/>
            <w:vAlign w:val="center"/>
          </w:tcPr>
          <w:p w14:paraId="19A36171">
            <w:pPr>
              <w:pStyle w:val="41"/>
              <w:keepNext w:val="0"/>
              <w:keepLines w:val="0"/>
              <w:pageBreakBefore w:val="0"/>
              <w:widowControl/>
              <w:kinsoku/>
              <w:wordWrap/>
              <w:overflowPunct/>
              <w:topLinePunct w:val="0"/>
              <w:autoSpaceDE/>
              <w:autoSpaceDN/>
              <w:bidi w:val="0"/>
              <w:spacing w:line="240" w:lineRule="auto"/>
              <w:jc w:val="center"/>
              <w:rPr>
                <w:rFonts w:hint="eastAsia" w:cs="Times New Roman"/>
                <w:color w:val="auto"/>
                <w:u w:val="none"/>
                <w:lang w:val="en-US" w:eastAsia="zh-CN"/>
              </w:rPr>
            </w:pPr>
            <w:r>
              <w:rPr>
                <w:rFonts w:hint="eastAsia" w:cs="Times New Roman"/>
                <w:color w:val="auto"/>
                <w:u w:val="none"/>
                <w:lang w:val="en-US" w:eastAsia="zh-CN"/>
              </w:rPr>
              <w:t>0.666666667</w:t>
            </w:r>
          </w:p>
        </w:tc>
      </w:tr>
      <w:tr w14:paraId="3F952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19496F1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润滑油</w:t>
            </w:r>
          </w:p>
        </w:tc>
        <w:tc>
          <w:tcPr>
            <w:tcW w:w="742" w:type="pct"/>
            <w:vAlign w:val="center"/>
          </w:tcPr>
          <w:p w14:paraId="13830D5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矿物油</w:t>
            </w:r>
          </w:p>
        </w:tc>
        <w:tc>
          <w:tcPr>
            <w:tcW w:w="644" w:type="pct"/>
            <w:vAlign w:val="center"/>
          </w:tcPr>
          <w:p w14:paraId="063D96C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1981681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0.1</w:t>
            </w:r>
          </w:p>
        </w:tc>
        <w:tc>
          <w:tcPr>
            <w:tcW w:w="827" w:type="pct"/>
            <w:vAlign w:val="center"/>
          </w:tcPr>
          <w:p w14:paraId="6FA9E31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2500</w:t>
            </w:r>
          </w:p>
        </w:tc>
        <w:tc>
          <w:tcPr>
            <w:tcW w:w="1043" w:type="pct"/>
            <w:vAlign w:val="center"/>
          </w:tcPr>
          <w:p w14:paraId="5D1668B9">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0.00004</w:t>
            </w:r>
          </w:p>
        </w:tc>
      </w:tr>
      <w:tr w14:paraId="31610F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7594E0B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742" w:type="pct"/>
            <w:vAlign w:val="center"/>
          </w:tcPr>
          <w:p w14:paraId="144E6C9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7BF490F6">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487D928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01</w:t>
            </w:r>
            <w:r>
              <w:rPr>
                <w:rFonts w:hint="default" w:ascii="Times New Roman" w:hAnsi="Times New Roman" w:cs="Times New Roman"/>
                <w:color w:val="auto"/>
                <w:u w:val="none"/>
              </w:rPr>
              <w:t>(以镍计)</w:t>
            </w:r>
          </w:p>
        </w:tc>
        <w:tc>
          <w:tcPr>
            <w:tcW w:w="827" w:type="pct"/>
            <w:vAlign w:val="center"/>
          </w:tcPr>
          <w:p w14:paraId="6ACC3DA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298D2224">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0.004</w:t>
            </w:r>
          </w:p>
        </w:tc>
      </w:tr>
      <w:tr w14:paraId="65BD6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4987A122">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742" w:type="pct"/>
            <w:vAlign w:val="center"/>
          </w:tcPr>
          <w:p w14:paraId="2EB2188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7F94BFD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097739E2">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03（</w:t>
            </w:r>
            <w:r>
              <w:rPr>
                <w:rFonts w:hint="default" w:ascii="Times New Roman" w:hAnsi="Times New Roman" w:cs="Times New Roman"/>
                <w:color w:val="auto"/>
                <w:u w:val="none"/>
              </w:rPr>
              <w:t>以镍计)</w:t>
            </w:r>
          </w:p>
        </w:tc>
        <w:tc>
          <w:tcPr>
            <w:tcW w:w="827" w:type="pct"/>
            <w:vAlign w:val="center"/>
          </w:tcPr>
          <w:p w14:paraId="156389C1">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1980BABE">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0.012</w:t>
            </w:r>
          </w:p>
        </w:tc>
      </w:tr>
      <w:tr w14:paraId="299431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1CE824B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742" w:type="pct"/>
            <w:vAlign w:val="center"/>
          </w:tcPr>
          <w:p w14:paraId="2078281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02ED61A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150C9A4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0.00</w:t>
            </w:r>
            <w:r>
              <w:rPr>
                <w:rFonts w:hint="eastAsia" w:cs="Times New Roman"/>
                <w:color w:val="auto"/>
                <w:u w:val="none"/>
                <w:lang w:val="en-US" w:eastAsia="zh-CN"/>
              </w:rPr>
              <w:t>2</w:t>
            </w:r>
            <w:r>
              <w:rPr>
                <w:rFonts w:hint="default" w:ascii="Times New Roman" w:hAnsi="Times New Roman" w:cs="Times New Roman"/>
                <w:color w:val="auto"/>
                <w:u w:val="none"/>
              </w:rPr>
              <w:t>(以铬计)</w:t>
            </w:r>
          </w:p>
        </w:tc>
        <w:tc>
          <w:tcPr>
            <w:tcW w:w="827" w:type="pct"/>
            <w:vAlign w:val="center"/>
          </w:tcPr>
          <w:p w14:paraId="1F8F0BC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5403EC12">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0.008</w:t>
            </w:r>
          </w:p>
        </w:tc>
      </w:tr>
      <w:tr w14:paraId="069E8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50EC4FA1">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含镍污泥</w:t>
            </w:r>
          </w:p>
        </w:tc>
        <w:tc>
          <w:tcPr>
            <w:tcW w:w="742" w:type="pct"/>
            <w:vAlign w:val="center"/>
          </w:tcPr>
          <w:p w14:paraId="2929FA7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6B4154C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5C00148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05</w:t>
            </w:r>
            <w:r>
              <w:rPr>
                <w:rFonts w:hint="default" w:ascii="Times New Roman" w:hAnsi="Times New Roman" w:cs="Times New Roman"/>
                <w:color w:val="auto"/>
                <w:u w:val="none"/>
              </w:rPr>
              <w:t>(以镍计)</w:t>
            </w:r>
          </w:p>
        </w:tc>
        <w:tc>
          <w:tcPr>
            <w:tcW w:w="827" w:type="pct"/>
            <w:vAlign w:val="center"/>
          </w:tcPr>
          <w:p w14:paraId="0CC7F5F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5F7576FE">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0.02</w:t>
            </w:r>
          </w:p>
        </w:tc>
      </w:tr>
      <w:tr w14:paraId="22815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356DA376">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含镍结晶盐</w:t>
            </w:r>
          </w:p>
        </w:tc>
        <w:tc>
          <w:tcPr>
            <w:tcW w:w="742" w:type="pct"/>
            <w:vAlign w:val="center"/>
          </w:tcPr>
          <w:p w14:paraId="2F8F799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22811AF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5C5076F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05</w:t>
            </w:r>
            <w:r>
              <w:rPr>
                <w:rFonts w:hint="default" w:ascii="Times New Roman" w:hAnsi="Times New Roman" w:cs="Times New Roman"/>
                <w:color w:val="auto"/>
                <w:u w:val="none"/>
              </w:rPr>
              <w:t>(以镍计)</w:t>
            </w:r>
          </w:p>
        </w:tc>
        <w:tc>
          <w:tcPr>
            <w:tcW w:w="827" w:type="pct"/>
            <w:vAlign w:val="center"/>
          </w:tcPr>
          <w:p w14:paraId="1F183E8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68ED9076">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0.02</w:t>
            </w:r>
          </w:p>
        </w:tc>
      </w:tr>
      <w:tr w14:paraId="608180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restart"/>
            <w:vAlign w:val="center"/>
          </w:tcPr>
          <w:p w14:paraId="28CD0EE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含铬污泥</w:t>
            </w:r>
          </w:p>
        </w:tc>
        <w:tc>
          <w:tcPr>
            <w:tcW w:w="742" w:type="pct"/>
            <w:vAlign w:val="center"/>
          </w:tcPr>
          <w:p w14:paraId="469EAFE1">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4A271EE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2B85C0E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w:t>
            </w:r>
            <w:r>
              <w:rPr>
                <w:rFonts w:hint="eastAsia" w:cs="Times New Roman"/>
                <w:color w:val="auto"/>
                <w:u w:val="none"/>
                <w:lang w:val="en-US" w:eastAsia="zh-CN"/>
              </w:rPr>
              <w:t>08</w:t>
            </w:r>
            <w:r>
              <w:rPr>
                <w:rFonts w:hint="default" w:ascii="Times New Roman" w:hAnsi="Times New Roman" w:cs="Times New Roman"/>
                <w:color w:val="auto"/>
                <w:u w:val="none"/>
              </w:rPr>
              <w:t>(以铬计)</w:t>
            </w:r>
          </w:p>
        </w:tc>
        <w:tc>
          <w:tcPr>
            <w:tcW w:w="827" w:type="pct"/>
            <w:vAlign w:val="center"/>
          </w:tcPr>
          <w:p w14:paraId="3C4809B6">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0589832E">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0.032</w:t>
            </w:r>
          </w:p>
        </w:tc>
      </w:tr>
      <w:tr w14:paraId="42F88B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continue"/>
            <w:vAlign w:val="center"/>
          </w:tcPr>
          <w:p w14:paraId="01404ABD">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p>
        </w:tc>
        <w:tc>
          <w:tcPr>
            <w:tcW w:w="742" w:type="pct"/>
            <w:vAlign w:val="center"/>
          </w:tcPr>
          <w:p w14:paraId="147FBF4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4A7C088B">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3C0AFD3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w:t>
            </w:r>
            <w:r>
              <w:rPr>
                <w:rFonts w:hint="eastAsia" w:cs="Times New Roman"/>
                <w:color w:val="auto"/>
                <w:u w:val="none"/>
                <w:lang w:val="en-US" w:eastAsia="zh-CN"/>
              </w:rPr>
              <w:t>08</w:t>
            </w:r>
            <w:r>
              <w:rPr>
                <w:rFonts w:hint="default" w:ascii="Times New Roman" w:hAnsi="Times New Roman" w:cs="Times New Roman"/>
                <w:color w:val="auto"/>
                <w:u w:val="none"/>
              </w:rPr>
              <w:t>(以铜计)</w:t>
            </w:r>
          </w:p>
        </w:tc>
        <w:tc>
          <w:tcPr>
            <w:tcW w:w="827" w:type="pct"/>
            <w:vAlign w:val="center"/>
          </w:tcPr>
          <w:p w14:paraId="783AAC4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29D12796">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0.32</w:t>
            </w:r>
          </w:p>
        </w:tc>
      </w:tr>
      <w:tr w14:paraId="2E2CF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restart"/>
            <w:vAlign w:val="center"/>
          </w:tcPr>
          <w:p w14:paraId="25476DA9">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含铬结晶盐</w:t>
            </w:r>
          </w:p>
        </w:tc>
        <w:tc>
          <w:tcPr>
            <w:tcW w:w="742" w:type="pct"/>
            <w:vAlign w:val="center"/>
          </w:tcPr>
          <w:p w14:paraId="3992ED1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7E2372F4">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45F82657">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0.03(以铬计)</w:t>
            </w:r>
          </w:p>
        </w:tc>
        <w:tc>
          <w:tcPr>
            <w:tcW w:w="827" w:type="pct"/>
            <w:vAlign w:val="center"/>
          </w:tcPr>
          <w:p w14:paraId="2674955D">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14DCD372">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0.12</w:t>
            </w:r>
          </w:p>
        </w:tc>
      </w:tr>
      <w:tr w14:paraId="259DC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Merge w:val="continue"/>
            <w:vAlign w:val="center"/>
          </w:tcPr>
          <w:p w14:paraId="3F27265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p>
        </w:tc>
        <w:tc>
          <w:tcPr>
            <w:tcW w:w="742" w:type="pct"/>
            <w:vAlign w:val="center"/>
          </w:tcPr>
          <w:p w14:paraId="5A3D443B">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p>
        </w:tc>
        <w:tc>
          <w:tcPr>
            <w:tcW w:w="644" w:type="pct"/>
            <w:vAlign w:val="center"/>
          </w:tcPr>
          <w:p w14:paraId="0D0D6EC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p>
        </w:tc>
        <w:tc>
          <w:tcPr>
            <w:tcW w:w="1017" w:type="pct"/>
            <w:vAlign w:val="center"/>
          </w:tcPr>
          <w:p w14:paraId="32AC90B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0.15(以铜计)</w:t>
            </w:r>
          </w:p>
        </w:tc>
        <w:tc>
          <w:tcPr>
            <w:tcW w:w="827" w:type="pct"/>
            <w:vAlign w:val="center"/>
          </w:tcPr>
          <w:p w14:paraId="7A72655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0.25</w:t>
            </w:r>
          </w:p>
        </w:tc>
        <w:tc>
          <w:tcPr>
            <w:tcW w:w="1043" w:type="pct"/>
            <w:vAlign w:val="center"/>
          </w:tcPr>
          <w:p w14:paraId="551EDB6F">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0.6</w:t>
            </w:r>
          </w:p>
        </w:tc>
      </w:tr>
      <w:tr w14:paraId="1FC3C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725" w:type="pct"/>
            <w:vAlign w:val="center"/>
          </w:tcPr>
          <w:p w14:paraId="3D339ADE">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危险废物</w:t>
            </w:r>
          </w:p>
        </w:tc>
        <w:tc>
          <w:tcPr>
            <w:tcW w:w="742" w:type="pct"/>
            <w:vAlign w:val="center"/>
          </w:tcPr>
          <w:p w14:paraId="096F672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4" w:type="pct"/>
            <w:vAlign w:val="center"/>
          </w:tcPr>
          <w:p w14:paraId="445C3A7E">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17" w:type="pct"/>
            <w:vAlign w:val="center"/>
          </w:tcPr>
          <w:p w14:paraId="2A7AB9EF">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5.6</w:t>
            </w:r>
          </w:p>
        </w:tc>
        <w:tc>
          <w:tcPr>
            <w:tcW w:w="827" w:type="pct"/>
            <w:vAlign w:val="center"/>
          </w:tcPr>
          <w:p w14:paraId="3E04AC9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50</w:t>
            </w:r>
          </w:p>
        </w:tc>
        <w:tc>
          <w:tcPr>
            <w:tcW w:w="1043" w:type="pct"/>
            <w:vAlign w:val="center"/>
          </w:tcPr>
          <w:p w14:paraId="18FF4E7D">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0.112</w:t>
            </w:r>
          </w:p>
        </w:tc>
      </w:tr>
      <w:tr w14:paraId="1D2FB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6F2DD108">
            <w:pPr>
              <w:pStyle w:val="41"/>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cs="Times New Roman"/>
                <w:color w:val="auto"/>
                <w:u w:val="none"/>
                <w:lang w:eastAsia="zh-CN"/>
              </w:rPr>
            </w:pPr>
            <w:r>
              <w:rPr>
                <w:rFonts w:hint="eastAsia" w:ascii="Times New Roman" w:hAnsi="Times New Roman" w:cs="Times New Roman"/>
                <w:color w:val="auto"/>
                <w:u w:val="none"/>
                <w:lang w:val="en-US" w:eastAsia="zh-CN"/>
              </w:rPr>
              <w:t>硫酸</w:t>
            </w:r>
          </w:p>
        </w:tc>
        <w:tc>
          <w:tcPr>
            <w:tcW w:w="742" w:type="pct"/>
            <w:vAlign w:val="center"/>
          </w:tcPr>
          <w:p w14:paraId="671001C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酸性腐蚀品</w:t>
            </w:r>
          </w:p>
        </w:tc>
        <w:tc>
          <w:tcPr>
            <w:tcW w:w="644" w:type="pct"/>
            <w:vAlign w:val="center"/>
          </w:tcPr>
          <w:p w14:paraId="61B865E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7664-93-9</w:t>
            </w:r>
          </w:p>
        </w:tc>
        <w:tc>
          <w:tcPr>
            <w:tcW w:w="1017" w:type="pct"/>
            <w:vAlign w:val="center"/>
          </w:tcPr>
          <w:p w14:paraId="794FEA6E">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w:t>
            </w:r>
          </w:p>
        </w:tc>
        <w:tc>
          <w:tcPr>
            <w:tcW w:w="827" w:type="pct"/>
            <w:vAlign w:val="center"/>
          </w:tcPr>
          <w:p w14:paraId="65360545">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043" w:type="pct"/>
            <w:vAlign w:val="center"/>
          </w:tcPr>
          <w:p w14:paraId="2D3CBE1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w:t>
            </w:r>
          </w:p>
        </w:tc>
      </w:tr>
      <w:tr w14:paraId="52A94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3FD4246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化抛添加剂</w:t>
            </w:r>
          </w:p>
        </w:tc>
        <w:tc>
          <w:tcPr>
            <w:tcW w:w="742" w:type="pct"/>
            <w:vAlign w:val="center"/>
          </w:tcPr>
          <w:p w14:paraId="28158C5B">
            <w:pPr>
              <w:pStyle w:val="41"/>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t>
            </w:r>
          </w:p>
        </w:tc>
        <w:tc>
          <w:tcPr>
            <w:tcW w:w="644" w:type="pct"/>
            <w:vAlign w:val="center"/>
          </w:tcPr>
          <w:p w14:paraId="4D8F0A1B">
            <w:pPr>
              <w:pStyle w:val="41"/>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t>
            </w:r>
          </w:p>
        </w:tc>
        <w:tc>
          <w:tcPr>
            <w:tcW w:w="1017" w:type="pct"/>
            <w:vAlign w:val="center"/>
          </w:tcPr>
          <w:p w14:paraId="093C2864">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0.5</w:t>
            </w:r>
          </w:p>
        </w:tc>
        <w:tc>
          <w:tcPr>
            <w:tcW w:w="827" w:type="pct"/>
            <w:vAlign w:val="center"/>
          </w:tcPr>
          <w:p w14:paraId="73415398">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50</w:t>
            </w:r>
          </w:p>
        </w:tc>
        <w:tc>
          <w:tcPr>
            <w:tcW w:w="1043" w:type="pct"/>
            <w:vAlign w:val="center"/>
          </w:tcPr>
          <w:p w14:paraId="4A0FCEFB">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0.01</w:t>
            </w:r>
          </w:p>
        </w:tc>
      </w:tr>
      <w:tr w14:paraId="41395F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25" w:type="pct"/>
            <w:vAlign w:val="center"/>
          </w:tcPr>
          <w:p w14:paraId="1205535A">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无氮中和剂（含硫酸）</w:t>
            </w:r>
          </w:p>
        </w:tc>
        <w:tc>
          <w:tcPr>
            <w:tcW w:w="742" w:type="pct"/>
            <w:vAlign w:val="center"/>
          </w:tcPr>
          <w:p w14:paraId="38B0ECB8">
            <w:pPr>
              <w:pStyle w:val="41"/>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t>
            </w:r>
          </w:p>
        </w:tc>
        <w:tc>
          <w:tcPr>
            <w:tcW w:w="644" w:type="pct"/>
            <w:vAlign w:val="center"/>
          </w:tcPr>
          <w:p w14:paraId="715A6464">
            <w:pPr>
              <w:pStyle w:val="41"/>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w:t>
            </w:r>
          </w:p>
        </w:tc>
        <w:tc>
          <w:tcPr>
            <w:tcW w:w="1017" w:type="pct"/>
            <w:vAlign w:val="center"/>
          </w:tcPr>
          <w:p w14:paraId="4DDBF9F7">
            <w:pPr>
              <w:pStyle w:val="41"/>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cs="Times New Roman"/>
                <w:color w:val="auto"/>
                <w:u w:val="none"/>
                <w:lang w:eastAsia="zh-CN"/>
              </w:rPr>
            </w:pPr>
            <w:r>
              <w:rPr>
                <w:rFonts w:hint="eastAsia" w:ascii="Times New Roman" w:hAnsi="Times New Roman" w:cs="Times New Roman"/>
                <w:color w:val="auto"/>
                <w:u w:val="none"/>
                <w:lang w:val="en-US" w:eastAsia="zh-CN"/>
              </w:rPr>
              <w:t>1</w:t>
            </w:r>
          </w:p>
        </w:tc>
        <w:tc>
          <w:tcPr>
            <w:tcW w:w="827" w:type="pct"/>
            <w:vAlign w:val="center"/>
          </w:tcPr>
          <w:p w14:paraId="656C3E7C">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10</w:t>
            </w:r>
          </w:p>
        </w:tc>
        <w:tc>
          <w:tcPr>
            <w:tcW w:w="1043" w:type="pct"/>
            <w:vAlign w:val="center"/>
          </w:tcPr>
          <w:p w14:paraId="34654D2E">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0.1</w:t>
            </w:r>
          </w:p>
        </w:tc>
      </w:tr>
      <w:tr w14:paraId="268C0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111" w:type="pct"/>
            <w:gridSpan w:val="3"/>
            <w:vAlign w:val="center"/>
          </w:tcPr>
          <w:p w14:paraId="687F37C0">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1017" w:type="pct"/>
            <w:vAlign w:val="center"/>
          </w:tcPr>
          <w:p w14:paraId="27D284BE">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827" w:type="pct"/>
            <w:vAlign w:val="center"/>
          </w:tcPr>
          <w:p w14:paraId="6467D6B3">
            <w:pPr>
              <w:pStyle w:val="41"/>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1043" w:type="pct"/>
            <w:vAlign w:val="center"/>
          </w:tcPr>
          <w:p w14:paraId="1D9C2E43">
            <w:pPr>
              <w:pStyle w:val="41"/>
              <w:keepNext w:val="0"/>
              <w:keepLines w:val="0"/>
              <w:pageBreakBefore w:val="0"/>
              <w:widowControl/>
              <w:kinsoku/>
              <w:wordWrap/>
              <w:overflowPunct/>
              <w:topLinePunct w:val="0"/>
              <w:autoSpaceDE/>
              <w:autoSpaceDN/>
              <w:bidi w:val="0"/>
              <w:spacing w:line="240" w:lineRule="auto"/>
              <w:jc w:val="center"/>
              <w:rPr>
                <w:rFonts w:hint="default" w:cs="Times New Roman"/>
                <w:color w:val="auto"/>
                <w:u w:val="none"/>
                <w:lang w:val="en-US" w:eastAsia="zh-CN"/>
              </w:rPr>
            </w:pPr>
            <w:r>
              <w:rPr>
                <w:rFonts w:hint="eastAsia" w:cs="Times New Roman"/>
                <w:color w:val="auto"/>
                <w:u w:val="none"/>
                <w:lang w:val="en-US" w:eastAsia="zh-CN"/>
              </w:rPr>
              <w:t>3.144706667</w:t>
            </w:r>
          </w:p>
        </w:tc>
      </w:tr>
    </w:tbl>
    <w:p w14:paraId="3156F6D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备注</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根据《建设项目环境风险评价技术导则》（HJ 169-2018）中附录B，含铬染料最大储存量以铬计，故项目危险物质与其临界量的比值Q=</w:t>
      </w:r>
      <w:r>
        <w:rPr>
          <w:rFonts w:hint="eastAsia" w:ascii="Times New Roman" w:hAnsi="Times New Roman" w:cs="Times New Roman"/>
          <w:color w:val="auto"/>
          <w:u w:val="none"/>
          <w:lang w:val="en-US" w:eastAsia="zh-CN"/>
        </w:rPr>
        <w:t>3.1447</w:t>
      </w:r>
      <w:r>
        <w:rPr>
          <w:rFonts w:hint="default" w:ascii="Times New Roman" w:hAnsi="Times New Roman" w:cs="Times New Roman"/>
          <w:color w:val="auto"/>
          <w:u w:val="none"/>
        </w:rPr>
        <w:t>，属于</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≤Q&lt;10区划范围内。</w:t>
      </w:r>
    </w:p>
    <w:p w14:paraId="5196026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2、M值的确定</w:t>
      </w:r>
    </w:p>
    <w:p w14:paraId="7657FBD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附录C，行业及生产工艺（M）确定依据项目所属行业及生产工艺特点，采用评分法确定M值。具有多套工艺单元的项目，对每套生产工艺分别评分并求和。将M划分为（1）M&gt;20；（2）10＜M≤20；（3）5＜M≤10；（4）M=5，分别以M1、M2、M3和M4表示，具体见下表</w:t>
      </w:r>
    </w:p>
    <w:p w14:paraId="3DF0726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4  </w:t>
      </w:r>
      <w:r>
        <w:rPr>
          <w:rFonts w:hint="default" w:ascii="Times New Roman" w:hAnsi="Times New Roman" w:cs="Times New Roman"/>
          <w:b/>
          <w:bCs/>
          <w:color w:val="auto"/>
          <w:u w:val="none"/>
        </w:rPr>
        <w:t>行业及生产工艺</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496"/>
        <w:gridCol w:w="5566"/>
        <w:gridCol w:w="1274"/>
      </w:tblGrid>
      <w:tr w14:paraId="5BAF2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1496" w:type="dxa"/>
            <w:tcBorders>
              <w:tl2br w:val="nil"/>
              <w:tr2bl w:val="nil"/>
            </w:tcBorders>
            <w:vAlign w:val="center"/>
          </w:tcPr>
          <w:p w14:paraId="38C4AE43">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行业</w:t>
            </w:r>
          </w:p>
        </w:tc>
        <w:tc>
          <w:tcPr>
            <w:tcW w:w="5566" w:type="dxa"/>
            <w:tcBorders>
              <w:tl2br w:val="nil"/>
              <w:tr2bl w:val="nil"/>
            </w:tcBorders>
            <w:vAlign w:val="center"/>
          </w:tcPr>
          <w:p w14:paraId="244558AA">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评估依据</w:t>
            </w:r>
          </w:p>
        </w:tc>
        <w:tc>
          <w:tcPr>
            <w:tcW w:w="1274" w:type="dxa"/>
            <w:tcBorders>
              <w:tl2br w:val="nil"/>
              <w:tr2bl w:val="nil"/>
            </w:tcBorders>
            <w:vAlign w:val="center"/>
          </w:tcPr>
          <w:p w14:paraId="66C2E810">
            <w:pPr>
              <w:pStyle w:val="56"/>
              <w:rPr>
                <w:rFonts w:hint="default" w:ascii="Times New Roman" w:hAnsi="Times New Roman" w:cs="Times New Roman"/>
                <w:b/>
                <w:bCs/>
                <w:color w:val="auto"/>
                <w:u w:val="none"/>
              </w:rPr>
            </w:pPr>
            <w:r>
              <w:rPr>
                <w:rFonts w:hint="default" w:ascii="Times New Roman" w:hAnsi="Times New Roman" w:cs="Times New Roman"/>
                <w:b/>
                <w:bCs/>
                <w:color w:val="auto"/>
                <w:u w:val="none"/>
              </w:rPr>
              <w:t>分值</w:t>
            </w:r>
          </w:p>
        </w:tc>
      </w:tr>
      <w:tr w14:paraId="6ED92A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1496" w:type="dxa"/>
            <w:vMerge w:val="restart"/>
            <w:tcBorders>
              <w:tl2br w:val="nil"/>
              <w:tr2bl w:val="nil"/>
            </w:tcBorders>
            <w:vAlign w:val="center"/>
          </w:tcPr>
          <w:p w14:paraId="3848A1EC">
            <w:pPr>
              <w:pStyle w:val="41"/>
              <w:rPr>
                <w:rFonts w:hint="default" w:ascii="Times New Roman" w:hAnsi="Times New Roman" w:cs="Times New Roman"/>
                <w:color w:val="auto"/>
                <w:u w:val="none"/>
              </w:rPr>
            </w:pPr>
            <w:r>
              <w:rPr>
                <w:rFonts w:hint="default" w:ascii="Times New Roman" w:hAnsi="Times New Roman" w:cs="Times New Roman"/>
                <w:color w:val="auto"/>
                <w:u w:val="none"/>
              </w:rPr>
              <w:t>石化、化工、医药、轻工、化纤、有色冶炼等</w:t>
            </w:r>
          </w:p>
        </w:tc>
        <w:tc>
          <w:tcPr>
            <w:tcW w:w="5566" w:type="dxa"/>
            <w:tcBorders>
              <w:tl2br w:val="nil"/>
              <w:tr2bl w:val="nil"/>
            </w:tcBorders>
            <w:vAlign w:val="center"/>
          </w:tcPr>
          <w:p w14:paraId="53AE5C63">
            <w:pPr>
              <w:pStyle w:val="41"/>
              <w:rPr>
                <w:rFonts w:hint="default" w:ascii="Times New Roman" w:hAnsi="Times New Roman" w:cs="Times New Roman"/>
                <w:color w:val="auto"/>
                <w:u w:val="none"/>
              </w:rPr>
            </w:pPr>
            <w:r>
              <w:rPr>
                <w:rFonts w:hint="default" w:ascii="Times New Roman" w:hAnsi="Times New Roman" w:cs="Times New Roman"/>
                <w:color w:val="auto"/>
                <w:u w:val="none"/>
              </w:rPr>
              <w:t>涉及光气及光化学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274" w:type="dxa"/>
            <w:tcBorders>
              <w:tl2br w:val="nil"/>
              <w:tr2bl w:val="nil"/>
            </w:tcBorders>
            <w:vAlign w:val="center"/>
          </w:tcPr>
          <w:p w14:paraId="4FADFE45">
            <w:pPr>
              <w:pStyle w:val="41"/>
              <w:rPr>
                <w:rFonts w:hint="default" w:ascii="Times New Roman" w:hAnsi="Times New Roman" w:cs="Times New Roman"/>
                <w:color w:val="auto"/>
                <w:u w:val="none"/>
              </w:rPr>
            </w:pPr>
            <w:r>
              <w:rPr>
                <w:rFonts w:hint="default" w:ascii="Times New Roman" w:hAnsi="Times New Roman" w:cs="Times New Roman"/>
                <w:color w:val="auto"/>
                <w:u w:val="none"/>
              </w:rPr>
              <w:t>10/每套</w:t>
            </w:r>
          </w:p>
        </w:tc>
      </w:tr>
      <w:tr w14:paraId="55282B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496" w:type="dxa"/>
            <w:vMerge w:val="continue"/>
            <w:tcBorders>
              <w:tl2br w:val="nil"/>
              <w:tr2bl w:val="nil"/>
            </w:tcBorders>
            <w:vAlign w:val="center"/>
          </w:tcPr>
          <w:p w14:paraId="46E9F98F">
            <w:pPr>
              <w:pStyle w:val="41"/>
              <w:rPr>
                <w:rFonts w:hint="default" w:ascii="Times New Roman" w:hAnsi="Times New Roman" w:cs="Times New Roman"/>
                <w:color w:val="auto"/>
                <w:u w:val="none"/>
              </w:rPr>
            </w:pPr>
          </w:p>
        </w:tc>
        <w:tc>
          <w:tcPr>
            <w:tcW w:w="5566" w:type="dxa"/>
            <w:tcBorders>
              <w:tl2br w:val="nil"/>
              <w:tr2bl w:val="nil"/>
            </w:tcBorders>
            <w:vAlign w:val="center"/>
          </w:tcPr>
          <w:p w14:paraId="0C752273">
            <w:pPr>
              <w:pStyle w:val="41"/>
              <w:rPr>
                <w:rFonts w:hint="default" w:ascii="Times New Roman" w:hAnsi="Times New Roman" w:cs="Times New Roman"/>
                <w:color w:val="auto"/>
                <w:u w:val="none"/>
              </w:rPr>
            </w:pPr>
            <w:r>
              <w:rPr>
                <w:rFonts w:hint="default" w:ascii="Times New Roman" w:hAnsi="Times New Roman" w:cs="Times New Roman"/>
                <w:color w:val="auto"/>
                <w:u w:val="none"/>
              </w:rPr>
              <w:t>无机酸制酸工艺、焦化工艺</w:t>
            </w:r>
          </w:p>
        </w:tc>
        <w:tc>
          <w:tcPr>
            <w:tcW w:w="1274" w:type="dxa"/>
            <w:tcBorders>
              <w:tl2br w:val="nil"/>
              <w:tr2bl w:val="nil"/>
            </w:tcBorders>
            <w:vAlign w:val="center"/>
          </w:tcPr>
          <w:p w14:paraId="3709940A">
            <w:pPr>
              <w:pStyle w:val="41"/>
              <w:rPr>
                <w:rFonts w:hint="default" w:ascii="Times New Roman" w:hAnsi="Times New Roman" w:cs="Times New Roman"/>
                <w:color w:val="auto"/>
                <w:u w:val="none"/>
              </w:rPr>
            </w:pPr>
            <w:r>
              <w:rPr>
                <w:rFonts w:hint="default" w:ascii="Times New Roman" w:hAnsi="Times New Roman" w:cs="Times New Roman"/>
                <w:color w:val="auto"/>
                <w:u w:val="none"/>
              </w:rPr>
              <w:t>5/每套</w:t>
            </w:r>
          </w:p>
        </w:tc>
      </w:tr>
      <w:tr w14:paraId="36E98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496" w:type="dxa"/>
            <w:vMerge w:val="continue"/>
            <w:tcBorders>
              <w:tl2br w:val="nil"/>
              <w:tr2bl w:val="nil"/>
            </w:tcBorders>
            <w:vAlign w:val="center"/>
          </w:tcPr>
          <w:p w14:paraId="3622E39A">
            <w:pPr>
              <w:pStyle w:val="41"/>
              <w:rPr>
                <w:rFonts w:hint="default" w:ascii="Times New Roman" w:hAnsi="Times New Roman" w:cs="Times New Roman"/>
                <w:color w:val="auto"/>
                <w:u w:val="none"/>
              </w:rPr>
            </w:pPr>
          </w:p>
        </w:tc>
        <w:tc>
          <w:tcPr>
            <w:tcW w:w="5566" w:type="dxa"/>
            <w:tcBorders>
              <w:tl2br w:val="nil"/>
              <w:tr2bl w:val="nil"/>
            </w:tcBorders>
            <w:vAlign w:val="center"/>
          </w:tcPr>
          <w:p w14:paraId="3B0CE5E3">
            <w:pPr>
              <w:pStyle w:val="41"/>
              <w:rPr>
                <w:rFonts w:hint="default" w:ascii="Times New Roman" w:hAnsi="Times New Roman" w:cs="Times New Roman"/>
                <w:color w:val="auto"/>
                <w:u w:val="none"/>
              </w:rPr>
            </w:pPr>
            <w:r>
              <w:rPr>
                <w:rFonts w:hint="default" w:ascii="Times New Roman" w:hAnsi="Times New Roman" w:cs="Times New Roman"/>
                <w:color w:val="auto"/>
                <w:u w:val="none"/>
              </w:rPr>
              <w:t>其他高温或高压且涉及危险物质的工艺过程a、危险物质贮存罐区</w:t>
            </w:r>
          </w:p>
        </w:tc>
        <w:tc>
          <w:tcPr>
            <w:tcW w:w="1274" w:type="dxa"/>
            <w:tcBorders>
              <w:tl2br w:val="nil"/>
              <w:tr2bl w:val="nil"/>
            </w:tcBorders>
            <w:vAlign w:val="center"/>
          </w:tcPr>
          <w:p w14:paraId="70D46444">
            <w:pPr>
              <w:pStyle w:val="41"/>
              <w:rPr>
                <w:rFonts w:hint="default" w:ascii="Times New Roman" w:hAnsi="Times New Roman" w:cs="Times New Roman"/>
                <w:color w:val="auto"/>
                <w:u w:val="none"/>
              </w:rPr>
            </w:pPr>
            <w:r>
              <w:rPr>
                <w:rFonts w:hint="default" w:ascii="Times New Roman" w:hAnsi="Times New Roman" w:cs="Times New Roman"/>
                <w:color w:val="auto"/>
                <w:u w:val="none"/>
              </w:rPr>
              <w:t>5/每套（罐区）</w:t>
            </w:r>
          </w:p>
        </w:tc>
      </w:tr>
      <w:tr w14:paraId="2B69A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496" w:type="dxa"/>
            <w:tcBorders>
              <w:tl2br w:val="nil"/>
              <w:tr2bl w:val="nil"/>
            </w:tcBorders>
            <w:vAlign w:val="center"/>
          </w:tcPr>
          <w:p w14:paraId="7C41BF9B">
            <w:pPr>
              <w:pStyle w:val="41"/>
              <w:rPr>
                <w:rFonts w:hint="default" w:ascii="Times New Roman" w:hAnsi="Times New Roman" w:cs="Times New Roman"/>
                <w:color w:val="auto"/>
                <w:u w:val="none"/>
              </w:rPr>
            </w:pPr>
            <w:r>
              <w:rPr>
                <w:rFonts w:hint="default" w:ascii="Times New Roman" w:hAnsi="Times New Roman" w:cs="Times New Roman"/>
                <w:color w:val="auto"/>
                <w:u w:val="none"/>
              </w:rPr>
              <w:t>管道、港口/码头等</w:t>
            </w:r>
          </w:p>
        </w:tc>
        <w:tc>
          <w:tcPr>
            <w:tcW w:w="5566" w:type="dxa"/>
            <w:tcBorders>
              <w:tl2br w:val="nil"/>
              <w:tr2bl w:val="nil"/>
            </w:tcBorders>
            <w:vAlign w:val="center"/>
          </w:tcPr>
          <w:p w14:paraId="34CE1C54">
            <w:pPr>
              <w:pStyle w:val="41"/>
              <w:rPr>
                <w:rFonts w:hint="default" w:ascii="Times New Roman" w:hAnsi="Times New Roman" w:cs="Times New Roman"/>
                <w:color w:val="auto"/>
                <w:u w:val="none"/>
              </w:rPr>
            </w:pPr>
            <w:r>
              <w:rPr>
                <w:rFonts w:hint="default" w:ascii="Times New Roman" w:hAnsi="Times New Roman" w:cs="Times New Roman"/>
                <w:color w:val="auto"/>
                <w:u w:val="none"/>
              </w:rPr>
              <w:t>涉及危险物质管道运输项目、港口码头等</w:t>
            </w:r>
          </w:p>
        </w:tc>
        <w:tc>
          <w:tcPr>
            <w:tcW w:w="1274" w:type="dxa"/>
            <w:tcBorders>
              <w:tl2br w:val="nil"/>
              <w:tr2bl w:val="nil"/>
            </w:tcBorders>
            <w:vAlign w:val="center"/>
          </w:tcPr>
          <w:p w14:paraId="1F59B7DF">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43CADE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496" w:type="dxa"/>
            <w:tcBorders>
              <w:tl2br w:val="nil"/>
              <w:tr2bl w:val="nil"/>
            </w:tcBorders>
            <w:vAlign w:val="center"/>
          </w:tcPr>
          <w:p w14:paraId="53D821B3">
            <w:pPr>
              <w:pStyle w:val="41"/>
              <w:rPr>
                <w:rFonts w:hint="default" w:ascii="Times New Roman" w:hAnsi="Times New Roman" w:cs="Times New Roman"/>
                <w:color w:val="auto"/>
                <w:u w:val="none"/>
              </w:rPr>
            </w:pPr>
            <w:r>
              <w:rPr>
                <w:rFonts w:hint="default" w:ascii="Times New Roman" w:hAnsi="Times New Roman" w:cs="Times New Roman"/>
                <w:color w:val="auto"/>
                <w:u w:val="none"/>
              </w:rPr>
              <w:t>石油天然气</w:t>
            </w:r>
          </w:p>
        </w:tc>
        <w:tc>
          <w:tcPr>
            <w:tcW w:w="5566" w:type="dxa"/>
            <w:tcBorders>
              <w:tl2br w:val="nil"/>
              <w:tr2bl w:val="nil"/>
            </w:tcBorders>
            <w:vAlign w:val="center"/>
          </w:tcPr>
          <w:p w14:paraId="0A32863F">
            <w:pPr>
              <w:pStyle w:val="41"/>
              <w:rPr>
                <w:rFonts w:hint="default" w:ascii="Times New Roman" w:hAnsi="Times New Roman" w:cs="Times New Roman"/>
                <w:color w:val="auto"/>
                <w:u w:val="none"/>
              </w:rPr>
            </w:pPr>
            <w:r>
              <w:rPr>
                <w:rFonts w:hint="default" w:ascii="Times New Roman" w:hAnsi="Times New Roman" w:cs="Times New Roman"/>
                <w:color w:val="auto"/>
                <w:u w:val="none"/>
              </w:rPr>
              <w:t>石油、天然气、页岩气开采（含净化）气库（不含加气站的气库）油库（不含加气站油库）、油气管线b（不含城镇燃气管线）</w:t>
            </w:r>
          </w:p>
        </w:tc>
        <w:tc>
          <w:tcPr>
            <w:tcW w:w="1274" w:type="dxa"/>
            <w:tcBorders>
              <w:tl2br w:val="nil"/>
              <w:tr2bl w:val="nil"/>
            </w:tcBorders>
            <w:vAlign w:val="center"/>
          </w:tcPr>
          <w:p w14:paraId="10A539DA">
            <w:pPr>
              <w:pStyle w:val="41"/>
              <w:rPr>
                <w:rFonts w:hint="default" w:ascii="Times New Roman" w:hAnsi="Times New Roman" w:cs="Times New Roman"/>
                <w:color w:val="auto"/>
                <w:u w:val="none"/>
              </w:rPr>
            </w:pPr>
            <w:r>
              <w:rPr>
                <w:rFonts w:hint="default" w:ascii="Times New Roman" w:hAnsi="Times New Roman" w:cs="Times New Roman"/>
                <w:color w:val="auto"/>
                <w:u w:val="none"/>
              </w:rPr>
              <w:t>10</w:t>
            </w:r>
          </w:p>
        </w:tc>
      </w:tr>
      <w:tr w14:paraId="2C1ED2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496" w:type="dxa"/>
            <w:tcBorders>
              <w:tl2br w:val="nil"/>
              <w:tr2bl w:val="nil"/>
            </w:tcBorders>
            <w:vAlign w:val="center"/>
          </w:tcPr>
          <w:p w14:paraId="795C369B">
            <w:pPr>
              <w:pStyle w:val="41"/>
              <w:rPr>
                <w:rFonts w:hint="default" w:ascii="Times New Roman" w:hAnsi="Times New Roman" w:cs="Times New Roman"/>
                <w:color w:val="auto"/>
                <w:u w:val="none"/>
              </w:rPr>
            </w:pPr>
            <w:r>
              <w:rPr>
                <w:rFonts w:hint="default" w:ascii="Times New Roman" w:hAnsi="Times New Roman" w:cs="Times New Roman"/>
                <w:color w:val="auto"/>
                <w:u w:val="none"/>
              </w:rPr>
              <w:t>其他</w:t>
            </w:r>
          </w:p>
        </w:tc>
        <w:tc>
          <w:tcPr>
            <w:tcW w:w="5566" w:type="dxa"/>
            <w:tcBorders>
              <w:tl2br w:val="nil"/>
              <w:tr2bl w:val="nil"/>
            </w:tcBorders>
            <w:vAlign w:val="center"/>
          </w:tcPr>
          <w:p w14:paraId="65E70EA2">
            <w:pPr>
              <w:pStyle w:val="41"/>
              <w:rPr>
                <w:rFonts w:hint="default" w:ascii="Times New Roman" w:hAnsi="Times New Roman" w:cs="Times New Roman"/>
                <w:color w:val="auto"/>
                <w:u w:val="none"/>
              </w:rPr>
            </w:pPr>
            <w:r>
              <w:rPr>
                <w:rFonts w:hint="default" w:ascii="Times New Roman" w:hAnsi="Times New Roman" w:cs="Times New Roman"/>
                <w:color w:val="auto"/>
                <w:u w:val="none"/>
              </w:rPr>
              <w:t>涉及危险物质使用、贮存的项目</w:t>
            </w:r>
          </w:p>
        </w:tc>
        <w:tc>
          <w:tcPr>
            <w:tcW w:w="1274" w:type="dxa"/>
            <w:tcBorders>
              <w:tl2br w:val="nil"/>
              <w:tr2bl w:val="nil"/>
            </w:tcBorders>
            <w:vAlign w:val="center"/>
          </w:tcPr>
          <w:p w14:paraId="726B71F2">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r>
      <w:tr w14:paraId="7300A1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8336" w:type="dxa"/>
            <w:gridSpan w:val="3"/>
            <w:tcBorders>
              <w:tl2br w:val="nil"/>
              <w:tr2bl w:val="nil"/>
            </w:tcBorders>
            <w:vAlign w:val="center"/>
          </w:tcPr>
          <w:p w14:paraId="476A48A8">
            <w:pPr>
              <w:pStyle w:val="41"/>
              <w:rPr>
                <w:rFonts w:hint="default" w:ascii="Times New Roman" w:hAnsi="Times New Roman" w:cs="Times New Roman"/>
                <w:color w:val="auto"/>
                <w:u w:val="none"/>
              </w:rPr>
            </w:pPr>
            <w:r>
              <w:rPr>
                <w:rFonts w:hint="default" w:ascii="Times New Roman" w:hAnsi="Times New Roman" w:cs="Times New Roman"/>
                <w:color w:val="auto"/>
                <w:u w:val="none"/>
              </w:rPr>
              <w:t>A高温指工艺温度≥300℃，高压指压力容器的设计压力（P）≥10.0MPa；B长数管道运输项目应按站场、管线分段进行评价</w:t>
            </w:r>
          </w:p>
        </w:tc>
      </w:tr>
    </w:tbl>
    <w:p w14:paraId="61D8497C">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5  </w:t>
      </w:r>
      <w:r>
        <w:rPr>
          <w:rFonts w:hint="default" w:ascii="Times New Roman" w:hAnsi="Times New Roman" w:cs="Times New Roman"/>
          <w:b/>
          <w:bCs/>
          <w:color w:val="auto"/>
          <w:u w:val="none"/>
        </w:rPr>
        <w:t>行业及生产工艺类型划分</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39"/>
        <w:gridCol w:w="3927"/>
      </w:tblGrid>
      <w:tr w14:paraId="0077D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4423" w:type="dxa"/>
            <w:tcBorders>
              <w:tl2br w:val="nil"/>
              <w:tr2bl w:val="nil"/>
            </w:tcBorders>
          </w:tcPr>
          <w:p w14:paraId="13993E3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工艺与环境风险控制水平值（M）</w:t>
            </w:r>
          </w:p>
        </w:tc>
        <w:tc>
          <w:tcPr>
            <w:tcW w:w="3913" w:type="dxa"/>
            <w:tcBorders>
              <w:tl2br w:val="nil"/>
              <w:tr2bl w:val="nil"/>
            </w:tcBorders>
          </w:tcPr>
          <w:p w14:paraId="179CA3A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工艺过程与环境风险控制水平</w:t>
            </w:r>
          </w:p>
        </w:tc>
      </w:tr>
      <w:tr w14:paraId="214140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4423" w:type="dxa"/>
            <w:tcBorders>
              <w:tl2br w:val="nil"/>
              <w:tr2bl w:val="nil"/>
            </w:tcBorders>
          </w:tcPr>
          <w:p w14:paraId="362DED0F">
            <w:pPr>
              <w:pStyle w:val="41"/>
              <w:rPr>
                <w:rFonts w:hint="default" w:ascii="Times New Roman" w:hAnsi="Times New Roman" w:cs="Times New Roman"/>
                <w:color w:val="auto"/>
                <w:u w:val="none"/>
              </w:rPr>
            </w:pPr>
            <w:r>
              <w:rPr>
                <w:rFonts w:hint="default" w:ascii="Times New Roman" w:hAnsi="Times New Roman" w:cs="Times New Roman"/>
                <w:color w:val="auto"/>
                <w:u w:val="none"/>
              </w:rPr>
              <w:t>M&gt;20</w:t>
            </w:r>
          </w:p>
        </w:tc>
        <w:tc>
          <w:tcPr>
            <w:tcW w:w="3913" w:type="dxa"/>
            <w:tcBorders>
              <w:tl2br w:val="nil"/>
              <w:tr2bl w:val="nil"/>
            </w:tcBorders>
          </w:tcPr>
          <w:p w14:paraId="5092DC64">
            <w:pPr>
              <w:pStyle w:val="41"/>
              <w:rPr>
                <w:rFonts w:hint="default" w:ascii="Times New Roman" w:hAnsi="Times New Roman" w:cs="Times New Roman"/>
                <w:color w:val="auto"/>
                <w:u w:val="none"/>
              </w:rPr>
            </w:pPr>
            <w:r>
              <w:rPr>
                <w:rFonts w:hint="default" w:ascii="Times New Roman" w:hAnsi="Times New Roman" w:cs="Times New Roman"/>
                <w:color w:val="auto"/>
                <w:u w:val="none"/>
              </w:rPr>
              <w:t>M1类水平</w:t>
            </w:r>
          </w:p>
        </w:tc>
      </w:tr>
      <w:tr w14:paraId="6368D2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4423" w:type="dxa"/>
            <w:tcBorders>
              <w:tl2br w:val="nil"/>
              <w:tr2bl w:val="nil"/>
            </w:tcBorders>
          </w:tcPr>
          <w:p w14:paraId="3B670F06">
            <w:pPr>
              <w:pStyle w:val="41"/>
              <w:rPr>
                <w:rFonts w:hint="default" w:ascii="Times New Roman" w:hAnsi="Times New Roman" w:cs="Times New Roman"/>
                <w:color w:val="auto"/>
                <w:u w:val="none"/>
              </w:rPr>
            </w:pPr>
            <w:r>
              <w:rPr>
                <w:rFonts w:hint="default" w:ascii="Times New Roman" w:hAnsi="Times New Roman" w:cs="Times New Roman"/>
                <w:color w:val="auto"/>
                <w:u w:val="none"/>
              </w:rPr>
              <w:t>10＜M≤20</w:t>
            </w:r>
          </w:p>
        </w:tc>
        <w:tc>
          <w:tcPr>
            <w:tcW w:w="3913" w:type="dxa"/>
            <w:tcBorders>
              <w:tl2br w:val="nil"/>
              <w:tr2bl w:val="nil"/>
            </w:tcBorders>
          </w:tcPr>
          <w:p w14:paraId="389FE91E">
            <w:pPr>
              <w:pStyle w:val="41"/>
              <w:rPr>
                <w:rFonts w:hint="default" w:ascii="Times New Roman" w:hAnsi="Times New Roman" w:cs="Times New Roman"/>
                <w:color w:val="auto"/>
                <w:u w:val="none"/>
              </w:rPr>
            </w:pPr>
            <w:r>
              <w:rPr>
                <w:rFonts w:hint="default" w:ascii="Times New Roman" w:hAnsi="Times New Roman" w:cs="Times New Roman"/>
                <w:color w:val="auto"/>
                <w:u w:val="none"/>
              </w:rPr>
              <w:t>M2类水平</w:t>
            </w:r>
          </w:p>
        </w:tc>
      </w:tr>
      <w:tr w14:paraId="3D85CF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4423" w:type="dxa"/>
            <w:tcBorders>
              <w:tl2br w:val="nil"/>
              <w:tr2bl w:val="nil"/>
            </w:tcBorders>
          </w:tcPr>
          <w:p w14:paraId="1D75E3EC">
            <w:pPr>
              <w:pStyle w:val="41"/>
              <w:rPr>
                <w:rFonts w:hint="default" w:ascii="Times New Roman" w:hAnsi="Times New Roman" w:cs="Times New Roman"/>
                <w:color w:val="auto"/>
                <w:u w:val="none"/>
              </w:rPr>
            </w:pPr>
            <w:r>
              <w:rPr>
                <w:rFonts w:hint="default" w:ascii="Times New Roman" w:hAnsi="Times New Roman" w:cs="Times New Roman"/>
                <w:color w:val="auto"/>
                <w:u w:val="none"/>
              </w:rPr>
              <w:t>5＜M≤10</w:t>
            </w:r>
          </w:p>
        </w:tc>
        <w:tc>
          <w:tcPr>
            <w:tcW w:w="3913" w:type="dxa"/>
            <w:tcBorders>
              <w:tl2br w:val="nil"/>
              <w:tr2bl w:val="nil"/>
            </w:tcBorders>
          </w:tcPr>
          <w:p w14:paraId="013BDCDC">
            <w:pPr>
              <w:pStyle w:val="41"/>
              <w:rPr>
                <w:rFonts w:hint="default" w:ascii="Times New Roman" w:hAnsi="Times New Roman" w:cs="Times New Roman"/>
                <w:color w:val="auto"/>
                <w:u w:val="none"/>
              </w:rPr>
            </w:pPr>
            <w:r>
              <w:rPr>
                <w:rFonts w:hint="default" w:ascii="Times New Roman" w:hAnsi="Times New Roman" w:cs="Times New Roman"/>
                <w:color w:val="auto"/>
                <w:u w:val="none"/>
              </w:rPr>
              <w:t>M3类水平</w:t>
            </w:r>
          </w:p>
        </w:tc>
      </w:tr>
      <w:tr w14:paraId="19DC7A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4423" w:type="dxa"/>
            <w:tcBorders>
              <w:tl2br w:val="nil"/>
              <w:tr2bl w:val="nil"/>
            </w:tcBorders>
          </w:tcPr>
          <w:p w14:paraId="42105271">
            <w:pPr>
              <w:pStyle w:val="41"/>
              <w:rPr>
                <w:rFonts w:hint="default" w:ascii="Times New Roman" w:hAnsi="Times New Roman" w:cs="Times New Roman"/>
                <w:color w:val="auto"/>
                <w:u w:val="none"/>
              </w:rPr>
            </w:pPr>
            <w:r>
              <w:rPr>
                <w:rFonts w:hint="default" w:ascii="Times New Roman" w:hAnsi="Times New Roman" w:cs="Times New Roman"/>
                <w:color w:val="auto"/>
                <w:u w:val="none"/>
              </w:rPr>
              <w:t>M=5</w:t>
            </w:r>
          </w:p>
        </w:tc>
        <w:tc>
          <w:tcPr>
            <w:tcW w:w="3913" w:type="dxa"/>
            <w:tcBorders>
              <w:tl2br w:val="nil"/>
              <w:tr2bl w:val="nil"/>
            </w:tcBorders>
          </w:tcPr>
          <w:p w14:paraId="106A4277">
            <w:pPr>
              <w:pStyle w:val="41"/>
              <w:rPr>
                <w:rFonts w:hint="default" w:ascii="Times New Roman" w:hAnsi="Times New Roman" w:cs="Times New Roman"/>
                <w:color w:val="auto"/>
                <w:u w:val="none"/>
              </w:rPr>
            </w:pPr>
            <w:r>
              <w:rPr>
                <w:rFonts w:hint="default" w:ascii="Times New Roman" w:hAnsi="Times New Roman" w:cs="Times New Roman"/>
                <w:color w:val="auto"/>
                <w:u w:val="none"/>
              </w:rPr>
              <w:t>M4类水平</w:t>
            </w:r>
          </w:p>
        </w:tc>
      </w:tr>
    </w:tbl>
    <w:p w14:paraId="51DCAA9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6  </w:t>
      </w:r>
      <w:r>
        <w:rPr>
          <w:rFonts w:hint="default" w:ascii="Times New Roman" w:hAnsi="Times New Roman" w:cs="Times New Roman"/>
          <w:b/>
          <w:bCs/>
          <w:color w:val="auto"/>
          <w:u w:val="none"/>
        </w:rPr>
        <w:t>建设项目M值确定表</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77"/>
        <w:gridCol w:w="2381"/>
        <w:gridCol w:w="3632"/>
        <w:gridCol w:w="1176"/>
      </w:tblGrid>
      <w:tr w14:paraId="5D9044D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1173" w:type="dxa"/>
            <w:tcBorders>
              <w:bottom w:val="single" w:color="000000" w:sz="4" w:space="0"/>
              <w:right w:val="single" w:color="000000" w:sz="4" w:space="0"/>
            </w:tcBorders>
          </w:tcPr>
          <w:p w14:paraId="433C50D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2372" w:type="dxa"/>
            <w:tcBorders>
              <w:left w:val="single" w:color="000000" w:sz="4" w:space="0"/>
              <w:bottom w:val="single" w:color="000000" w:sz="4" w:space="0"/>
              <w:right w:val="single" w:color="000000" w:sz="4" w:space="0"/>
            </w:tcBorders>
          </w:tcPr>
          <w:p w14:paraId="7CC5F64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工艺单元名称</w:t>
            </w:r>
          </w:p>
        </w:tc>
        <w:tc>
          <w:tcPr>
            <w:tcW w:w="3619" w:type="dxa"/>
            <w:tcBorders>
              <w:left w:val="single" w:color="000000" w:sz="4" w:space="0"/>
              <w:bottom w:val="single" w:color="000000" w:sz="4" w:space="0"/>
              <w:right w:val="single" w:color="000000" w:sz="4" w:space="0"/>
            </w:tcBorders>
          </w:tcPr>
          <w:p w14:paraId="50D9C19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生产工艺</w:t>
            </w:r>
          </w:p>
        </w:tc>
        <w:tc>
          <w:tcPr>
            <w:tcW w:w="1172" w:type="dxa"/>
            <w:tcBorders>
              <w:left w:val="single" w:color="000000" w:sz="4" w:space="0"/>
              <w:bottom w:val="single" w:color="000000" w:sz="4" w:space="0"/>
            </w:tcBorders>
          </w:tcPr>
          <w:p w14:paraId="0864DF2A">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M分值</w:t>
            </w:r>
          </w:p>
        </w:tc>
      </w:tr>
      <w:tr w14:paraId="56DD99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2" w:hRule="atLeast"/>
          <w:jc w:val="center"/>
        </w:trPr>
        <w:tc>
          <w:tcPr>
            <w:tcW w:w="1173" w:type="dxa"/>
            <w:tcBorders>
              <w:top w:val="single" w:color="000000" w:sz="4" w:space="0"/>
              <w:bottom w:val="single" w:color="000000" w:sz="4" w:space="0"/>
              <w:right w:val="single" w:color="000000" w:sz="4" w:space="0"/>
            </w:tcBorders>
          </w:tcPr>
          <w:p w14:paraId="7B940320">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2372" w:type="dxa"/>
            <w:tcBorders>
              <w:top w:val="single" w:color="000000" w:sz="4" w:space="0"/>
              <w:left w:val="single" w:color="000000" w:sz="4" w:space="0"/>
              <w:bottom w:val="single" w:color="000000" w:sz="4" w:space="0"/>
              <w:right w:val="single" w:color="000000" w:sz="4" w:space="0"/>
            </w:tcBorders>
          </w:tcPr>
          <w:p w14:paraId="0F47938D">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3619" w:type="dxa"/>
            <w:tcBorders>
              <w:top w:val="single" w:color="000000" w:sz="4" w:space="0"/>
              <w:left w:val="single" w:color="000000" w:sz="4" w:space="0"/>
              <w:bottom w:val="single" w:color="000000" w:sz="4" w:space="0"/>
              <w:right w:val="single" w:color="000000" w:sz="4" w:space="0"/>
            </w:tcBorders>
          </w:tcPr>
          <w:p w14:paraId="5BBFB490">
            <w:pPr>
              <w:pStyle w:val="41"/>
              <w:rPr>
                <w:rFonts w:hint="default" w:ascii="Times New Roman" w:hAnsi="Times New Roman" w:cs="Times New Roman"/>
                <w:color w:val="auto"/>
                <w:u w:val="none"/>
              </w:rPr>
            </w:pPr>
            <w:r>
              <w:rPr>
                <w:rFonts w:hint="default" w:ascii="Times New Roman" w:hAnsi="Times New Roman" w:cs="Times New Roman"/>
                <w:color w:val="auto"/>
                <w:u w:val="none"/>
              </w:rPr>
              <w:t>涉及危险物质使用、贮存的项目</w:t>
            </w:r>
          </w:p>
        </w:tc>
        <w:tc>
          <w:tcPr>
            <w:tcW w:w="1172" w:type="dxa"/>
            <w:tcBorders>
              <w:top w:val="single" w:color="000000" w:sz="4" w:space="0"/>
              <w:left w:val="single" w:color="000000" w:sz="4" w:space="0"/>
              <w:bottom w:val="single" w:color="000000" w:sz="4" w:space="0"/>
            </w:tcBorders>
          </w:tcPr>
          <w:p w14:paraId="3AC2FE1C">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r>
      <w:tr w14:paraId="3B598A7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1" w:hRule="atLeast"/>
          <w:jc w:val="center"/>
        </w:trPr>
        <w:tc>
          <w:tcPr>
            <w:tcW w:w="7164" w:type="dxa"/>
            <w:gridSpan w:val="3"/>
            <w:tcBorders>
              <w:top w:val="single" w:color="000000" w:sz="4" w:space="0"/>
              <w:right w:val="single" w:color="000000" w:sz="4" w:space="0"/>
            </w:tcBorders>
          </w:tcPr>
          <w:p w14:paraId="5B3D2E7C">
            <w:pPr>
              <w:pStyle w:val="41"/>
              <w:rPr>
                <w:rFonts w:hint="default" w:ascii="Times New Roman" w:hAnsi="Times New Roman" w:cs="Times New Roman"/>
                <w:color w:val="auto"/>
                <w:u w:val="none"/>
              </w:rPr>
            </w:pPr>
            <w:r>
              <w:rPr>
                <w:rFonts w:hint="default" w:ascii="Times New Roman" w:hAnsi="Times New Roman" w:cs="Times New Roman"/>
                <w:color w:val="auto"/>
                <w:u w:val="none"/>
              </w:rPr>
              <w:t>项目M值∑</w:t>
            </w:r>
          </w:p>
        </w:tc>
        <w:tc>
          <w:tcPr>
            <w:tcW w:w="1172" w:type="dxa"/>
            <w:tcBorders>
              <w:top w:val="single" w:color="000000" w:sz="4" w:space="0"/>
              <w:left w:val="single" w:color="000000" w:sz="4" w:space="0"/>
            </w:tcBorders>
          </w:tcPr>
          <w:p w14:paraId="3104A4E5">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r>
    </w:tbl>
    <w:p w14:paraId="7CB322C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经计算本项目M值为5，属于M4类水平。</w:t>
      </w:r>
    </w:p>
    <w:p w14:paraId="6A25873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3、P值的确定</w:t>
      </w:r>
    </w:p>
    <w:p w14:paraId="4102D15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项目危险物质及工艺系统危险性等级判断（P）判定如下表所示：</w:t>
      </w:r>
    </w:p>
    <w:p w14:paraId="7F40E11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7  </w:t>
      </w:r>
      <w:r>
        <w:rPr>
          <w:rFonts w:hint="default" w:ascii="Times New Roman" w:hAnsi="Times New Roman" w:cs="Times New Roman"/>
          <w:b/>
          <w:bCs/>
          <w:color w:val="auto"/>
          <w:u w:val="none"/>
        </w:rPr>
        <w:t>危险物质及工艺系统危险性等级判断（P）</w:t>
      </w:r>
    </w:p>
    <w:tbl>
      <w:tblPr>
        <w:tblStyle w:val="30"/>
        <w:tblW w:w="5036"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916"/>
        <w:gridCol w:w="1275"/>
        <w:gridCol w:w="1401"/>
        <w:gridCol w:w="1401"/>
        <w:gridCol w:w="1403"/>
      </w:tblGrid>
      <w:tr w14:paraId="141750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2906" w:type="dxa"/>
            <w:vMerge w:val="restart"/>
            <w:tcBorders>
              <w:bottom w:val="single" w:color="000000" w:sz="4" w:space="0"/>
              <w:right w:val="single" w:color="000000" w:sz="4" w:space="0"/>
            </w:tcBorders>
            <w:vAlign w:val="center"/>
          </w:tcPr>
          <w:p w14:paraId="14153BAC">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危险物质数量与临界量比值（Q）</w:t>
            </w:r>
          </w:p>
        </w:tc>
        <w:tc>
          <w:tcPr>
            <w:tcW w:w="5460" w:type="dxa"/>
            <w:gridSpan w:val="4"/>
            <w:tcBorders>
              <w:left w:val="single" w:color="000000" w:sz="4" w:space="0"/>
              <w:bottom w:val="single" w:color="000000" w:sz="4" w:space="0"/>
            </w:tcBorders>
            <w:vAlign w:val="center"/>
          </w:tcPr>
          <w:p w14:paraId="7D37BC22">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行业及生产工艺（M）</w:t>
            </w:r>
          </w:p>
        </w:tc>
      </w:tr>
      <w:tr w14:paraId="3FC666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2906" w:type="dxa"/>
            <w:vMerge w:val="continue"/>
            <w:tcBorders>
              <w:top w:val="nil"/>
              <w:bottom w:val="single" w:color="000000" w:sz="4" w:space="0"/>
              <w:right w:val="single" w:color="000000" w:sz="4" w:space="0"/>
            </w:tcBorders>
            <w:vAlign w:val="center"/>
          </w:tcPr>
          <w:p w14:paraId="77C3B8CE">
            <w:pPr>
              <w:pStyle w:val="41"/>
              <w:rPr>
                <w:rFonts w:hint="default" w:ascii="Times New Roman" w:hAnsi="Times New Roman" w:cs="Times New Roman"/>
                <w:color w:val="auto"/>
                <w:sz w:val="21"/>
                <w:szCs w:val="21"/>
                <w:u w:val="none"/>
              </w:rPr>
            </w:pPr>
          </w:p>
        </w:tc>
        <w:tc>
          <w:tcPr>
            <w:tcW w:w="1270" w:type="dxa"/>
            <w:tcBorders>
              <w:top w:val="single" w:color="000000" w:sz="4" w:space="0"/>
              <w:left w:val="single" w:color="000000" w:sz="4" w:space="0"/>
              <w:bottom w:val="single" w:color="000000" w:sz="4" w:space="0"/>
              <w:right w:val="single" w:color="000000" w:sz="4" w:space="0"/>
            </w:tcBorders>
            <w:vAlign w:val="center"/>
          </w:tcPr>
          <w:p w14:paraId="6C6C3B07">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M1</w:t>
            </w:r>
          </w:p>
        </w:tc>
        <w:tc>
          <w:tcPr>
            <w:tcW w:w="1396" w:type="dxa"/>
            <w:tcBorders>
              <w:top w:val="single" w:color="000000" w:sz="4" w:space="0"/>
              <w:left w:val="single" w:color="000000" w:sz="4" w:space="0"/>
              <w:bottom w:val="single" w:color="000000" w:sz="4" w:space="0"/>
              <w:right w:val="single" w:color="000000" w:sz="4" w:space="0"/>
            </w:tcBorders>
            <w:vAlign w:val="center"/>
          </w:tcPr>
          <w:p w14:paraId="2262C9F3">
            <w:pPr>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M2</w:t>
            </w:r>
          </w:p>
        </w:tc>
        <w:tc>
          <w:tcPr>
            <w:tcW w:w="1396" w:type="dxa"/>
            <w:tcBorders>
              <w:top w:val="single" w:color="000000" w:sz="4" w:space="0"/>
              <w:left w:val="single" w:color="000000" w:sz="4" w:space="0"/>
              <w:bottom w:val="single" w:color="000000" w:sz="4" w:space="0"/>
              <w:right w:val="single" w:color="000000" w:sz="4" w:space="0"/>
            </w:tcBorders>
            <w:vAlign w:val="center"/>
          </w:tcPr>
          <w:p w14:paraId="5B4B3B70">
            <w:pPr>
              <w:ind w:firstLine="480"/>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M3</w:t>
            </w:r>
          </w:p>
        </w:tc>
        <w:tc>
          <w:tcPr>
            <w:tcW w:w="1398" w:type="dxa"/>
            <w:tcBorders>
              <w:top w:val="single" w:color="000000" w:sz="4" w:space="0"/>
              <w:left w:val="single" w:color="000000" w:sz="4" w:space="0"/>
              <w:bottom w:val="single" w:color="000000" w:sz="4" w:space="0"/>
            </w:tcBorders>
            <w:vAlign w:val="center"/>
          </w:tcPr>
          <w:p w14:paraId="2902C93C">
            <w:pPr>
              <w:ind w:left="0" w:leftChars="0" w:firstLine="0" w:firstLineChars="0"/>
              <w:jc w:val="center"/>
              <w:rPr>
                <w:rFonts w:hint="default" w:ascii="Times New Roman" w:hAnsi="Times New Roman" w:cs="Times New Roman"/>
                <w:color w:val="auto"/>
                <w:sz w:val="21"/>
                <w:szCs w:val="21"/>
                <w:u w:val="none"/>
              </w:rPr>
            </w:pPr>
            <w:r>
              <w:rPr>
                <w:rFonts w:hint="default" w:ascii="Times New Roman" w:hAnsi="Times New Roman" w:cs="Times New Roman"/>
                <w:b/>
                <w:bCs/>
                <w:color w:val="auto"/>
                <w:sz w:val="21"/>
                <w:szCs w:val="21"/>
                <w:u w:val="none"/>
              </w:rPr>
              <w:t>M4</w:t>
            </w:r>
          </w:p>
        </w:tc>
      </w:tr>
      <w:tr w14:paraId="6303FA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2906" w:type="dxa"/>
            <w:tcBorders>
              <w:top w:val="single" w:color="000000" w:sz="4" w:space="0"/>
              <w:bottom w:val="single" w:color="000000" w:sz="4" w:space="0"/>
              <w:right w:val="single" w:color="000000" w:sz="4" w:space="0"/>
            </w:tcBorders>
            <w:vAlign w:val="center"/>
          </w:tcPr>
          <w:p w14:paraId="64411EA8">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Q≥100</w:t>
            </w:r>
          </w:p>
        </w:tc>
        <w:tc>
          <w:tcPr>
            <w:tcW w:w="1270" w:type="dxa"/>
            <w:tcBorders>
              <w:top w:val="single" w:color="000000" w:sz="4" w:space="0"/>
              <w:left w:val="single" w:color="000000" w:sz="4" w:space="0"/>
              <w:bottom w:val="single" w:color="000000" w:sz="4" w:space="0"/>
              <w:right w:val="single" w:color="000000" w:sz="4" w:space="0"/>
            </w:tcBorders>
            <w:vAlign w:val="center"/>
          </w:tcPr>
          <w:p w14:paraId="491C508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P1</w:t>
            </w:r>
          </w:p>
        </w:tc>
        <w:tc>
          <w:tcPr>
            <w:tcW w:w="1396" w:type="dxa"/>
            <w:tcBorders>
              <w:top w:val="single" w:color="000000" w:sz="4" w:space="0"/>
              <w:left w:val="single" w:color="000000" w:sz="4" w:space="0"/>
              <w:bottom w:val="single" w:color="000000" w:sz="4" w:space="0"/>
              <w:right w:val="single" w:color="000000" w:sz="4" w:space="0"/>
            </w:tcBorders>
            <w:vAlign w:val="center"/>
          </w:tcPr>
          <w:p w14:paraId="5A3F3E37">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P1</w:t>
            </w:r>
          </w:p>
        </w:tc>
        <w:tc>
          <w:tcPr>
            <w:tcW w:w="1396" w:type="dxa"/>
            <w:tcBorders>
              <w:top w:val="single" w:color="000000" w:sz="4" w:space="0"/>
              <w:left w:val="single" w:color="000000" w:sz="4" w:space="0"/>
              <w:bottom w:val="single" w:color="000000" w:sz="4" w:space="0"/>
              <w:right w:val="single" w:color="000000" w:sz="4" w:space="0"/>
            </w:tcBorders>
            <w:vAlign w:val="center"/>
          </w:tcPr>
          <w:p w14:paraId="2B83CED0">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P2</w:t>
            </w:r>
          </w:p>
        </w:tc>
        <w:tc>
          <w:tcPr>
            <w:tcW w:w="1398" w:type="dxa"/>
            <w:tcBorders>
              <w:top w:val="single" w:color="000000" w:sz="4" w:space="0"/>
              <w:left w:val="single" w:color="000000" w:sz="4" w:space="0"/>
              <w:bottom w:val="single" w:color="000000" w:sz="4" w:space="0"/>
            </w:tcBorders>
            <w:vAlign w:val="center"/>
          </w:tcPr>
          <w:p w14:paraId="1D9970DA">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P3</w:t>
            </w:r>
          </w:p>
        </w:tc>
      </w:tr>
      <w:tr w14:paraId="3BF568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2906" w:type="dxa"/>
            <w:tcBorders>
              <w:top w:val="single" w:color="000000" w:sz="4" w:space="0"/>
              <w:bottom w:val="single" w:color="000000" w:sz="4" w:space="0"/>
              <w:right w:val="single" w:color="000000" w:sz="4" w:space="0"/>
            </w:tcBorders>
            <w:vAlign w:val="center"/>
          </w:tcPr>
          <w:p w14:paraId="5DE048DD">
            <w:pPr>
              <w:pStyle w:val="41"/>
              <w:rPr>
                <w:rFonts w:hint="default" w:ascii="Times New Roman" w:hAnsi="Times New Roman" w:cs="Times New Roman"/>
                <w:color w:val="auto"/>
                <w:sz w:val="21"/>
                <w:szCs w:val="21"/>
                <w:u w:val="none"/>
              </w:rPr>
            </w:pPr>
            <w:r>
              <w:rPr>
                <w:rFonts w:hint="default" w:ascii="Times New Roman" w:hAnsi="Times New Roman" w:cs="Times New Roman"/>
                <w:b w:val="0"/>
                <w:bCs w:val="0"/>
                <w:color w:val="auto"/>
                <w:sz w:val="21"/>
                <w:szCs w:val="21"/>
                <w:u w:val="none"/>
              </w:rPr>
              <w:t>10≤Q＜100</w:t>
            </w:r>
          </w:p>
        </w:tc>
        <w:tc>
          <w:tcPr>
            <w:tcW w:w="1270" w:type="dxa"/>
            <w:tcBorders>
              <w:top w:val="single" w:color="000000" w:sz="4" w:space="0"/>
              <w:left w:val="single" w:color="000000" w:sz="4" w:space="0"/>
              <w:bottom w:val="single" w:color="000000" w:sz="4" w:space="0"/>
              <w:right w:val="single" w:color="000000" w:sz="4" w:space="0"/>
            </w:tcBorders>
            <w:vAlign w:val="center"/>
          </w:tcPr>
          <w:p w14:paraId="07469F3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P1</w:t>
            </w:r>
          </w:p>
        </w:tc>
        <w:tc>
          <w:tcPr>
            <w:tcW w:w="1396" w:type="dxa"/>
            <w:tcBorders>
              <w:top w:val="single" w:color="000000" w:sz="4" w:space="0"/>
              <w:left w:val="single" w:color="000000" w:sz="4" w:space="0"/>
              <w:bottom w:val="single" w:color="000000" w:sz="4" w:space="0"/>
              <w:right w:val="single" w:color="000000" w:sz="4" w:space="0"/>
            </w:tcBorders>
            <w:vAlign w:val="center"/>
          </w:tcPr>
          <w:p w14:paraId="241DE3BB">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P2</w:t>
            </w:r>
          </w:p>
        </w:tc>
        <w:tc>
          <w:tcPr>
            <w:tcW w:w="1396" w:type="dxa"/>
            <w:tcBorders>
              <w:top w:val="single" w:color="000000" w:sz="4" w:space="0"/>
              <w:left w:val="single" w:color="000000" w:sz="4" w:space="0"/>
              <w:bottom w:val="single" w:color="000000" w:sz="4" w:space="0"/>
              <w:right w:val="single" w:color="000000" w:sz="4" w:space="0"/>
            </w:tcBorders>
            <w:vAlign w:val="center"/>
          </w:tcPr>
          <w:p w14:paraId="58353634">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P3</w:t>
            </w:r>
          </w:p>
        </w:tc>
        <w:tc>
          <w:tcPr>
            <w:tcW w:w="1398" w:type="dxa"/>
            <w:tcBorders>
              <w:top w:val="single" w:color="000000" w:sz="4" w:space="0"/>
              <w:left w:val="single" w:color="000000" w:sz="4" w:space="0"/>
              <w:bottom w:val="single" w:color="000000" w:sz="4" w:space="0"/>
            </w:tcBorders>
            <w:vAlign w:val="center"/>
          </w:tcPr>
          <w:p w14:paraId="45E722E5">
            <w:pPr>
              <w:pStyle w:val="41"/>
              <w:rPr>
                <w:rFonts w:hint="default" w:ascii="Times New Roman" w:hAnsi="Times New Roman" w:cs="Times New Roman"/>
                <w:color w:val="auto"/>
                <w:sz w:val="21"/>
                <w:szCs w:val="21"/>
                <w:u w:val="none"/>
              </w:rPr>
            </w:pPr>
            <w:r>
              <w:rPr>
                <w:rFonts w:hint="default" w:ascii="Times New Roman" w:hAnsi="Times New Roman" w:cs="Times New Roman"/>
                <w:b w:val="0"/>
                <w:bCs w:val="0"/>
                <w:color w:val="auto"/>
                <w:sz w:val="21"/>
                <w:szCs w:val="21"/>
                <w:u w:val="none"/>
              </w:rPr>
              <w:t>P4</w:t>
            </w:r>
          </w:p>
        </w:tc>
      </w:tr>
      <w:tr w14:paraId="38DDD0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jc w:val="center"/>
        </w:trPr>
        <w:tc>
          <w:tcPr>
            <w:tcW w:w="2906" w:type="dxa"/>
            <w:tcBorders>
              <w:top w:val="single" w:color="000000" w:sz="4" w:space="0"/>
              <w:right w:val="single" w:color="000000" w:sz="4" w:space="0"/>
            </w:tcBorders>
            <w:vAlign w:val="center"/>
          </w:tcPr>
          <w:p w14:paraId="39242925">
            <w:pPr>
              <w:pStyle w:val="41"/>
              <w:rPr>
                <w:rFonts w:hint="default" w:ascii="Times New Roman" w:hAnsi="Times New Roman" w:cs="Times New Roman"/>
                <w:color w:val="auto"/>
                <w:sz w:val="21"/>
                <w:szCs w:val="21"/>
                <w:u w:val="none"/>
              </w:rPr>
            </w:pPr>
            <w:r>
              <w:rPr>
                <w:rFonts w:hint="default" w:ascii="Times New Roman" w:hAnsi="Times New Roman" w:cs="Times New Roman"/>
                <w:b/>
                <w:bCs/>
                <w:color w:val="auto"/>
                <w:sz w:val="21"/>
                <w:szCs w:val="21"/>
                <w:u w:val="none"/>
              </w:rPr>
              <w:t>1≤Q＜10</w:t>
            </w:r>
          </w:p>
        </w:tc>
        <w:tc>
          <w:tcPr>
            <w:tcW w:w="1270" w:type="dxa"/>
            <w:tcBorders>
              <w:top w:val="single" w:color="000000" w:sz="4" w:space="0"/>
              <w:left w:val="single" w:color="000000" w:sz="4" w:space="0"/>
              <w:right w:val="single" w:color="000000" w:sz="4" w:space="0"/>
            </w:tcBorders>
            <w:vAlign w:val="center"/>
          </w:tcPr>
          <w:p w14:paraId="5DC62EF8">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P2</w:t>
            </w:r>
          </w:p>
        </w:tc>
        <w:tc>
          <w:tcPr>
            <w:tcW w:w="1396" w:type="dxa"/>
            <w:tcBorders>
              <w:top w:val="single" w:color="000000" w:sz="4" w:space="0"/>
              <w:left w:val="single" w:color="000000" w:sz="4" w:space="0"/>
              <w:right w:val="single" w:color="000000" w:sz="4" w:space="0"/>
            </w:tcBorders>
            <w:vAlign w:val="center"/>
          </w:tcPr>
          <w:p w14:paraId="2FA77C6F">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P3</w:t>
            </w:r>
          </w:p>
        </w:tc>
        <w:tc>
          <w:tcPr>
            <w:tcW w:w="1396" w:type="dxa"/>
            <w:tcBorders>
              <w:top w:val="single" w:color="000000" w:sz="4" w:space="0"/>
              <w:left w:val="single" w:color="000000" w:sz="4" w:space="0"/>
              <w:right w:val="single" w:color="000000" w:sz="4" w:space="0"/>
            </w:tcBorders>
            <w:vAlign w:val="center"/>
          </w:tcPr>
          <w:p w14:paraId="64410F2D">
            <w:pPr>
              <w:pStyle w:val="41"/>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P4</w:t>
            </w:r>
          </w:p>
        </w:tc>
        <w:tc>
          <w:tcPr>
            <w:tcW w:w="1398" w:type="dxa"/>
            <w:tcBorders>
              <w:top w:val="single" w:color="000000" w:sz="4" w:space="0"/>
              <w:left w:val="single" w:color="000000" w:sz="4" w:space="0"/>
            </w:tcBorders>
            <w:vAlign w:val="center"/>
          </w:tcPr>
          <w:p w14:paraId="7B34C061">
            <w:pPr>
              <w:pStyle w:val="41"/>
              <w:rPr>
                <w:rFonts w:hint="default" w:ascii="Times New Roman" w:hAnsi="Times New Roman" w:cs="Times New Roman"/>
                <w:color w:val="auto"/>
                <w:sz w:val="21"/>
                <w:szCs w:val="21"/>
                <w:u w:val="none"/>
              </w:rPr>
            </w:pPr>
            <w:r>
              <w:rPr>
                <w:rFonts w:hint="default" w:ascii="Times New Roman" w:hAnsi="Times New Roman" w:cs="Times New Roman"/>
                <w:b/>
                <w:bCs/>
                <w:color w:val="auto"/>
                <w:sz w:val="21"/>
                <w:szCs w:val="21"/>
                <w:u w:val="none"/>
              </w:rPr>
              <w:t>P4</w:t>
            </w:r>
          </w:p>
        </w:tc>
      </w:tr>
    </w:tbl>
    <w:p w14:paraId="2ADA5DC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根据《建设项目环境风险评价技术导则》（HJ169－2018）附录C中P的确定依据，项目危险物质及工艺系统危害性（P）的等级为为轻度危害P4。</w:t>
      </w:r>
    </w:p>
    <w:p w14:paraId="2177055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4、环境敏感程度（E）的确定</w:t>
      </w:r>
    </w:p>
    <w:p w14:paraId="6EEF220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（1）大气环境</w:t>
      </w:r>
    </w:p>
    <w:p w14:paraId="51F30AB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大气环境风险受体敏感程度类型依据环境敏感目标环境敏感性及人口密度划分环境风险受体的敏感性，共分为三种类型，E1为环境高度敏感区，E2为环境中度敏感区，E3为环境低度敏感区表示，分级原则见表6.3-</w:t>
      </w:r>
      <w:r>
        <w:rPr>
          <w:rFonts w:hint="eastAsia" w:ascii="Times New Roman" w:hAnsi="Times New Roman" w:cs="Times New Roman"/>
          <w:color w:val="auto"/>
          <w:u w:val="none"/>
          <w:lang w:val="en-US" w:eastAsia="zh-CN"/>
        </w:rPr>
        <w:t>8</w:t>
      </w:r>
      <w:r>
        <w:rPr>
          <w:rFonts w:hint="default" w:ascii="Times New Roman" w:hAnsi="Times New Roman" w:cs="Times New Roman"/>
          <w:color w:val="auto"/>
          <w:u w:val="none"/>
        </w:rPr>
        <w:t>。</w:t>
      </w:r>
    </w:p>
    <w:p w14:paraId="2F8FC74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cs="Times New Roman"/>
          <w:b/>
          <w:bCs/>
          <w:color w:val="auto"/>
          <w:u w:val="none"/>
          <w:lang w:val="en-US" w:eastAsia="zh-CN"/>
        </w:rPr>
        <w:t xml:space="preserve">8  </w:t>
      </w:r>
      <w:r>
        <w:rPr>
          <w:rFonts w:hint="default" w:ascii="Times New Roman" w:hAnsi="Times New Roman" w:cs="Times New Roman"/>
          <w:b/>
          <w:bCs/>
          <w:color w:val="auto"/>
          <w:u w:val="none"/>
        </w:rPr>
        <w:t>大气环境风险受体敏感程度类型划分</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504"/>
        <w:gridCol w:w="6862"/>
      </w:tblGrid>
      <w:tr w14:paraId="271F42D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7" w:hRule="atLeast"/>
          <w:jc w:val="center"/>
        </w:trPr>
        <w:tc>
          <w:tcPr>
            <w:tcW w:w="1499" w:type="dxa"/>
            <w:tcBorders>
              <w:bottom w:val="single" w:color="000000" w:sz="4" w:space="0"/>
              <w:right w:val="single" w:color="000000" w:sz="4" w:space="0"/>
            </w:tcBorders>
            <w:vAlign w:val="center"/>
          </w:tcPr>
          <w:p w14:paraId="6D5C1B49">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敏感程度类型</w:t>
            </w:r>
          </w:p>
        </w:tc>
        <w:tc>
          <w:tcPr>
            <w:tcW w:w="6837" w:type="dxa"/>
            <w:tcBorders>
              <w:left w:val="single" w:color="000000" w:sz="4" w:space="0"/>
              <w:bottom w:val="single" w:color="000000" w:sz="4" w:space="0"/>
            </w:tcBorders>
            <w:vAlign w:val="center"/>
          </w:tcPr>
          <w:p w14:paraId="0A7EECD1">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大气环境风险受体</w:t>
            </w:r>
          </w:p>
        </w:tc>
      </w:tr>
      <w:tr w14:paraId="498D396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4" w:hRule="atLeast"/>
          <w:jc w:val="center"/>
        </w:trPr>
        <w:tc>
          <w:tcPr>
            <w:tcW w:w="1499" w:type="dxa"/>
            <w:tcBorders>
              <w:top w:val="single" w:color="000000" w:sz="4" w:space="0"/>
              <w:bottom w:val="single" w:color="000000" w:sz="4" w:space="0"/>
              <w:right w:val="single" w:color="000000" w:sz="4" w:space="0"/>
            </w:tcBorders>
            <w:vAlign w:val="center"/>
          </w:tcPr>
          <w:p w14:paraId="03FF4943">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6837" w:type="dxa"/>
            <w:tcBorders>
              <w:top w:val="single" w:color="000000" w:sz="4" w:space="0"/>
              <w:left w:val="single" w:color="000000" w:sz="4" w:space="0"/>
              <w:bottom w:val="single" w:color="000000" w:sz="4" w:space="0"/>
            </w:tcBorders>
            <w:vAlign w:val="center"/>
          </w:tcPr>
          <w:p w14:paraId="7BC55855">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周边5km范围内居住区、医疗卫生、文化教育、科研、行政机关等机构人口总数5万人以上，或其他需要特殊保护区域；或周边500m范围内人口总数1000人以上；油气、化学品输送管线段周边200m范围内，每千米管段人口数大于200人。</w:t>
            </w:r>
          </w:p>
        </w:tc>
      </w:tr>
      <w:tr w14:paraId="3622F0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17" w:hRule="atLeast"/>
          <w:jc w:val="center"/>
        </w:trPr>
        <w:tc>
          <w:tcPr>
            <w:tcW w:w="1499" w:type="dxa"/>
            <w:tcBorders>
              <w:top w:val="single" w:color="000000" w:sz="4" w:space="0"/>
              <w:bottom w:val="single" w:color="000000" w:sz="4" w:space="0"/>
              <w:right w:val="single" w:color="000000" w:sz="4" w:space="0"/>
            </w:tcBorders>
            <w:vAlign w:val="center"/>
          </w:tcPr>
          <w:p w14:paraId="72021AF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6837" w:type="dxa"/>
            <w:tcBorders>
              <w:top w:val="single" w:color="000000" w:sz="4" w:space="0"/>
              <w:left w:val="single" w:color="000000" w:sz="4" w:space="0"/>
              <w:bottom w:val="single" w:color="000000" w:sz="4" w:space="0"/>
            </w:tcBorders>
            <w:vAlign w:val="center"/>
          </w:tcPr>
          <w:p w14:paraId="52B37EC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周边5km范围内居住区、医疗卫生、文化教育、科研等机构人口总数大于1万人，小于5万人；或周边500m范围内人口总数大于500人，小于1000人；油气、化学品输送管线段周边200m范围内，每千米管段人口数大于100人，小于200人。</w:t>
            </w:r>
          </w:p>
        </w:tc>
      </w:tr>
      <w:tr w14:paraId="729A9A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4" w:hRule="atLeast"/>
          <w:jc w:val="center"/>
        </w:trPr>
        <w:tc>
          <w:tcPr>
            <w:tcW w:w="1499" w:type="dxa"/>
            <w:tcBorders>
              <w:top w:val="single" w:color="000000" w:sz="4" w:space="0"/>
              <w:right w:val="single" w:color="000000" w:sz="4" w:space="0"/>
            </w:tcBorders>
            <w:vAlign w:val="center"/>
          </w:tcPr>
          <w:p w14:paraId="32253C74">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E3</w:t>
            </w:r>
          </w:p>
        </w:tc>
        <w:tc>
          <w:tcPr>
            <w:tcW w:w="6837" w:type="dxa"/>
            <w:tcBorders>
              <w:top w:val="single" w:color="000000" w:sz="4" w:space="0"/>
              <w:left w:val="single" w:color="000000" w:sz="4" w:space="0"/>
            </w:tcBorders>
            <w:vAlign w:val="center"/>
          </w:tcPr>
          <w:p w14:paraId="3B8F4678">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周边5km范围内居住区、医疗卫生、文化教育、科研、行政机关、等机构人口总数小于1万人；或周边500m范围内人口总数小于500人；油气、化学品输送管线段周边200m范围内，每千米管段人口数小于100人。</w:t>
            </w:r>
          </w:p>
        </w:tc>
      </w:tr>
    </w:tbl>
    <w:p w14:paraId="6665BC9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以企业厂界计，调查周边5km范围内大气环境风险受体（包括居住区、医疗卫生、文化教育、科研、行政机关等主要功能区域内的人群、保护单位、植被等）。根据实际调查，本项目周边500m范围内人口总数大于1000人。根据《建设项目环境风险评价技术导则》（HJ169－2018）附录D，项目大气环境敏感程度为环境高度敏感区（E1）。</w:t>
      </w:r>
    </w:p>
    <w:p w14:paraId="411A67B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2、地表水环境</w:t>
      </w:r>
    </w:p>
    <w:p w14:paraId="3A7D1C0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根据《建设项目环境风险评价技术导则》（HJ169－2018），地表水环境敏感程依据事故情况下危险物质</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到水体的排放点受纳地表水体功能敏感性，与下游环境敏感目标情况，共分为三种类型，E1为环境高度敏感区，E2为环境中度敏感区，E3为环境低度敏感区，分级原则见表6.3-</w:t>
      </w:r>
      <w:r>
        <w:rPr>
          <w:rFonts w:hint="eastAsia" w:ascii="Times New Roman" w:hAnsi="Times New Roman" w:cs="Times New Roman"/>
          <w:color w:val="auto"/>
          <w:u w:val="none"/>
          <w:lang w:val="en-US" w:eastAsia="zh-CN"/>
        </w:rPr>
        <w:t>8</w:t>
      </w:r>
      <w:r>
        <w:rPr>
          <w:rFonts w:hint="default" w:ascii="Times New Roman" w:hAnsi="Times New Roman" w:cs="Times New Roman"/>
          <w:color w:val="auto"/>
          <w:u w:val="none"/>
        </w:rPr>
        <w:t>。其中地表水功能敏感性分区和环境敏感目标分级分别见表6.3-</w:t>
      </w:r>
      <w:r>
        <w:rPr>
          <w:rFonts w:hint="eastAsia" w:ascii="Times New Roman" w:hAnsi="Times New Roman" w:cs="Times New Roman"/>
          <w:color w:val="auto"/>
          <w:u w:val="none"/>
          <w:lang w:val="en-US" w:eastAsia="zh-CN"/>
        </w:rPr>
        <w:t xml:space="preserve">8 </w:t>
      </w:r>
      <w:r>
        <w:rPr>
          <w:rFonts w:hint="default" w:ascii="Times New Roman" w:hAnsi="Times New Roman" w:cs="Times New Roman"/>
          <w:color w:val="auto"/>
          <w:u w:val="none"/>
        </w:rPr>
        <w:t>和表6.3-</w:t>
      </w:r>
      <w:r>
        <w:rPr>
          <w:rFonts w:hint="eastAsia" w:ascii="Times New Roman" w:hAnsi="Times New Roman" w:cs="Times New Roman"/>
          <w:color w:val="auto"/>
          <w:u w:val="none"/>
          <w:lang w:val="en-US" w:eastAsia="zh-CN"/>
        </w:rPr>
        <w:t>9</w:t>
      </w:r>
      <w:r>
        <w:rPr>
          <w:rFonts w:hint="default" w:ascii="Times New Roman" w:hAnsi="Times New Roman" w:cs="Times New Roman"/>
          <w:color w:val="auto"/>
          <w:u w:val="none"/>
        </w:rPr>
        <w:t>。</w:t>
      </w:r>
    </w:p>
    <w:p w14:paraId="080751C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9  </w:t>
      </w:r>
      <w:r>
        <w:rPr>
          <w:rFonts w:hint="default" w:ascii="Times New Roman" w:hAnsi="Times New Roman" w:cs="Times New Roman"/>
          <w:b/>
          <w:bCs/>
          <w:color w:val="auto"/>
          <w:u w:val="none"/>
        </w:rPr>
        <w:t>地表水功能敏感分区</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0"/>
        <w:gridCol w:w="7146"/>
      </w:tblGrid>
      <w:tr w14:paraId="73FA87C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jc w:val="center"/>
        </w:trPr>
        <w:tc>
          <w:tcPr>
            <w:tcW w:w="1216" w:type="dxa"/>
            <w:tcBorders>
              <w:bottom w:val="single" w:color="000000" w:sz="4" w:space="0"/>
              <w:right w:val="single" w:color="000000" w:sz="4" w:space="0"/>
            </w:tcBorders>
          </w:tcPr>
          <w:p w14:paraId="5F18FD4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敏感性</w:t>
            </w:r>
          </w:p>
        </w:tc>
        <w:tc>
          <w:tcPr>
            <w:tcW w:w="7120" w:type="dxa"/>
            <w:tcBorders>
              <w:left w:val="single" w:color="000000" w:sz="4" w:space="0"/>
              <w:bottom w:val="single" w:color="000000" w:sz="4" w:space="0"/>
            </w:tcBorders>
          </w:tcPr>
          <w:p w14:paraId="3483C84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地下水环境敏感特征</w:t>
            </w:r>
          </w:p>
        </w:tc>
      </w:tr>
      <w:tr w14:paraId="63EC79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7" w:hRule="atLeast"/>
          <w:jc w:val="center"/>
        </w:trPr>
        <w:tc>
          <w:tcPr>
            <w:tcW w:w="1216" w:type="dxa"/>
            <w:tcBorders>
              <w:top w:val="single" w:color="000000" w:sz="4" w:space="0"/>
              <w:bottom w:val="single" w:color="000000" w:sz="4" w:space="0"/>
              <w:right w:val="single" w:color="000000" w:sz="4" w:space="0"/>
            </w:tcBorders>
          </w:tcPr>
          <w:p w14:paraId="4741E0D6">
            <w:pPr>
              <w:pStyle w:val="41"/>
              <w:rPr>
                <w:rFonts w:hint="default" w:ascii="Times New Roman" w:hAnsi="Times New Roman" w:cs="Times New Roman"/>
                <w:color w:val="auto"/>
                <w:u w:val="none"/>
              </w:rPr>
            </w:pPr>
            <w:r>
              <w:rPr>
                <w:rFonts w:hint="default" w:ascii="Times New Roman" w:hAnsi="Times New Roman" w:cs="Times New Roman"/>
                <w:color w:val="auto"/>
                <w:u w:val="none"/>
              </w:rPr>
              <w:t>敏感F1</w:t>
            </w:r>
          </w:p>
        </w:tc>
        <w:tc>
          <w:tcPr>
            <w:tcW w:w="7120" w:type="dxa"/>
            <w:tcBorders>
              <w:top w:val="single" w:color="000000" w:sz="4" w:space="0"/>
              <w:left w:val="single" w:color="000000" w:sz="4" w:space="0"/>
              <w:bottom w:val="single" w:color="000000" w:sz="4" w:space="0"/>
            </w:tcBorders>
          </w:tcPr>
          <w:p w14:paraId="153D7EE8">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排放点进入地表水水域环境功能为II类以上，或海水水质分类第一类；或以发生事故时，危险物质</w:t>
            </w:r>
            <w:r>
              <w:rPr>
                <w:rFonts w:hint="eastAsia" w:cs="Times New Roman"/>
                <w:color w:val="auto"/>
                <w:u w:val="none"/>
                <w:lang w:eastAsia="zh-CN"/>
              </w:rPr>
              <w:t>泄漏</w:t>
            </w:r>
            <w:r>
              <w:rPr>
                <w:rFonts w:hint="default" w:ascii="Times New Roman" w:hAnsi="Times New Roman" w:cs="Times New Roman"/>
                <w:color w:val="auto"/>
                <w:u w:val="none"/>
              </w:rPr>
              <w:t>到水体的排放点算起，排放进入受纳河流最大流速时，24h流经范围内涉跨国界的。</w:t>
            </w:r>
          </w:p>
        </w:tc>
      </w:tr>
      <w:tr w14:paraId="2541992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27" w:hRule="atLeast"/>
          <w:jc w:val="center"/>
        </w:trPr>
        <w:tc>
          <w:tcPr>
            <w:tcW w:w="1216" w:type="dxa"/>
            <w:tcBorders>
              <w:top w:val="single" w:color="000000" w:sz="4" w:space="0"/>
              <w:bottom w:val="single" w:color="000000" w:sz="4" w:space="0"/>
              <w:right w:val="single" w:color="000000" w:sz="4" w:space="0"/>
            </w:tcBorders>
          </w:tcPr>
          <w:p w14:paraId="38CD8575">
            <w:pPr>
              <w:pStyle w:val="41"/>
              <w:rPr>
                <w:rFonts w:hint="default" w:ascii="Times New Roman" w:hAnsi="Times New Roman" w:cs="Times New Roman"/>
                <w:color w:val="auto"/>
                <w:u w:val="none"/>
              </w:rPr>
            </w:pPr>
            <w:r>
              <w:rPr>
                <w:rFonts w:hint="default" w:ascii="Times New Roman" w:hAnsi="Times New Roman" w:cs="Times New Roman"/>
                <w:color w:val="auto"/>
                <w:u w:val="none"/>
              </w:rPr>
              <w:t>较敏感F2</w:t>
            </w:r>
          </w:p>
        </w:tc>
        <w:tc>
          <w:tcPr>
            <w:tcW w:w="7120" w:type="dxa"/>
            <w:tcBorders>
              <w:top w:val="single" w:color="000000" w:sz="4" w:space="0"/>
              <w:left w:val="single" w:color="000000" w:sz="4" w:space="0"/>
              <w:bottom w:val="single" w:color="000000" w:sz="4" w:space="0"/>
            </w:tcBorders>
          </w:tcPr>
          <w:p w14:paraId="7BEFD4BB">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排放点进入地下水水域环境功能为III类以上，或海水水质分类第二类；或以发生事故时，危险物质</w:t>
            </w:r>
            <w:r>
              <w:rPr>
                <w:rFonts w:hint="eastAsia" w:cs="Times New Roman"/>
                <w:color w:val="auto"/>
                <w:u w:val="none"/>
                <w:lang w:eastAsia="zh-CN"/>
              </w:rPr>
              <w:t>泄漏</w:t>
            </w:r>
            <w:r>
              <w:rPr>
                <w:rFonts w:hint="default" w:ascii="Times New Roman" w:hAnsi="Times New Roman" w:cs="Times New Roman"/>
                <w:color w:val="auto"/>
                <w:u w:val="none"/>
              </w:rPr>
              <w:t>到水体的排放点算起，排放进入受纳河流最大流速时，24h流经范围内涉跨省界的。</w:t>
            </w:r>
          </w:p>
        </w:tc>
      </w:tr>
      <w:tr w14:paraId="321729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86" w:hRule="atLeast"/>
          <w:jc w:val="center"/>
        </w:trPr>
        <w:tc>
          <w:tcPr>
            <w:tcW w:w="1216" w:type="dxa"/>
            <w:tcBorders>
              <w:top w:val="single" w:color="000000" w:sz="4" w:space="0"/>
              <w:right w:val="single" w:color="000000" w:sz="4" w:space="0"/>
            </w:tcBorders>
          </w:tcPr>
          <w:p w14:paraId="724557B2">
            <w:pPr>
              <w:pStyle w:val="41"/>
              <w:rPr>
                <w:rFonts w:hint="default" w:ascii="Times New Roman" w:hAnsi="Times New Roman" w:cs="Times New Roman"/>
                <w:color w:val="auto"/>
                <w:u w:val="none"/>
              </w:rPr>
            </w:pPr>
            <w:r>
              <w:rPr>
                <w:rFonts w:hint="default" w:ascii="Times New Roman" w:hAnsi="Times New Roman" w:cs="Times New Roman"/>
                <w:color w:val="auto"/>
                <w:u w:val="none"/>
              </w:rPr>
              <w:t>低敏感F3</w:t>
            </w:r>
          </w:p>
        </w:tc>
        <w:tc>
          <w:tcPr>
            <w:tcW w:w="7120" w:type="dxa"/>
            <w:tcBorders>
              <w:top w:val="single" w:color="000000" w:sz="4" w:space="0"/>
              <w:left w:val="single" w:color="000000" w:sz="4" w:space="0"/>
            </w:tcBorders>
          </w:tcPr>
          <w:p w14:paraId="1A379CF5">
            <w:pPr>
              <w:pStyle w:val="41"/>
              <w:rPr>
                <w:rFonts w:hint="default" w:ascii="Times New Roman" w:hAnsi="Times New Roman" w:cs="Times New Roman"/>
                <w:color w:val="auto"/>
                <w:u w:val="none"/>
              </w:rPr>
            </w:pPr>
            <w:r>
              <w:rPr>
                <w:rFonts w:hint="default" w:ascii="Times New Roman" w:hAnsi="Times New Roman" w:cs="Times New Roman"/>
                <w:color w:val="auto"/>
                <w:u w:val="none"/>
              </w:rPr>
              <w:t>上述地区之外的其他地区。</w:t>
            </w:r>
          </w:p>
        </w:tc>
      </w:tr>
    </w:tbl>
    <w:p w14:paraId="3D92449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本项目位于湖南城陵矶临港产业新区，项目外排废水经园区污水管网进入湖南城陵矶临港产业新区污水处理厂，达《城镇污水处理厂污染物排放标准》（GB18918-2002）中一级A标准后</w:t>
      </w:r>
      <w:r>
        <w:rPr>
          <w:rFonts w:hint="default" w:ascii="Times New Roman" w:hAnsi="Times New Roman" w:cs="Times New Roman"/>
          <w:color w:val="auto"/>
          <w:kern w:val="0"/>
          <w:u w:val="none"/>
          <w:lang w:bidi="ar"/>
        </w:rPr>
        <w:t>经象骨港排至长江</w:t>
      </w:r>
      <w:r>
        <w:rPr>
          <w:rFonts w:hint="default" w:ascii="Times New Roman" w:hAnsi="Times New Roman" w:cs="Times New Roman"/>
          <w:color w:val="auto"/>
          <w:u w:val="none"/>
        </w:rPr>
        <w:t>，受纳水体</w:t>
      </w:r>
      <w:r>
        <w:rPr>
          <w:rFonts w:hint="default" w:ascii="Times New Roman" w:hAnsi="Times New Roman" w:cs="Times New Roman"/>
          <w:color w:val="auto"/>
          <w:kern w:val="0"/>
          <w:u w:val="none"/>
          <w:lang w:bidi="ar"/>
        </w:rPr>
        <w:t>长江</w:t>
      </w:r>
      <w:r>
        <w:rPr>
          <w:rFonts w:hint="default" w:ascii="Times New Roman" w:hAnsi="Times New Roman" w:cs="Times New Roman"/>
          <w:color w:val="auto"/>
          <w:u w:val="none"/>
        </w:rPr>
        <w:t>为大河。根据《湖南省主要水系地表水环境功能区划》（DB43/023-2005），本项目危险物质排放点地表水水域功能为Ⅲ类。根据表6.3-12，判定本项目地表水功能敏感性为较敏感F2。</w:t>
      </w:r>
    </w:p>
    <w:p w14:paraId="581EBD66">
      <w:pPr>
        <w:pStyle w:val="38"/>
        <w:rPr>
          <w:rFonts w:hint="default" w:ascii="Times New Roman" w:hAnsi="Times New Roman" w:cs="Times New Roman"/>
          <w:b/>
          <w:bCs/>
          <w:color w:val="auto"/>
          <w:u w:val="none"/>
        </w:rPr>
      </w:pPr>
    </w:p>
    <w:p w14:paraId="4D6480E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10  </w:t>
      </w:r>
      <w:r>
        <w:rPr>
          <w:rFonts w:hint="default" w:ascii="Times New Roman" w:hAnsi="Times New Roman" w:cs="Times New Roman"/>
          <w:b/>
          <w:bCs/>
          <w:color w:val="auto"/>
          <w:u w:val="none"/>
        </w:rPr>
        <w:t>环境敏感目标分级</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121"/>
        <w:gridCol w:w="7245"/>
      </w:tblGrid>
      <w:tr w14:paraId="0BADDB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jc w:val="center"/>
        </w:trPr>
        <w:tc>
          <w:tcPr>
            <w:tcW w:w="1117" w:type="dxa"/>
            <w:tcBorders>
              <w:bottom w:val="single" w:color="000000" w:sz="4" w:space="0"/>
              <w:right w:val="single" w:color="000000" w:sz="4" w:space="0"/>
            </w:tcBorders>
          </w:tcPr>
          <w:p w14:paraId="7D1E8A8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敏感性</w:t>
            </w:r>
          </w:p>
        </w:tc>
        <w:tc>
          <w:tcPr>
            <w:tcW w:w="7219" w:type="dxa"/>
            <w:tcBorders>
              <w:left w:val="single" w:color="000000" w:sz="4" w:space="0"/>
              <w:bottom w:val="single" w:color="000000" w:sz="4" w:space="0"/>
            </w:tcBorders>
          </w:tcPr>
          <w:p w14:paraId="12773D7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环境敏感目标</w:t>
            </w:r>
          </w:p>
        </w:tc>
      </w:tr>
      <w:tr w14:paraId="5230342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6" w:hRule="atLeast"/>
          <w:jc w:val="center"/>
        </w:trPr>
        <w:tc>
          <w:tcPr>
            <w:tcW w:w="1117" w:type="dxa"/>
            <w:tcBorders>
              <w:top w:val="single" w:color="000000" w:sz="4" w:space="0"/>
              <w:bottom w:val="single" w:color="000000" w:sz="4" w:space="0"/>
              <w:right w:val="single" w:color="000000" w:sz="4" w:space="0"/>
            </w:tcBorders>
          </w:tcPr>
          <w:p w14:paraId="46DAE976">
            <w:pPr>
              <w:pStyle w:val="41"/>
              <w:rPr>
                <w:rFonts w:hint="default" w:ascii="Times New Roman" w:hAnsi="Times New Roman" w:cs="Times New Roman"/>
                <w:color w:val="auto"/>
                <w:u w:val="none"/>
              </w:rPr>
            </w:pPr>
            <w:r>
              <w:rPr>
                <w:rFonts w:hint="default" w:ascii="Times New Roman" w:hAnsi="Times New Roman" w:cs="Times New Roman"/>
                <w:color w:val="auto"/>
                <w:u w:val="none"/>
              </w:rPr>
              <w:t>S1</w:t>
            </w:r>
          </w:p>
        </w:tc>
        <w:tc>
          <w:tcPr>
            <w:tcW w:w="7219" w:type="dxa"/>
            <w:tcBorders>
              <w:top w:val="single" w:color="000000" w:sz="4" w:space="0"/>
              <w:left w:val="single" w:color="000000" w:sz="4" w:space="0"/>
              <w:bottom w:val="single" w:color="000000" w:sz="4" w:space="0"/>
            </w:tcBorders>
          </w:tcPr>
          <w:p w14:paraId="598ACC76">
            <w:pPr>
              <w:pStyle w:val="41"/>
              <w:rPr>
                <w:rFonts w:hint="default" w:ascii="Times New Roman" w:hAnsi="Times New Roman" w:cs="Times New Roman"/>
                <w:color w:val="auto"/>
                <w:u w:val="none"/>
              </w:rPr>
            </w:pPr>
            <w:r>
              <w:rPr>
                <w:rFonts w:hint="default" w:ascii="Times New Roman" w:hAnsi="Times New Roman" w:cs="Times New Roman"/>
                <w:color w:val="auto"/>
                <w:u w:val="none"/>
              </w:rPr>
              <w:t>发生事故时，危险物质</w:t>
            </w:r>
            <w:r>
              <w:rPr>
                <w:rFonts w:hint="eastAsia" w:cs="Times New Roman"/>
                <w:color w:val="auto"/>
                <w:u w:val="none"/>
                <w:lang w:eastAsia="zh-CN"/>
              </w:rPr>
              <w:t>泄漏</w:t>
            </w:r>
            <w:r>
              <w:rPr>
                <w:rFonts w:hint="default" w:ascii="Times New Roman" w:hAnsi="Times New Roman" w:cs="Times New Roman"/>
                <w:color w:val="auto"/>
                <w:u w:val="none"/>
              </w:rPr>
              <w:t>到内陆水体的排放点下游（顺水流向）10km范围内、近岸海域一个潮周期水质点可能达到的最大水平距离的两倍范围内，有如下一类或多类环境风险受体：集中式地表水饮用水源保护区（包括以及保护区、二级保护区及准保护区）；农村及分散式饮用水源保护区；自然保护区；重要湿地；珍稀濒危野生动植物天然集中分布区；重要水生生物的自然产卵及索饵场、越冬场和洄游通道；世界文化和自然遗产地；红树林、珊瑚礁等滨海是滴生态系统；珍惜、濒危海洋生物的天然集中分布区；海洋特别保护区；海上自然保护区；盐场保护区；海水浴场；海洋自然历史遗迹；风景名胜区；或其他特殊重要保护区域。</w:t>
            </w:r>
          </w:p>
        </w:tc>
      </w:tr>
      <w:tr w14:paraId="16DBC65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98" w:hRule="atLeast"/>
          <w:jc w:val="center"/>
        </w:trPr>
        <w:tc>
          <w:tcPr>
            <w:tcW w:w="1117" w:type="dxa"/>
            <w:tcBorders>
              <w:top w:val="single" w:color="000000" w:sz="4" w:space="0"/>
              <w:bottom w:val="single" w:color="000000" w:sz="4" w:space="0"/>
              <w:right w:val="single" w:color="000000" w:sz="4" w:space="0"/>
            </w:tcBorders>
          </w:tcPr>
          <w:p w14:paraId="6694A801">
            <w:pPr>
              <w:pStyle w:val="41"/>
              <w:rPr>
                <w:rFonts w:hint="default" w:ascii="Times New Roman" w:hAnsi="Times New Roman" w:cs="Times New Roman"/>
                <w:color w:val="auto"/>
                <w:u w:val="none"/>
              </w:rPr>
            </w:pPr>
            <w:r>
              <w:rPr>
                <w:rFonts w:hint="default" w:ascii="Times New Roman" w:hAnsi="Times New Roman" w:cs="Times New Roman"/>
                <w:color w:val="auto"/>
                <w:u w:val="none"/>
              </w:rPr>
              <w:t>S2</w:t>
            </w:r>
          </w:p>
        </w:tc>
        <w:tc>
          <w:tcPr>
            <w:tcW w:w="7219" w:type="dxa"/>
            <w:tcBorders>
              <w:top w:val="single" w:color="000000" w:sz="4" w:space="0"/>
              <w:left w:val="single" w:color="000000" w:sz="4" w:space="0"/>
              <w:bottom w:val="single" w:color="000000" w:sz="4" w:space="0"/>
            </w:tcBorders>
          </w:tcPr>
          <w:p w14:paraId="1CE21F8E">
            <w:pPr>
              <w:pStyle w:val="41"/>
              <w:rPr>
                <w:rFonts w:hint="default" w:ascii="Times New Roman" w:hAnsi="Times New Roman" w:cs="Times New Roman"/>
                <w:color w:val="auto"/>
                <w:u w:val="none"/>
              </w:rPr>
            </w:pPr>
            <w:r>
              <w:rPr>
                <w:rFonts w:hint="default" w:ascii="Times New Roman" w:hAnsi="Times New Roman" w:cs="Times New Roman"/>
                <w:color w:val="auto"/>
                <w:u w:val="none"/>
              </w:rPr>
              <w:t>发生事故时，危险物质</w:t>
            </w:r>
            <w:r>
              <w:rPr>
                <w:rFonts w:hint="eastAsia" w:cs="Times New Roman"/>
                <w:color w:val="auto"/>
                <w:u w:val="none"/>
                <w:lang w:eastAsia="zh-CN"/>
              </w:rPr>
              <w:t>泄漏</w:t>
            </w:r>
            <w:r>
              <w:rPr>
                <w:rFonts w:hint="default" w:ascii="Times New Roman" w:hAnsi="Times New Roman" w:cs="Times New Roman"/>
                <w:color w:val="auto"/>
                <w:u w:val="none"/>
              </w:rPr>
              <w:t>到内陆水体的排放点下游（顺水流向）10km范围内、近岸海域一个潮周期水质点可能达到的最大水平距离的两倍范围内，有如下一类或多类环境风险受体：水产养殖区；天然渔场；森林公园；地质公园；海滨风景游览区；具有重要经济价值的海洋生物生存区域。</w:t>
            </w:r>
          </w:p>
        </w:tc>
      </w:tr>
      <w:tr w14:paraId="50A92F0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81" w:hRule="atLeast"/>
          <w:jc w:val="center"/>
        </w:trPr>
        <w:tc>
          <w:tcPr>
            <w:tcW w:w="1117" w:type="dxa"/>
            <w:tcBorders>
              <w:top w:val="single" w:color="000000" w:sz="4" w:space="0"/>
              <w:right w:val="single" w:color="000000" w:sz="4" w:space="0"/>
            </w:tcBorders>
          </w:tcPr>
          <w:p w14:paraId="3170A72E">
            <w:pPr>
              <w:pStyle w:val="41"/>
              <w:rPr>
                <w:rFonts w:hint="default" w:ascii="Times New Roman" w:hAnsi="Times New Roman" w:cs="Times New Roman"/>
                <w:color w:val="auto"/>
                <w:u w:val="none"/>
              </w:rPr>
            </w:pPr>
            <w:r>
              <w:rPr>
                <w:rFonts w:hint="default" w:ascii="Times New Roman" w:hAnsi="Times New Roman" w:cs="Times New Roman"/>
                <w:color w:val="auto"/>
                <w:u w:val="none"/>
              </w:rPr>
              <w:t>S3</w:t>
            </w:r>
          </w:p>
        </w:tc>
        <w:tc>
          <w:tcPr>
            <w:tcW w:w="7219" w:type="dxa"/>
            <w:tcBorders>
              <w:top w:val="single" w:color="000000" w:sz="4" w:space="0"/>
              <w:left w:val="single" w:color="000000" w:sz="4" w:space="0"/>
            </w:tcBorders>
          </w:tcPr>
          <w:p w14:paraId="7EE0B33D">
            <w:pPr>
              <w:pStyle w:val="41"/>
              <w:rPr>
                <w:rFonts w:hint="default" w:ascii="Times New Roman" w:hAnsi="Times New Roman" w:cs="Times New Roman"/>
                <w:color w:val="auto"/>
                <w:u w:val="none"/>
              </w:rPr>
            </w:pPr>
            <w:r>
              <w:rPr>
                <w:rFonts w:hint="default" w:ascii="Times New Roman" w:hAnsi="Times New Roman" w:cs="Times New Roman"/>
                <w:color w:val="auto"/>
                <w:u w:val="none"/>
              </w:rPr>
              <w:t>发生事故时，危险物质</w:t>
            </w:r>
            <w:r>
              <w:rPr>
                <w:rFonts w:hint="eastAsia" w:cs="Times New Roman"/>
                <w:color w:val="auto"/>
                <w:u w:val="none"/>
                <w:lang w:eastAsia="zh-CN"/>
              </w:rPr>
              <w:t>泄漏</w:t>
            </w:r>
            <w:r>
              <w:rPr>
                <w:rFonts w:hint="default" w:ascii="Times New Roman" w:hAnsi="Times New Roman" w:cs="Times New Roman"/>
                <w:color w:val="auto"/>
                <w:u w:val="none"/>
              </w:rPr>
              <w:t>到内陆水体的排放点下游（顺水流向）10km范围内、近岸海域一个潮周期水质点可能达到的最大水平距离的两倍范围内，无上述类型1和类型2包括的敏感目标。</w:t>
            </w:r>
          </w:p>
        </w:tc>
      </w:tr>
    </w:tbl>
    <w:p w14:paraId="7417CB0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实际调查，项目所在近岸海域一个潮周期水质点可能达到的最大水平距离的两倍范围内无重要水生生物的自然产卵场及索饵场、越冬场和洄游通道；也无滨海湿地生态系统、水产养殖区、天然渔场、海滨风景游览区以及具有重要经济价值的海洋生物生存区域等敏感保护目标，根据表6.3-</w:t>
      </w:r>
      <w:r>
        <w:rPr>
          <w:rFonts w:hint="eastAsia" w:ascii="Times New Roman" w:hAnsi="Times New Roman" w:cs="Times New Roman"/>
          <w:color w:val="auto"/>
          <w:u w:val="none"/>
          <w:lang w:val="en-US" w:eastAsia="zh-CN"/>
        </w:rPr>
        <w:t>11</w:t>
      </w:r>
      <w:r>
        <w:rPr>
          <w:rFonts w:hint="default" w:ascii="Times New Roman" w:hAnsi="Times New Roman" w:cs="Times New Roman"/>
          <w:color w:val="auto"/>
          <w:u w:val="none"/>
        </w:rPr>
        <w:t>可得，本项目环境敏感目标分级为S3。</w:t>
      </w:r>
    </w:p>
    <w:p w14:paraId="08749C7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11  </w:t>
      </w:r>
      <w:r>
        <w:rPr>
          <w:rFonts w:hint="default" w:ascii="Times New Roman" w:hAnsi="Times New Roman" w:cs="Times New Roman"/>
          <w:b/>
          <w:bCs/>
          <w:color w:val="auto"/>
          <w:u w:val="none"/>
        </w:rPr>
        <w:t>地表水环境敏感程度分级</w:t>
      </w:r>
    </w:p>
    <w:tbl>
      <w:tblPr>
        <w:tblStyle w:val="30"/>
        <w:tblW w:w="5036"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50"/>
        <w:gridCol w:w="2182"/>
        <w:gridCol w:w="2182"/>
        <w:gridCol w:w="2183"/>
      </w:tblGrid>
      <w:tr w14:paraId="1192BF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843" w:type="dxa"/>
            <w:vMerge w:val="restart"/>
            <w:tcBorders>
              <w:bottom w:val="single" w:color="000000" w:sz="4" w:space="0"/>
              <w:right w:val="single" w:color="000000" w:sz="4" w:space="0"/>
            </w:tcBorders>
          </w:tcPr>
          <w:p w14:paraId="32350E8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环境敏感程度</w:t>
            </w:r>
          </w:p>
        </w:tc>
        <w:tc>
          <w:tcPr>
            <w:tcW w:w="6523" w:type="dxa"/>
            <w:gridSpan w:val="3"/>
            <w:tcBorders>
              <w:left w:val="single" w:color="000000" w:sz="4" w:space="0"/>
              <w:bottom w:val="single" w:color="000000" w:sz="4" w:space="0"/>
            </w:tcBorders>
          </w:tcPr>
          <w:p w14:paraId="3C62D42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地表水功能敏感性</w:t>
            </w:r>
          </w:p>
        </w:tc>
      </w:tr>
      <w:tr w14:paraId="6A3C450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1843" w:type="dxa"/>
            <w:vMerge w:val="continue"/>
            <w:tcBorders>
              <w:top w:val="nil"/>
              <w:bottom w:val="single" w:color="000000" w:sz="4" w:space="0"/>
              <w:right w:val="single" w:color="000000" w:sz="4" w:space="0"/>
            </w:tcBorders>
          </w:tcPr>
          <w:p w14:paraId="662CA3FC">
            <w:pPr>
              <w:pStyle w:val="41"/>
              <w:rPr>
                <w:rFonts w:hint="default" w:ascii="Times New Roman" w:hAnsi="Times New Roman" w:cs="Times New Roman"/>
                <w:color w:val="auto"/>
                <w:u w:val="none"/>
              </w:rPr>
            </w:pPr>
          </w:p>
        </w:tc>
        <w:tc>
          <w:tcPr>
            <w:tcW w:w="2174" w:type="dxa"/>
            <w:tcBorders>
              <w:top w:val="single" w:color="000000" w:sz="4" w:space="0"/>
              <w:left w:val="single" w:color="000000" w:sz="4" w:space="0"/>
              <w:bottom w:val="single" w:color="000000" w:sz="4" w:space="0"/>
              <w:right w:val="single" w:color="000000" w:sz="4" w:space="0"/>
            </w:tcBorders>
          </w:tcPr>
          <w:p w14:paraId="755AECDD">
            <w:pPr>
              <w:pStyle w:val="41"/>
              <w:rPr>
                <w:rFonts w:hint="default" w:ascii="Times New Roman" w:hAnsi="Times New Roman" w:cs="Times New Roman"/>
                <w:color w:val="auto"/>
                <w:u w:val="none"/>
              </w:rPr>
            </w:pPr>
            <w:r>
              <w:rPr>
                <w:rFonts w:hint="default" w:ascii="Times New Roman" w:hAnsi="Times New Roman" w:cs="Times New Roman"/>
                <w:color w:val="auto"/>
                <w:u w:val="none"/>
              </w:rPr>
              <w:t>F1</w:t>
            </w:r>
          </w:p>
        </w:tc>
        <w:tc>
          <w:tcPr>
            <w:tcW w:w="2174" w:type="dxa"/>
            <w:tcBorders>
              <w:top w:val="single" w:color="000000" w:sz="4" w:space="0"/>
              <w:left w:val="single" w:color="000000" w:sz="4" w:space="0"/>
              <w:bottom w:val="single" w:color="000000" w:sz="4" w:space="0"/>
              <w:right w:val="single" w:color="000000" w:sz="4" w:space="0"/>
            </w:tcBorders>
          </w:tcPr>
          <w:p w14:paraId="1465501A">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F2</w:t>
            </w:r>
          </w:p>
        </w:tc>
        <w:tc>
          <w:tcPr>
            <w:tcW w:w="2175" w:type="dxa"/>
            <w:tcBorders>
              <w:top w:val="single" w:color="000000" w:sz="4" w:space="0"/>
              <w:left w:val="single" w:color="000000" w:sz="4" w:space="0"/>
              <w:bottom w:val="single" w:color="000000" w:sz="4" w:space="0"/>
            </w:tcBorders>
          </w:tcPr>
          <w:p w14:paraId="11F9985F">
            <w:pPr>
              <w:pStyle w:val="41"/>
              <w:rPr>
                <w:rFonts w:hint="default" w:ascii="Times New Roman" w:hAnsi="Times New Roman" w:cs="Times New Roman"/>
                <w:color w:val="auto"/>
                <w:u w:val="none"/>
              </w:rPr>
            </w:pPr>
            <w:r>
              <w:rPr>
                <w:rFonts w:hint="default" w:ascii="Times New Roman" w:hAnsi="Times New Roman" w:cs="Times New Roman"/>
                <w:color w:val="auto"/>
                <w:u w:val="none"/>
              </w:rPr>
              <w:t>F3</w:t>
            </w:r>
          </w:p>
        </w:tc>
      </w:tr>
      <w:tr w14:paraId="5A462FD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1843" w:type="dxa"/>
            <w:tcBorders>
              <w:top w:val="single" w:color="000000" w:sz="4" w:space="0"/>
              <w:bottom w:val="single" w:color="000000" w:sz="4" w:space="0"/>
              <w:right w:val="single" w:color="000000" w:sz="4" w:space="0"/>
            </w:tcBorders>
          </w:tcPr>
          <w:p w14:paraId="742D0E7B">
            <w:pPr>
              <w:pStyle w:val="41"/>
              <w:rPr>
                <w:rFonts w:hint="default" w:ascii="Times New Roman" w:hAnsi="Times New Roman" w:cs="Times New Roman"/>
                <w:color w:val="auto"/>
                <w:u w:val="none"/>
              </w:rPr>
            </w:pPr>
            <w:r>
              <w:rPr>
                <w:rFonts w:hint="default" w:ascii="Times New Roman" w:hAnsi="Times New Roman" w:cs="Times New Roman"/>
                <w:color w:val="auto"/>
                <w:u w:val="none"/>
              </w:rPr>
              <w:t>S1</w:t>
            </w:r>
          </w:p>
        </w:tc>
        <w:tc>
          <w:tcPr>
            <w:tcW w:w="2174" w:type="dxa"/>
            <w:tcBorders>
              <w:top w:val="single" w:color="000000" w:sz="4" w:space="0"/>
              <w:left w:val="single" w:color="000000" w:sz="4" w:space="0"/>
              <w:bottom w:val="single" w:color="000000" w:sz="4" w:space="0"/>
              <w:right w:val="single" w:color="000000" w:sz="4" w:space="0"/>
            </w:tcBorders>
          </w:tcPr>
          <w:p w14:paraId="5DCC913A">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2174" w:type="dxa"/>
            <w:tcBorders>
              <w:top w:val="single" w:color="000000" w:sz="4" w:space="0"/>
              <w:left w:val="single" w:color="000000" w:sz="4" w:space="0"/>
              <w:bottom w:val="single" w:color="000000" w:sz="4" w:space="0"/>
              <w:right w:val="single" w:color="000000" w:sz="4" w:space="0"/>
            </w:tcBorders>
          </w:tcPr>
          <w:p w14:paraId="2239DF58">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2175" w:type="dxa"/>
            <w:tcBorders>
              <w:top w:val="single" w:color="000000" w:sz="4" w:space="0"/>
              <w:left w:val="single" w:color="000000" w:sz="4" w:space="0"/>
              <w:bottom w:val="single" w:color="000000" w:sz="4" w:space="0"/>
            </w:tcBorders>
          </w:tcPr>
          <w:p w14:paraId="4730EAA8">
            <w:pPr>
              <w:pStyle w:val="41"/>
              <w:rPr>
                <w:rFonts w:hint="default" w:ascii="Times New Roman" w:hAnsi="Times New Roman" w:cs="Times New Roman"/>
                <w:color w:val="auto"/>
                <w:u w:val="none"/>
              </w:rPr>
            </w:pPr>
            <w:r>
              <w:rPr>
                <w:rFonts w:hint="default" w:ascii="Times New Roman" w:hAnsi="Times New Roman" w:cs="Times New Roman"/>
                <w:color w:val="auto"/>
                <w:u w:val="none"/>
              </w:rPr>
              <w:t>E3</w:t>
            </w:r>
          </w:p>
        </w:tc>
      </w:tr>
      <w:tr w14:paraId="10C2E4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1843" w:type="dxa"/>
            <w:tcBorders>
              <w:top w:val="single" w:color="000000" w:sz="4" w:space="0"/>
              <w:bottom w:val="single" w:color="000000" w:sz="4" w:space="0"/>
              <w:right w:val="single" w:color="000000" w:sz="4" w:space="0"/>
            </w:tcBorders>
          </w:tcPr>
          <w:p w14:paraId="08E3296E">
            <w:pPr>
              <w:pStyle w:val="41"/>
              <w:rPr>
                <w:rFonts w:hint="default" w:ascii="Times New Roman" w:hAnsi="Times New Roman" w:cs="Times New Roman"/>
                <w:color w:val="auto"/>
                <w:u w:val="none"/>
              </w:rPr>
            </w:pPr>
            <w:r>
              <w:rPr>
                <w:rFonts w:hint="default" w:ascii="Times New Roman" w:hAnsi="Times New Roman" w:cs="Times New Roman"/>
                <w:color w:val="auto"/>
                <w:u w:val="none"/>
              </w:rPr>
              <w:t>S2</w:t>
            </w:r>
          </w:p>
        </w:tc>
        <w:tc>
          <w:tcPr>
            <w:tcW w:w="2174" w:type="dxa"/>
            <w:tcBorders>
              <w:top w:val="single" w:color="000000" w:sz="4" w:space="0"/>
              <w:left w:val="single" w:color="000000" w:sz="4" w:space="0"/>
              <w:bottom w:val="single" w:color="000000" w:sz="4" w:space="0"/>
              <w:right w:val="single" w:color="000000" w:sz="4" w:space="0"/>
            </w:tcBorders>
          </w:tcPr>
          <w:p w14:paraId="481C2F93">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2174" w:type="dxa"/>
            <w:tcBorders>
              <w:top w:val="single" w:color="000000" w:sz="4" w:space="0"/>
              <w:left w:val="single" w:color="000000" w:sz="4" w:space="0"/>
              <w:bottom w:val="single" w:color="000000" w:sz="4" w:space="0"/>
              <w:right w:val="single" w:color="000000" w:sz="4" w:space="0"/>
            </w:tcBorders>
          </w:tcPr>
          <w:p w14:paraId="5D1C50B0">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2175" w:type="dxa"/>
            <w:tcBorders>
              <w:top w:val="single" w:color="000000" w:sz="4" w:space="0"/>
              <w:left w:val="single" w:color="000000" w:sz="4" w:space="0"/>
              <w:bottom w:val="single" w:color="000000" w:sz="4" w:space="0"/>
            </w:tcBorders>
          </w:tcPr>
          <w:p w14:paraId="0688707C">
            <w:pPr>
              <w:pStyle w:val="41"/>
              <w:rPr>
                <w:rFonts w:hint="default" w:ascii="Times New Roman" w:hAnsi="Times New Roman" w:cs="Times New Roman"/>
                <w:color w:val="auto"/>
                <w:u w:val="none"/>
              </w:rPr>
            </w:pPr>
            <w:r>
              <w:rPr>
                <w:rFonts w:hint="default" w:ascii="Times New Roman" w:hAnsi="Times New Roman" w:cs="Times New Roman"/>
                <w:color w:val="auto"/>
                <w:u w:val="none"/>
              </w:rPr>
              <w:t>E3</w:t>
            </w:r>
          </w:p>
        </w:tc>
      </w:tr>
      <w:tr w14:paraId="4180B2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jc w:val="center"/>
        </w:trPr>
        <w:tc>
          <w:tcPr>
            <w:tcW w:w="1843" w:type="dxa"/>
            <w:tcBorders>
              <w:top w:val="single" w:color="000000" w:sz="4" w:space="0"/>
              <w:right w:val="single" w:color="000000" w:sz="4" w:space="0"/>
            </w:tcBorders>
          </w:tcPr>
          <w:p w14:paraId="37AD6FAB">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S3</w:t>
            </w:r>
          </w:p>
        </w:tc>
        <w:tc>
          <w:tcPr>
            <w:tcW w:w="2174" w:type="dxa"/>
            <w:tcBorders>
              <w:top w:val="single" w:color="000000" w:sz="4" w:space="0"/>
              <w:left w:val="single" w:color="000000" w:sz="4" w:space="0"/>
              <w:right w:val="single" w:color="000000" w:sz="4" w:space="0"/>
            </w:tcBorders>
          </w:tcPr>
          <w:p w14:paraId="1BF81B6E">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2174" w:type="dxa"/>
            <w:tcBorders>
              <w:top w:val="single" w:color="000000" w:sz="4" w:space="0"/>
              <w:left w:val="single" w:color="000000" w:sz="4" w:space="0"/>
              <w:right w:val="single" w:color="000000" w:sz="4" w:space="0"/>
            </w:tcBorders>
          </w:tcPr>
          <w:p w14:paraId="2D9D0D30">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E2</w:t>
            </w:r>
          </w:p>
        </w:tc>
        <w:tc>
          <w:tcPr>
            <w:tcW w:w="2175" w:type="dxa"/>
            <w:tcBorders>
              <w:top w:val="single" w:color="000000" w:sz="4" w:space="0"/>
              <w:left w:val="single" w:color="000000" w:sz="4" w:space="0"/>
            </w:tcBorders>
          </w:tcPr>
          <w:p w14:paraId="5DB6C88D">
            <w:pPr>
              <w:pStyle w:val="41"/>
              <w:rPr>
                <w:rFonts w:hint="default" w:ascii="Times New Roman" w:hAnsi="Times New Roman" w:cs="Times New Roman"/>
                <w:color w:val="auto"/>
                <w:u w:val="none"/>
              </w:rPr>
            </w:pPr>
            <w:r>
              <w:rPr>
                <w:rFonts w:hint="default" w:ascii="Times New Roman" w:hAnsi="Times New Roman" w:cs="Times New Roman"/>
                <w:color w:val="auto"/>
                <w:u w:val="none"/>
              </w:rPr>
              <w:t>E3</w:t>
            </w:r>
          </w:p>
        </w:tc>
      </w:tr>
    </w:tbl>
    <w:p w14:paraId="6969F3A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综上所述，本项目地表水功能敏感性为较敏感F2，环境敏感目标分级为S3，根据表6.3-13地表水环境敏感程度分级要求，判定本项目地表水环境敏感程度为E2。</w:t>
      </w:r>
    </w:p>
    <w:p w14:paraId="4A71E7D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3、地下水环境</w:t>
      </w:r>
    </w:p>
    <w:p w14:paraId="101D9D7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地下水环境敏感程度分级依据地下水功能敏感性与包气带防污性能，共分为三种类型，E1为环境高度敏感区，E2为环境中度敏感区，E3为环境低度敏感区，分级原则见表6.3-14。其中地下水功能敏感性分区和包气带防污性能分级分别见表6.3-15和表6.3-16。</w:t>
      </w:r>
    </w:p>
    <w:p w14:paraId="2DB0B3C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12  </w:t>
      </w:r>
      <w:r>
        <w:rPr>
          <w:rFonts w:hint="default" w:ascii="Times New Roman" w:hAnsi="Times New Roman" w:cs="Times New Roman"/>
          <w:b/>
          <w:bCs/>
          <w:color w:val="auto"/>
          <w:u w:val="none"/>
        </w:rPr>
        <w:t>地下水功能敏感性分区</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0"/>
        <w:gridCol w:w="7146"/>
      </w:tblGrid>
      <w:tr w14:paraId="13ED91C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7" w:hRule="atLeast"/>
          <w:jc w:val="center"/>
        </w:trPr>
        <w:tc>
          <w:tcPr>
            <w:tcW w:w="1216" w:type="dxa"/>
            <w:tcBorders>
              <w:bottom w:val="single" w:color="000000" w:sz="4" w:space="0"/>
              <w:right w:val="single" w:color="000000" w:sz="4" w:space="0"/>
            </w:tcBorders>
            <w:vAlign w:val="center"/>
          </w:tcPr>
          <w:p w14:paraId="2F08B8B4">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敏感程度</w:t>
            </w:r>
          </w:p>
        </w:tc>
        <w:tc>
          <w:tcPr>
            <w:tcW w:w="7120" w:type="dxa"/>
            <w:tcBorders>
              <w:left w:val="single" w:color="000000" w:sz="4" w:space="0"/>
              <w:bottom w:val="single" w:color="000000" w:sz="4" w:space="0"/>
            </w:tcBorders>
            <w:vAlign w:val="center"/>
          </w:tcPr>
          <w:p w14:paraId="6222C885">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地下水环境敏感特征</w:t>
            </w:r>
          </w:p>
        </w:tc>
      </w:tr>
      <w:tr w14:paraId="62C39B7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97" w:hRule="atLeast"/>
          <w:jc w:val="center"/>
        </w:trPr>
        <w:tc>
          <w:tcPr>
            <w:tcW w:w="1216" w:type="dxa"/>
            <w:tcBorders>
              <w:top w:val="single" w:color="000000" w:sz="4" w:space="0"/>
              <w:bottom w:val="single" w:color="000000" w:sz="4" w:space="0"/>
              <w:right w:val="single" w:color="000000" w:sz="4" w:space="0"/>
            </w:tcBorders>
            <w:vAlign w:val="center"/>
          </w:tcPr>
          <w:p w14:paraId="5850F45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敏感G1</w:t>
            </w:r>
          </w:p>
        </w:tc>
        <w:tc>
          <w:tcPr>
            <w:tcW w:w="7120" w:type="dxa"/>
            <w:tcBorders>
              <w:top w:val="single" w:color="000000" w:sz="4" w:space="0"/>
              <w:left w:val="single" w:color="000000" w:sz="4" w:space="0"/>
              <w:bottom w:val="single" w:color="000000" w:sz="4" w:space="0"/>
            </w:tcBorders>
            <w:vAlign w:val="center"/>
          </w:tcPr>
          <w:p w14:paraId="3FA5B5CD">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集中式饮用水源（包括已建成的在用、备用、应急水源，在建和规划的饮用水源）准保护区；除集中式饮用水源以外的国家或地方政府设定的与地下水环境相关的其他保护区，如热水、矿泉水、温泉等特殊地下水资源保护区。</w:t>
            </w:r>
          </w:p>
        </w:tc>
      </w:tr>
      <w:tr w14:paraId="5373C80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13" w:hRule="atLeast"/>
          <w:jc w:val="center"/>
        </w:trPr>
        <w:tc>
          <w:tcPr>
            <w:tcW w:w="1216" w:type="dxa"/>
            <w:tcBorders>
              <w:top w:val="single" w:color="000000" w:sz="4" w:space="0"/>
              <w:bottom w:val="single" w:color="000000" w:sz="4" w:space="0"/>
              <w:right w:val="single" w:color="000000" w:sz="4" w:space="0"/>
            </w:tcBorders>
            <w:vAlign w:val="center"/>
          </w:tcPr>
          <w:p w14:paraId="69422C34">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较敏感G2</w:t>
            </w:r>
          </w:p>
        </w:tc>
        <w:tc>
          <w:tcPr>
            <w:tcW w:w="7120" w:type="dxa"/>
            <w:tcBorders>
              <w:top w:val="single" w:color="000000" w:sz="4" w:space="0"/>
              <w:left w:val="single" w:color="000000" w:sz="4" w:space="0"/>
              <w:bottom w:val="single" w:color="000000" w:sz="4" w:space="0"/>
            </w:tcBorders>
            <w:vAlign w:val="center"/>
          </w:tcPr>
          <w:p w14:paraId="36D1F36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集中式饮用水源（包括已建成的在用、备用、应急水源，在建和规划的饮用水源）准保护区以外的补给径流；未划定准保护区的集中式饮用水源，其保护区以外的补给径流区；分散式饮用水源地；特殊地下水资源（矿泉水、温泉等）保护区以外的分布区等其他未列入上述敏感分级的环境敏感区a。</w:t>
            </w:r>
          </w:p>
        </w:tc>
      </w:tr>
      <w:tr w14:paraId="3CF059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8" w:hRule="atLeast"/>
          <w:jc w:val="center"/>
        </w:trPr>
        <w:tc>
          <w:tcPr>
            <w:tcW w:w="1216" w:type="dxa"/>
            <w:tcBorders>
              <w:top w:val="single" w:color="000000" w:sz="4" w:space="0"/>
              <w:bottom w:val="single" w:color="000000" w:sz="4" w:space="0"/>
              <w:right w:val="single" w:color="000000" w:sz="4" w:space="0"/>
            </w:tcBorders>
            <w:vAlign w:val="center"/>
          </w:tcPr>
          <w:p w14:paraId="40C5D532">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不敏感G3</w:t>
            </w:r>
          </w:p>
        </w:tc>
        <w:tc>
          <w:tcPr>
            <w:tcW w:w="7120" w:type="dxa"/>
            <w:tcBorders>
              <w:top w:val="single" w:color="000000" w:sz="4" w:space="0"/>
              <w:left w:val="single" w:color="000000" w:sz="4" w:space="0"/>
              <w:bottom w:val="single" w:color="000000" w:sz="4" w:space="0"/>
            </w:tcBorders>
            <w:vAlign w:val="center"/>
          </w:tcPr>
          <w:p w14:paraId="6159A96F">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上述地区之外的其他地区。</w:t>
            </w:r>
          </w:p>
        </w:tc>
      </w:tr>
      <w:tr w14:paraId="04C706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6" w:hRule="atLeast"/>
          <w:jc w:val="center"/>
        </w:trPr>
        <w:tc>
          <w:tcPr>
            <w:tcW w:w="8336" w:type="dxa"/>
            <w:gridSpan w:val="2"/>
            <w:tcBorders>
              <w:top w:val="single" w:color="000000" w:sz="4" w:space="0"/>
            </w:tcBorders>
            <w:vAlign w:val="center"/>
          </w:tcPr>
          <w:p w14:paraId="2138711B">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注：a“环境敏感区”是指《建设项目环境影响评价分类管理名录》中所界定的涉及地下水的环境敏感区。</w:t>
            </w:r>
          </w:p>
        </w:tc>
      </w:tr>
    </w:tbl>
    <w:p w14:paraId="5961CF9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根据项目所在区调查，本项目地下水功能无饮用水源地，也没有特殊地下水资源保护区。依据表6.3-1</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可得，项目地下水功能敏感性属于不敏感G3。</w:t>
      </w:r>
    </w:p>
    <w:p w14:paraId="6DD1DAC1">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表6.3-1</w:t>
      </w:r>
      <w:r>
        <w:rPr>
          <w:rFonts w:hint="eastAsia" w:ascii="Times New Roman" w:hAnsi="Times New Roman" w:cs="Times New Roman"/>
          <w:b/>
          <w:bCs/>
          <w:color w:val="auto"/>
          <w:u w:val="none"/>
          <w:lang w:val="en-US" w:eastAsia="zh-CN"/>
        </w:rPr>
        <w:t xml:space="preserve">3  </w:t>
      </w:r>
      <w:r>
        <w:rPr>
          <w:rFonts w:hint="default" w:ascii="Times New Roman" w:hAnsi="Times New Roman" w:cs="Times New Roman"/>
          <w:b/>
          <w:bCs/>
          <w:color w:val="auto"/>
          <w:u w:val="none"/>
        </w:rPr>
        <w:t>包气带防污性能分级</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220"/>
        <w:gridCol w:w="7146"/>
      </w:tblGrid>
      <w:tr w14:paraId="23546ED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24" w:hRule="atLeast"/>
          <w:jc w:val="center"/>
        </w:trPr>
        <w:tc>
          <w:tcPr>
            <w:tcW w:w="1216" w:type="dxa"/>
            <w:tcBorders>
              <w:bottom w:val="single" w:color="000000" w:sz="4" w:space="0"/>
              <w:right w:val="single" w:color="000000" w:sz="4" w:space="0"/>
            </w:tcBorders>
            <w:vAlign w:val="center"/>
          </w:tcPr>
          <w:p w14:paraId="0478E276">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分级</w:t>
            </w:r>
          </w:p>
        </w:tc>
        <w:tc>
          <w:tcPr>
            <w:tcW w:w="7120" w:type="dxa"/>
            <w:tcBorders>
              <w:left w:val="single" w:color="000000" w:sz="4" w:space="0"/>
              <w:bottom w:val="single" w:color="000000" w:sz="4" w:space="0"/>
            </w:tcBorders>
            <w:vAlign w:val="center"/>
          </w:tcPr>
          <w:p w14:paraId="7DB70672">
            <w:pPr>
              <w:pStyle w:val="41"/>
              <w:jc w:val="center"/>
              <w:rPr>
                <w:rFonts w:hint="default" w:ascii="Times New Roman" w:hAnsi="Times New Roman" w:cs="Times New Roman"/>
                <w:b/>
                <w:bCs/>
                <w:color w:val="auto"/>
                <w:u w:val="none"/>
              </w:rPr>
            </w:pPr>
            <w:r>
              <w:rPr>
                <w:rFonts w:hint="default" w:ascii="Times New Roman" w:hAnsi="Times New Roman" w:cs="Times New Roman"/>
                <w:b/>
                <w:bCs/>
                <w:color w:val="auto"/>
                <w:u w:val="none"/>
              </w:rPr>
              <w:t>包气带岩土渗透性能</w:t>
            </w:r>
          </w:p>
        </w:tc>
      </w:tr>
      <w:tr w14:paraId="5A3322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43" w:hRule="atLeast"/>
          <w:jc w:val="center"/>
        </w:trPr>
        <w:tc>
          <w:tcPr>
            <w:tcW w:w="1216" w:type="dxa"/>
            <w:tcBorders>
              <w:top w:val="single" w:color="000000" w:sz="4" w:space="0"/>
              <w:bottom w:val="single" w:color="000000" w:sz="4" w:space="0"/>
              <w:right w:val="single" w:color="000000" w:sz="4" w:space="0"/>
            </w:tcBorders>
            <w:vAlign w:val="center"/>
          </w:tcPr>
          <w:p w14:paraId="53ECE74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D3</w:t>
            </w:r>
          </w:p>
        </w:tc>
        <w:tc>
          <w:tcPr>
            <w:tcW w:w="7120" w:type="dxa"/>
            <w:tcBorders>
              <w:top w:val="single" w:color="000000" w:sz="4" w:space="0"/>
              <w:left w:val="single" w:color="000000" w:sz="4" w:space="0"/>
              <w:bottom w:val="single" w:color="000000" w:sz="4" w:space="0"/>
            </w:tcBorders>
            <w:vAlign w:val="center"/>
          </w:tcPr>
          <w:p w14:paraId="3A9EBC0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Mb≥1.0m，K≤1.0×10</w:t>
            </w:r>
            <w:r>
              <w:rPr>
                <w:rFonts w:hint="default" w:ascii="Times New Roman" w:hAnsi="Times New Roman" w:cs="Times New Roman"/>
                <w:color w:val="auto"/>
                <w:u w:val="none"/>
                <w:vertAlign w:val="superscript"/>
              </w:rPr>
              <w:t>-6</w:t>
            </w:r>
            <w:r>
              <w:rPr>
                <w:rFonts w:hint="default" w:ascii="Times New Roman" w:hAnsi="Times New Roman" w:cs="Times New Roman"/>
                <w:color w:val="auto"/>
                <w:u w:val="none"/>
              </w:rPr>
              <w:t>cm/s，且分布连续、稳定</w:t>
            </w:r>
          </w:p>
        </w:tc>
      </w:tr>
      <w:tr w14:paraId="563E881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14" w:hRule="atLeast"/>
          <w:jc w:val="center"/>
        </w:trPr>
        <w:tc>
          <w:tcPr>
            <w:tcW w:w="1216" w:type="dxa"/>
            <w:tcBorders>
              <w:top w:val="single" w:color="000000" w:sz="4" w:space="0"/>
              <w:bottom w:val="single" w:color="000000" w:sz="4" w:space="0"/>
              <w:right w:val="single" w:color="000000" w:sz="4" w:space="0"/>
            </w:tcBorders>
            <w:vAlign w:val="center"/>
          </w:tcPr>
          <w:p w14:paraId="12FE481A">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D2</w:t>
            </w:r>
          </w:p>
        </w:tc>
        <w:tc>
          <w:tcPr>
            <w:tcW w:w="7120" w:type="dxa"/>
            <w:tcBorders>
              <w:top w:val="single" w:color="000000" w:sz="4" w:space="0"/>
              <w:left w:val="single" w:color="000000" w:sz="4" w:space="0"/>
              <w:bottom w:val="single" w:color="000000" w:sz="4" w:space="0"/>
            </w:tcBorders>
            <w:vAlign w:val="center"/>
          </w:tcPr>
          <w:p w14:paraId="20922059">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0.5m≤Mb&lt;1.0m，K≤1.0×10</w:t>
            </w:r>
            <w:r>
              <w:rPr>
                <w:rFonts w:hint="default" w:ascii="Times New Roman" w:hAnsi="Times New Roman" w:cs="Times New Roman"/>
                <w:color w:val="auto"/>
                <w:u w:val="none"/>
                <w:vertAlign w:val="superscript"/>
              </w:rPr>
              <w:t>-6</w:t>
            </w:r>
            <w:r>
              <w:rPr>
                <w:rFonts w:hint="default" w:ascii="Times New Roman" w:hAnsi="Times New Roman" w:cs="Times New Roman"/>
                <w:color w:val="auto"/>
                <w:u w:val="none"/>
              </w:rPr>
              <w:t>cm/s，且分布连续、稳定Mb≥1.0m，1.0×10</w:t>
            </w:r>
            <w:r>
              <w:rPr>
                <w:rFonts w:hint="default" w:ascii="Times New Roman" w:hAnsi="Times New Roman" w:cs="Times New Roman"/>
                <w:color w:val="auto"/>
                <w:u w:val="none"/>
                <w:vertAlign w:val="superscript"/>
              </w:rPr>
              <w:t>-6</w:t>
            </w:r>
            <w:r>
              <w:rPr>
                <w:rFonts w:hint="default" w:ascii="Times New Roman" w:hAnsi="Times New Roman" w:cs="Times New Roman"/>
                <w:color w:val="auto"/>
                <w:u w:val="none"/>
              </w:rPr>
              <w:t>cm/s&lt;K≤1.0×10</w:t>
            </w:r>
            <w:r>
              <w:rPr>
                <w:rFonts w:hint="default" w:ascii="Times New Roman" w:hAnsi="Times New Roman" w:cs="Times New Roman"/>
                <w:color w:val="auto"/>
                <w:u w:val="none"/>
                <w:vertAlign w:val="superscript"/>
              </w:rPr>
              <w:t>-4</w:t>
            </w:r>
            <w:r>
              <w:rPr>
                <w:rFonts w:hint="default" w:ascii="Times New Roman" w:hAnsi="Times New Roman" w:cs="Times New Roman"/>
                <w:color w:val="auto"/>
                <w:u w:val="none"/>
              </w:rPr>
              <w:t>cm/s，且分布连续、稳定</w:t>
            </w:r>
          </w:p>
        </w:tc>
      </w:tr>
      <w:tr w14:paraId="3E654C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9" w:hRule="atLeast"/>
          <w:jc w:val="center"/>
        </w:trPr>
        <w:tc>
          <w:tcPr>
            <w:tcW w:w="1216" w:type="dxa"/>
            <w:tcBorders>
              <w:top w:val="single" w:color="000000" w:sz="4" w:space="0"/>
              <w:bottom w:val="single" w:color="000000" w:sz="4" w:space="0"/>
              <w:right w:val="single" w:color="000000" w:sz="4" w:space="0"/>
            </w:tcBorders>
            <w:vAlign w:val="center"/>
          </w:tcPr>
          <w:p w14:paraId="78E7F08C">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D1</w:t>
            </w:r>
          </w:p>
        </w:tc>
        <w:tc>
          <w:tcPr>
            <w:tcW w:w="7120" w:type="dxa"/>
            <w:tcBorders>
              <w:top w:val="single" w:color="000000" w:sz="4" w:space="0"/>
              <w:left w:val="single" w:color="000000" w:sz="4" w:space="0"/>
              <w:bottom w:val="single" w:color="000000" w:sz="4" w:space="0"/>
            </w:tcBorders>
            <w:vAlign w:val="center"/>
          </w:tcPr>
          <w:p w14:paraId="73170FED">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岩土层不满足上述“D2”和“D3”条件</w:t>
            </w:r>
          </w:p>
        </w:tc>
      </w:tr>
      <w:tr w14:paraId="4DEBCE6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89" w:hRule="atLeast"/>
          <w:jc w:val="center"/>
        </w:trPr>
        <w:tc>
          <w:tcPr>
            <w:tcW w:w="8336" w:type="dxa"/>
            <w:gridSpan w:val="2"/>
            <w:tcBorders>
              <w:top w:val="single" w:color="000000" w:sz="4" w:space="0"/>
            </w:tcBorders>
            <w:vAlign w:val="center"/>
          </w:tcPr>
          <w:p w14:paraId="4B7E76AE">
            <w:pPr>
              <w:pStyle w:val="41"/>
              <w:jc w:val="center"/>
              <w:rPr>
                <w:rFonts w:hint="default" w:ascii="Times New Roman" w:hAnsi="Times New Roman" w:cs="Times New Roman"/>
                <w:color w:val="auto"/>
                <w:u w:val="none"/>
              </w:rPr>
            </w:pPr>
            <w:r>
              <w:rPr>
                <w:rFonts w:hint="default" w:ascii="Times New Roman" w:hAnsi="Times New Roman" w:cs="Times New Roman"/>
                <w:color w:val="auto"/>
                <w:u w:val="none"/>
              </w:rPr>
              <w:t>Mb：岩土层单层厚度K：渗透系数</w:t>
            </w:r>
          </w:p>
        </w:tc>
      </w:tr>
    </w:tbl>
    <w:p w14:paraId="3FC1C05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所在区资料调查，项目所在区潜水含水层（组）由全新世沉积的灰色粉砂、粉土夹粉砂和表层冲填土、素填土等组成，厚度5-8m之间，取中间值6.5，本项目厂区的潜水含水层渗透系数取经验值约为1.2m/d。依据表6.3-1</w:t>
      </w: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可得，本项目包气带防污性能分级为D3。</w:t>
      </w:r>
    </w:p>
    <w:p w14:paraId="62768C25">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表6.3-1</w:t>
      </w:r>
      <w:r>
        <w:rPr>
          <w:rFonts w:hint="eastAsia" w:ascii="Times New Roman" w:hAnsi="Times New Roman" w:cs="Times New Roman"/>
          <w:b/>
          <w:bCs/>
          <w:color w:val="auto"/>
          <w:u w:val="none"/>
          <w:lang w:val="en-US" w:eastAsia="zh-CN"/>
        </w:rPr>
        <w:t xml:space="preserve">4  </w:t>
      </w:r>
      <w:r>
        <w:rPr>
          <w:rFonts w:hint="default" w:ascii="Times New Roman" w:hAnsi="Times New Roman" w:cs="Times New Roman"/>
          <w:b/>
          <w:bCs/>
          <w:color w:val="auto"/>
          <w:u w:val="none"/>
        </w:rPr>
        <w:t>地下水环境敏感程度分级</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3"/>
        <w:gridCol w:w="2174"/>
        <w:gridCol w:w="2174"/>
        <w:gridCol w:w="2175"/>
      </w:tblGrid>
      <w:tr w14:paraId="01ECCB4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1837" w:type="dxa"/>
            <w:vMerge w:val="restart"/>
            <w:tcBorders>
              <w:bottom w:val="single" w:color="000000" w:sz="4" w:space="0"/>
              <w:right w:val="single" w:color="000000" w:sz="4" w:space="0"/>
            </w:tcBorders>
          </w:tcPr>
          <w:p w14:paraId="4DAD84D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包气带防污性能</w:t>
            </w:r>
          </w:p>
        </w:tc>
        <w:tc>
          <w:tcPr>
            <w:tcW w:w="6499" w:type="dxa"/>
            <w:gridSpan w:val="3"/>
            <w:tcBorders>
              <w:left w:val="single" w:color="000000" w:sz="4" w:space="0"/>
              <w:bottom w:val="single" w:color="000000" w:sz="4" w:space="0"/>
            </w:tcBorders>
          </w:tcPr>
          <w:p w14:paraId="4AE475B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地下水功能敏感性</w:t>
            </w:r>
          </w:p>
        </w:tc>
      </w:tr>
      <w:tr w14:paraId="5DA4A8C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1837" w:type="dxa"/>
            <w:vMerge w:val="continue"/>
            <w:tcBorders>
              <w:top w:val="nil"/>
              <w:bottom w:val="single" w:color="000000" w:sz="4" w:space="0"/>
              <w:right w:val="single" w:color="000000" w:sz="4" w:space="0"/>
            </w:tcBorders>
          </w:tcPr>
          <w:p w14:paraId="4DD780EF">
            <w:pPr>
              <w:pStyle w:val="41"/>
              <w:rPr>
                <w:rFonts w:hint="default" w:ascii="Times New Roman" w:hAnsi="Times New Roman" w:cs="Times New Roman"/>
                <w:color w:val="auto"/>
                <w:u w:val="none"/>
              </w:rPr>
            </w:pPr>
          </w:p>
        </w:tc>
        <w:tc>
          <w:tcPr>
            <w:tcW w:w="2166" w:type="dxa"/>
            <w:tcBorders>
              <w:top w:val="single" w:color="000000" w:sz="4" w:space="0"/>
              <w:left w:val="single" w:color="000000" w:sz="4" w:space="0"/>
              <w:bottom w:val="single" w:color="000000" w:sz="4" w:space="0"/>
              <w:right w:val="single" w:color="000000" w:sz="4" w:space="0"/>
            </w:tcBorders>
          </w:tcPr>
          <w:p w14:paraId="3A5B4ADA">
            <w:pPr>
              <w:pStyle w:val="41"/>
              <w:rPr>
                <w:rFonts w:hint="default" w:ascii="Times New Roman" w:hAnsi="Times New Roman" w:cs="Times New Roman"/>
                <w:color w:val="auto"/>
                <w:u w:val="none"/>
              </w:rPr>
            </w:pPr>
            <w:r>
              <w:rPr>
                <w:rFonts w:hint="default" w:ascii="Times New Roman" w:hAnsi="Times New Roman" w:cs="Times New Roman"/>
                <w:color w:val="auto"/>
                <w:u w:val="none"/>
              </w:rPr>
              <w:t>G1</w:t>
            </w:r>
          </w:p>
        </w:tc>
        <w:tc>
          <w:tcPr>
            <w:tcW w:w="2166" w:type="dxa"/>
            <w:tcBorders>
              <w:top w:val="single" w:color="000000" w:sz="4" w:space="0"/>
              <w:left w:val="single" w:color="000000" w:sz="4" w:space="0"/>
              <w:bottom w:val="single" w:color="000000" w:sz="4" w:space="0"/>
              <w:right w:val="single" w:color="000000" w:sz="4" w:space="0"/>
            </w:tcBorders>
          </w:tcPr>
          <w:p w14:paraId="451E886E">
            <w:pPr>
              <w:pStyle w:val="41"/>
              <w:rPr>
                <w:rFonts w:hint="default" w:ascii="Times New Roman" w:hAnsi="Times New Roman" w:cs="Times New Roman"/>
                <w:color w:val="auto"/>
                <w:u w:val="none"/>
              </w:rPr>
            </w:pPr>
            <w:r>
              <w:rPr>
                <w:rFonts w:hint="default" w:ascii="Times New Roman" w:hAnsi="Times New Roman" w:cs="Times New Roman"/>
                <w:color w:val="auto"/>
                <w:u w:val="none"/>
              </w:rPr>
              <w:t>G2</w:t>
            </w:r>
          </w:p>
        </w:tc>
        <w:tc>
          <w:tcPr>
            <w:tcW w:w="2167" w:type="dxa"/>
            <w:tcBorders>
              <w:top w:val="single" w:color="000000" w:sz="4" w:space="0"/>
              <w:left w:val="single" w:color="000000" w:sz="4" w:space="0"/>
              <w:bottom w:val="single" w:color="000000" w:sz="4" w:space="0"/>
            </w:tcBorders>
          </w:tcPr>
          <w:p w14:paraId="222A3849">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G3</w:t>
            </w:r>
          </w:p>
        </w:tc>
      </w:tr>
      <w:tr w14:paraId="1679382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1837" w:type="dxa"/>
            <w:tcBorders>
              <w:top w:val="single" w:color="000000" w:sz="4" w:space="0"/>
              <w:bottom w:val="single" w:color="000000" w:sz="4" w:space="0"/>
              <w:right w:val="single" w:color="000000" w:sz="4" w:space="0"/>
            </w:tcBorders>
          </w:tcPr>
          <w:p w14:paraId="25A425CB">
            <w:pPr>
              <w:pStyle w:val="41"/>
              <w:rPr>
                <w:rFonts w:hint="default" w:ascii="Times New Roman" w:hAnsi="Times New Roman" w:cs="Times New Roman"/>
                <w:color w:val="auto"/>
                <w:u w:val="none"/>
              </w:rPr>
            </w:pPr>
            <w:r>
              <w:rPr>
                <w:rFonts w:hint="default" w:ascii="Times New Roman" w:hAnsi="Times New Roman" w:cs="Times New Roman"/>
                <w:color w:val="auto"/>
                <w:u w:val="none"/>
              </w:rPr>
              <w:t>D1</w:t>
            </w:r>
          </w:p>
        </w:tc>
        <w:tc>
          <w:tcPr>
            <w:tcW w:w="2166" w:type="dxa"/>
            <w:tcBorders>
              <w:top w:val="single" w:color="000000" w:sz="4" w:space="0"/>
              <w:left w:val="single" w:color="000000" w:sz="4" w:space="0"/>
              <w:bottom w:val="single" w:color="000000" w:sz="4" w:space="0"/>
              <w:right w:val="single" w:color="000000" w:sz="4" w:space="0"/>
            </w:tcBorders>
          </w:tcPr>
          <w:p w14:paraId="2CC01F03">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2166" w:type="dxa"/>
            <w:tcBorders>
              <w:top w:val="single" w:color="000000" w:sz="4" w:space="0"/>
              <w:left w:val="single" w:color="000000" w:sz="4" w:space="0"/>
              <w:bottom w:val="single" w:color="000000" w:sz="4" w:space="0"/>
              <w:right w:val="single" w:color="000000" w:sz="4" w:space="0"/>
            </w:tcBorders>
          </w:tcPr>
          <w:p w14:paraId="7030E3BD">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2167" w:type="dxa"/>
            <w:tcBorders>
              <w:top w:val="single" w:color="000000" w:sz="4" w:space="0"/>
              <w:left w:val="single" w:color="000000" w:sz="4" w:space="0"/>
              <w:bottom w:val="single" w:color="000000" w:sz="4" w:space="0"/>
            </w:tcBorders>
          </w:tcPr>
          <w:p w14:paraId="2E20DE4F">
            <w:pPr>
              <w:pStyle w:val="41"/>
              <w:rPr>
                <w:rFonts w:hint="default" w:ascii="Times New Roman" w:hAnsi="Times New Roman" w:cs="Times New Roman"/>
                <w:color w:val="auto"/>
                <w:u w:val="none"/>
              </w:rPr>
            </w:pPr>
            <w:r>
              <w:rPr>
                <w:rFonts w:hint="default" w:ascii="Times New Roman" w:hAnsi="Times New Roman" w:cs="Times New Roman"/>
                <w:color w:val="auto"/>
                <w:u w:val="none"/>
              </w:rPr>
              <w:t>E3</w:t>
            </w:r>
          </w:p>
        </w:tc>
      </w:tr>
      <w:tr w14:paraId="192EEA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1837" w:type="dxa"/>
            <w:tcBorders>
              <w:top w:val="single" w:color="000000" w:sz="4" w:space="0"/>
              <w:bottom w:val="single" w:color="000000" w:sz="4" w:space="0"/>
              <w:right w:val="single" w:color="000000" w:sz="4" w:space="0"/>
            </w:tcBorders>
          </w:tcPr>
          <w:p w14:paraId="51A2C1C8">
            <w:pPr>
              <w:pStyle w:val="41"/>
              <w:rPr>
                <w:rFonts w:hint="default" w:ascii="Times New Roman" w:hAnsi="Times New Roman" w:cs="Times New Roman"/>
                <w:color w:val="auto"/>
                <w:u w:val="none"/>
              </w:rPr>
            </w:pPr>
            <w:r>
              <w:rPr>
                <w:rFonts w:hint="default" w:ascii="Times New Roman" w:hAnsi="Times New Roman" w:cs="Times New Roman"/>
                <w:color w:val="auto"/>
                <w:u w:val="none"/>
              </w:rPr>
              <w:t>D2</w:t>
            </w:r>
          </w:p>
        </w:tc>
        <w:tc>
          <w:tcPr>
            <w:tcW w:w="2166" w:type="dxa"/>
            <w:tcBorders>
              <w:top w:val="single" w:color="000000" w:sz="4" w:space="0"/>
              <w:left w:val="single" w:color="000000" w:sz="4" w:space="0"/>
              <w:bottom w:val="single" w:color="000000" w:sz="4" w:space="0"/>
              <w:right w:val="single" w:color="000000" w:sz="4" w:space="0"/>
            </w:tcBorders>
          </w:tcPr>
          <w:p w14:paraId="7BC4104E">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2166" w:type="dxa"/>
            <w:tcBorders>
              <w:top w:val="single" w:color="000000" w:sz="4" w:space="0"/>
              <w:left w:val="single" w:color="000000" w:sz="4" w:space="0"/>
              <w:bottom w:val="single" w:color="000000" w:sz="4" w:space="0"/>
              <w:right w:val="single" w:color="000000" w:sz="4" w:space="0"/>
            </w:tcBorders>
          </w:tcPr>
          <w:p w14:paraId="708E2C63">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2167" w:type="dxa"/>
            <w:tcBorders>
              <w:top w:val="single" w:color="000000" w:sz="4" w:space="0"/>
              <w:left w:val="single" w:color="000000" w:sz="4" w:space="0"/>
              <w:bottom w:val="single" w:color="000000" w:sz="4" w:space="0"/>
            </w:tcBorders>
          </w:tcPr>
          <w:p w14:paraId="1D926A91">
            <w:pPr>
              <w:pStyle w:val="41"/>
              <w:rPr>
                <w:rFonts w:hint="default" w:ascii="Times New Roman" w:hAnsi="Times New Roman" w:cs="Times New Roman"/>
                <w:color w:val="auto"/>
                <w:u w:val="none"/>
              </w:rPr>
            </w:pPr>
            <w:r>
              <w:rPr>
                <w:rFonts w:hint="default" w:ascii="Times New Roman" w:hAnsi="Times New Roman" w:cs="Times New Roman"/>
                <w:color w:val="auto"/>
                <w:u w:val="none"/>
              </w:rPr>
              <w:t>E3</w:t>
            </w:r>
          </w:p>
        </w:tc>
      </w:tr>
      <w:tr w14:paraId="305F05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4" w:hRule="atLeast"/>
          <w:jc w:val="center"/>
        </w:trPr>
        <w:tc>
          <w:tcPr>
            <w:tcW w:w="1837" w:type="dxa"/>
            <w:tcBorders>
              <w:top w:val="single" w:color="000000" w:sz="4" w:space="0"/>
              <w:right w:val="single" w:color="000000" w:sz="4" w:space="0"/>
            </w:tcBorders>
          </w:tcPr>
          <w:p w14:paraId="171A9AD1">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D3</w:t>
            </w:r>
          </w:p>
        </w:tc>
        <w:tc>
          <w:tcPr>
            <w:tcW w:w="2166" w:type="dxa"/>
            <w:tcBorders>
              <w:top w:val="single" w:color="000000" w:sz="4" w:space="0"/>
              <w:left w:val="single" w:color="000000" w:sz="4" w:space="0"/>
              <w:right w:val="single" w:color="000000" w:sz="4" w:space="0"/>
            </w:tcBorders>
          </w:tcPr>
          <w:p w14:paraId="5356D29C">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c>
          <w:tcPr>
            <w:tcW w:w="2166" w:type="dxa"/>
            <w:tcBorders>
              <w:top w:val="single" w:color="000000" w:sz="4" w:space="0"/>
              <w:left w:val="single" w:color="000000" w:sz="4" w:space="0"/>
              <w:right w:val="single" w:color="000000" w:sz="4" w:space="0"/>
            </w:tcBorders>
          </w:tcPr>
          <w:p w14:paraId="7D079230">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2167" w:type="dxa"/>
            <w:tcBorders>
              <w:top w:val="single" w:color="000000" w:sz="4" w:space="0"/>
              <w:left w:val="single" w:color="000000" w:sz="4" w:space="0"/>
            </w:tcBorders>
          </w:tcPr>
          <w:p w14:paraId="3537324C">
            <w:pPr>
              <w:pStyle w:val="41"/>
              <w:rPr>
                <w:rFonts w:hint="default" w:ascii="Times New Roman" w:hAnsi="Times New Roman" w:cs="Times New Roman"/>
                <w:color w:val="auto"/>
                <w:u w:val="none"/>
              </w:rPr>
            </w:pPr>
            <w:r>
              <w:rPr>
                <w:rFonts w:hint="default" w:ascii="Times New Roman" w:hAnsi="Times New Roman" w:cs="Times New Roman"/>
                <w:b/>
                <w:bCs/>
                <w:color w:val="auto"/>
                <w:u w:val="none"/>
              </w:rPr>
              <w:t>E3</w:t>
            </w:r>
          </w:p>
        </w:tc>
      </w:tr>
    </w:tbl>
    <w:p w14:paraId="5707C81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综上所述，项目地下水功能敏感性属于不敏感G3，包气带防污性能分级为D3，根据表6.3-16地下水环境敏感程度分级要求，判定本项目地下水环境敏感程度为E3。</w:t>
      </w:r>
    </w:p>
    <w:p w14:paraId="7F6B564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综上所述，得出本项目环境敏感特征表如下：</w:t>
      </w:r>
    </w:p>
    <w:p w14:paraId="27BA6663">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表6.3-1</w:t>
      </w:r>
      <w:r>
        <w:rPr>
          <w:rFonts w:hint="eastAsia" w:ascii="Times New Roman" w:hAnsi="Times New Roman" w:cs="Times New Roman"/>
          <w:b/>
          <w:bCs/>
          <w:color w:val="auto"/>
          <w:u w:val="none"/>
          <w:lang w:val="en-US" w:eastAsia="zh-CN"/>
        </w:rPr>
        <w:t xml:space="preserve">5  </w:t>
      </w:r>
      <w:r>
        <w:rPr>
          <w:rFonts w:hint="default" w:ascii="Times New Roman" w:hAnsi="Times New Roman" w:cs="Times New Roman"/>
          <w:b/>
          <w:bCs/>
          <w:color w:val="auto"/>
          <w:u w:val="none"/>
        </w:rPr>
        <w:t>建设项目环境敏感特征表</w:t>
      </w:r>
    </w:p>
    <w:tbl>
      <w:tblPr>
        <w:tblStyle w:val="30"/>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61"/>
        <w:gridCol w:w="1238"/>
        <w:gridCol w:w="75"/>
        <w:gridCol w:w="577"/>
        <w:gridCol w:w="735"/>
        <w:gridCol w:w="402"/>
        <w:gridCol w:w="752"/>
        <w:gridCol w:w="158"/>
        <w:gridCol w:w="1732"/>
        <w:gridCol w:w="1890"/>
      </w:tblGrid>
      <w:tr w14:paraId="5AB918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tcMar>
              <w:top w:w="0" w:type="dxa"/>
              <w:left w:w="57" w:type="dxa"/>
              <w:bottom w:w="0" w:type="dxa"/>
              <w:right w:w="57" w:type="dxa"/>
            </w:tcMar>
            <w:vAlign w:val="center"/>
          </w:tcPr>
          <w:p w14:paraId="2AAADB1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类别</w:t>
            </w:r>
          </w:p>
        </w:tc>
        <w:tc>
          <w:tcPr>
            <w:tcW w:w="926" w:type="dxa"/>
            <w:tcMar>
              <w:top w:w="0" w:type="dxa"/>
              <w:left w:w="57" w:type="dxa"/>
              <w:bottom w:w="0" w:type="dxa"/>
              <w:right w:w="57" w:type="dxa"/>
            </w:tcMar>
            <w:vAlign w:val="center"/>
          </w:tcPr>
          <w:p w14:paraId="361AAFC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敏感目标</w:t>
            </w:r>
          </w:p>
        </w:tc>
        <w:tc>
          <w:tcPr>
            <w:tcW w:w="1339" w:type="dxa"/>
            <w:gridSpan w:val="4"/>
            <w:tcMar>
              <w:top w:w="0" w:type="dxa"/>
              <w:left w:w="57" w:type="dxa"/>
              <w:bottom w:w="0" w:type="dxa"/>
              <w:right w:w="57" w:type="dxa"/>
            </w:tcMar>
            <w:vAlign w:val="center"/>
          </w:tcPr>
          <w:p w14:paraId="48AC64C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坐标</w:t>
            </w:r>
          </w:p>
        </w:tc>
        <w:tc>
          <w:tcPr>
            <w:tcW w:w="1977" w:type="dxa"/>
            <w:gridSpan w:val="3"/>
            <w:tcMar>
              <w:top w:w="0" w:type="dxa"/>
              <w:left w:w="57" w:type="dxa"/>
              <w:bottom w:w="0" w:type="dxa"/>
              <w:right w:w="57" w:type="dxa"/>
            </w:tcMar>
            <w:vAlign w:val="center"/>
          </w:tcPr>
          <w:p w14:paraId="30CCD53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与项目的相对方位及距离</w:t>
            </w:r>
          </w:p>
        </w:tc>
        <w:tc>
          <w:tcPr>
            <w:tcW w:w="1414" w:type="dxa"/>
            <w:tcMar>
              <w:top w:w="0" w:type="dxa"/>
              <w:left w:w="57" w:type="dxa"/>
              <w:bottom w:w="0" w:type="dxa"/>
              <w:right w:w="57" w:type="dxa"/>
            </w:tcMar>
            <w:vAlign w:val="center"/>
          </w:tcPr>
          <w:p w14:paraId="0A7C266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功能/规模</w:t>
            </w:r>
          </w:p>
        </w:tc>
      </w:tr>
      <w:tr w14:paraId="6C5BF8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300" w:type="dxa"/>
            <w:gridSpan w:val="10"/>
            <w:tcMar>
              <w:top w:w="0" w:type="dxa"/>
              <w:left w:w="57" w:type="dxa"/>
              <w:bottom w:w="0" w:type="dxa"/>
              <w:right w:w="57" w:type="dxa"/>
            </w:tcMar>
            <w:vAlign w:val="center"/>
          </w:tcPr>
          <w:p w14:paraId="17048071">
            <w:pPr>
              <w:pStyle w:val="41"/>
              <w:rPr>
                <w:rFonts w:hint="default" w:ascii="Times New Roman" w:hAnsi="Times New Roman" w:cs="Times New Roman"/>
                <w:color w:val="auto"/>
                <w:u w:val="none"/>
              </w:rPr>
            </w:pPr>
            <w:r>
              <w:rPr>
                <w:rFonts w:hint="default" w:ascii="Times New Roman" w:hAnsi="Times New Roman" w:cs="Times New Roman"/>
                <w:color w:val="auto"/>
                <w:u w:val="none"/>
              </w:rPr>
              <w:t>厂址周边50m范围内</w:t>
            </w:r>
          </w:p>
        </w:tc>
      </w:tr>
      <w:tr w14:paraId="1012B7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restart"/>
            <w:tcMar>
              <w:top w:w="0" w:type="dxa"/>
              <w:left w:w="57" w:type="dxa"/>
              <w:bottom w:w="0" w:type="dxa"/>
              <w:right w:w="57" w:type="dxa"/>
            </w:tcMar>
            <w:vAlign w:val="center"/>
          </w:tcPr>
          <w:p w14:paraId="0EBE05B1">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环境空气</w:t>
            </w:r>
          </w:p>
        </w:tc>
        <w:tc>
          <w:tcPr>
            <w:tcW w:w="926" w:type="dxa"/>
            <w:tcMar>
              <w:top w:w="0" w:type="dxa"/>
              <w:left w:w="57" w:type="dxa"/>
              <w:bottom w:w="0" w:type="dxa"/>
              <w:right w:w="57" w:type="dxa"/>
            </w:tcMar>
            <w:vAlign w:val="center"/>
          </w:tcPr>
          <w:p w14:paraId="7E7B2599">
            <w:pPr>
              <w:pStyle w:val="41"/>
              <w:rPr>
                <w:rFonts w:hint="default" w:ascii="Times New Roman" w:hAnsi="Times New Roman" w:cs="Times New Roman"/>
                <w:color w:val="auto"/>
                <w:u w:val="none"/>
              </w:rPr>
            </w:pPr>
            <w:r>
              <w:rPr>
                <w:rFonts w:hint="default" w:ascii="Times New Roman" w:hAnsi="Times New Roman" w:cs="Times New Roman"/>
                <w:color w:val="auto"/>
                <w:u w:val="none"/>
              </w:rPr>
              <w:t>李家咀居民</w:t>
            </w:r>
          </w:p>
        </w:tc>
        <w:tc>
          <w:tcPr>
            <w:tcW w:w="1339" w:type="dxa"/>
            <w:gridSpan w:val="4"/>
            <w:tcMar>
              <w:top w:w="0" w:type="dxa"/>
              <w:left w:w="57" w:type="dxa"/>
              <w:bottom w:w="0" w:type="dxa"/>
              <w:right w:w="57" w:type="dxa"/>
            </w:tcMar>
            <w:vAlign w:val="center"/>
          </w:tcPr>
          <w:p w14:paraId="73779A8D">
            <w:pPr>
              <w:pStyle w:val="41"/>
              <w:rPr>
                <w:rFonts w:hint="default" w:ascii="Times New Roman" w:hAnsi="Times New Roman" w:cs="Times New Roman"/>
                <w:color w:val="auto"/>
                <w:u w:val="none"/>
              </w:rPr>
            </w:pPr>
            <w:r>
              <w:rPr>
                <w:rFonts w:hint="default" w:ascii="Times New Roman" w:hAnsi="Times New Roman" w:cs="Times New Roman"/>
                <w:color w:val="auto"/>
                <w:u w:val="none"/>
              </w:rPr>
              <w:t>X：113.192395Y：29.466094</w:t>
            </w:r>
          </w:p>
        </w:tc>
        <w:tc>
          <w:tcPr>
            <w:tcW w:w="1977" w:type="dxa"/>
            <w:gridSpan w:val="3"/>
            <w:tcMar>
              <w:top w:w="0" w:type="dxa"/>
              <w:left w:w="57" w:type="dxa"/>
              <w:bottom w:w="0" w:type="dxa"/>
              <w:right w:w="57" w:type="dxa"/>
            </w:tcMar>
            <w:vAlign w:val="center"/>
          </w:tcPr>
          <w:p w14:paraId="62B1EB3A">
            <w:pPr>
              <w:pStyle w:val="41"/>
              <w:rPr>
                <w:rFonts w:hint="default" w:ascii="Times New Roman" w:hAnsi="Times New Roman" w:cs="Times New Roman"/>
                <w:color w:val="auto"/>
                <w:u w:val="none"/>
              </w:rPr>
            </w:pPr>
            <w:r>
              <w:rPr>
                <w:rFonts w:hint="default" w:ascii="Times New Roman" w:hAnsi="Times New Roman" w:cs="Times New Roman"/>
                <w:color w:val="auto"/>
                <w:u w:val="none"/>
              </w:rPr>
              <w:t>SE/0.4-0.5km</w:t>
            </w:r>
          </w:p>
        </w:tc>
        <w:tc>
          <w:tcPr>
            <w:tcW w:w="1414" w:type="dxa"/>
            <w:tcMar>
              <w:top w:w="0" w:type="dxa"/>
              <w:left w:w="57" w:type="dxa"/>
              <w:bottom w:w="0" w:type="dxa"/>
              <w:right w:w="57" w:type="dxa"/>
            </w:tcMar>
            <w:vAlign w:val="center"/>
          </w:tcPr>
          <w:p w14:paraId="65081C7F">
            <w:pPr>
              <w:pStyle w:val="41"/>
              <w:rPr>
                <w:rFonts w:hint="default" w:ascii="Times New Roman" w:hAnsi="Times New Roman" w:cs="Times New Roman"/>
                <w:color w:val="auto"/>
                <w:u w:val="none"/>
              </w:rPr>
            </w:pPr>
            <w:r>
              <w:rPr>
                <w:rFonts w:hint="default" w:ascii="Times New Roman" w:hAnsi="Times New Roman" w:cs="Times New Roman"/>
                <w:color w:val="auto"/>
                <w:u w:val="none"/>
              </w:rPr>
              <w:t>居住区，60人</w:t>
            </w:r>
          </w:p>
        </w:tc>
      </w:tr>
      <w:tr w14:paraId="431C77B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5941D505">
            <w:pPr>
              <w:pStyle w:val="41"/>
              <w:rPr>
                <w:rFonts w:hint="default" w:ascii="Times New Roman" w:hAnsi="Times New Roman" w:cs="Times New Roman"/>
                <w:color w:val="auto"/>
                <w:u w:val="none"/>
              </w:rPr>
            </w:pPr>
          </w:p>
        </w:tc>
        <w:tc>
          <w:tcPr>
            <w:tcW w:w="926" w:type="dxa"/>
            <w:tcMar>
              <w:top w:w="0" w:type="dxa"/>
              <w:left w:w="57" w:type="dxa"/>
              <w:bottom w:w="0" w:type="dxa"/>
              <w:right w:w="57" w:type="dxa"/>
            </w:tcMar>
            <w:vAlign w:val="center"/>
          </w:tcPr>
          <w:p w14:paraId="19430D8D">
            <w:pPr>
              <w:pStyle w:val="41"/>
              <w:rPr>
                <w:rFonts w:hint="default" w:ascii="Times New Roman" w:hAnsi="Times New Roman" w:cs="Times New Roman"/>
                <w:color w:val="auto"/>
                <w:u w:val="none"/>
              </w:rPr>
            </w:pPr>
            <w:r>
              <w:rPr>
                <w:rFonts w:hint="default" w:ascii="Times New Roman" w:hAnsi="Times New Roman" w:cs="Times New Roman"/>
                <w:color w:val="auto"/>
                <w:u w:val="none"/>
              </w:rPr>
              <w:t>新金宝高端制造基地</w:t>
            </w:r>
          </w:p>
        </w:tc>
        <w:tc>
          <w:tcPr>
            <w:tcW w:w="1339" w:type="dxa"/>
            <w:gridSpan w:val="4"/>
            <w:tcMar>
              <w:top w:w="0" w:type="dxa"/>
              <w:left w:w="57" w:type="dxa"/>
              <w:bottom w:w="0" w:type="dxa"/>
              <w:right w:w="57" w:type="dxa"/>
            </w:tcMar>
            <w:vAlign w:val="center"/>
          </w:tcPr>
          <w:p w14:paraId="33D52BDB">
            <w:pPr>
              <w:pStyle w:val="41"/>
              <w:rPr>
                <w:rFonts w:hint="default" w:ascii="Times New Roman" w:hAnsi="Times New Roman" w:cs="Times New Roman"/>
                <w:color w:val="auto"/>
                <w:u w:val="none"/>
              </w:rPr>
            </w:pPr>
            <w:r>
              <w:rPr>
                <w:rFonts w:hint="default" w:ascii="Times New Roman" w:hAnsi="Times New Roman" w:cs="Times New Roman"/>
                <w:color w:val="auto"/>
                <w:u w:val="none"/>
              </w:rPr>
              <w:t>X：113.192547Y：29.46584</w:t>
            </w:r>
          </w:p>
        </w:tc>
        <w:tc>
          <w:tcPr>
            <w:tcW w:w="1977" w:type="dxa"/>
            <w:gridSpan w:val="3"/>
            <w:tcMar>
              <w:top w:w="0" w:type="dxa"/>
              <w:left w:w="57" w:type="dxa"/>
              <w:bottom w:w="0" w:type="dxa"/>
              <w:right w:w="57" w:type="dxa"/>
            </w:tcMar>
            <w:vAlign w:val="center"/>
          </w:tcPr>
          <w:p w14:paraId="701D3BF2">
            <w:pPr>
              <w:pStyle w:val="41"/>
              <w:rPr>
                <w:rFonts w:hint="default" w:ascii="Times New Roman" w:hAnsi="Times New Roman" w:cs="Times New Roman"/>
                <w:color w:val="auto"/>
                <w:u w:val="none"/>
              </w:rPr>
            </w:pPr>
            <w:r>
              <w:rPr>
                <w:rFonts w:hint="default" w:ascii="Times New Roman" w:hAnsi="Times New Roman" w:cs="Times New Roman"/>
                <w:color w:val="auto"/>
                <w:u w:val="none"/>
              </w:rPr>
              <w:t>紧邻</w:t>
            </w:r>
          </w:p>
        </w:tc>
        <w:tc>
          <w:tcPr>
            <w:tcW w:w="1414" w:type="dxa"/>
            <w:tcMar>
              <w:top w:w="0" w:type="dxa"/>
              <w:left w:w="57" w:type="dxa"/>
              <w:bottom w:w="0" w:type="dxa"/>
              <w:right w:w="57" w:type="dxa"/>
            </w:tcMar>
            <w:vAlign w:val="center"/>
          </w:tcPr>
          <w:p w14:paraId="0ADE252D">
            <w:pPr>
              <w:pStyle w:val="41"/>
              <w:rPr>
                <w:rFonts w:hint="default" w:ascii="Times New Roman" w:hAnsi="Times New Roman" w:cs="Times New Roman"/>
                <w:color w:val="auto"/>
                <w:u w:val="none"/>
              </w:rPr>
            </w:pPr>
            <w:r>
              <w:rPr>
                <w:rFonts w:hint="default" w:ascii="Times New Roman" w:hAnsi="Times New Roman" w:cs="Times New Roman"/>
                <w:color w:val="auto"/>
                <w:u w:val="none"/>
              </w:rPr>
              <w:t>企业，约</w:t>
            </w:r>
            <w:r>
              <w:rPr>
                <w:rFonts w:hint="eastAsia" w:cs="Times New Roman"/>
                <w:color w:val="auto"/>
                <w:u w:val="none"/>
                <w:lang w:val="en-US" w:eastAsia="zh-CN"/>
              </w:rPr>
              <w:t>4</w:t>
            </w:r>
            <w:r>
              <w:rPr>
                <w:rFonts w:hint="default" w:ascii="Times New Roman" w:hAnsi="Times New Roman" w:cs="Times New Roman"/>
                <w:color w:val="auto"/>
                <w:u w:val="none"/>
              </w:rPr>
              <w:t>000人</w:t>
            </w:r>
          </w:p>
        </w:tc>
      </w:tr>
      <w:tr w14:paraId="41603D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69D54820">
            <w:pPr>
              <w:pStyle w:val="41"/>
              <w:rPr>
                <w:rFonts w:hint="default" w:ascii="Times New Roman" w:hAnsi="Times New Roman" w:cs="Times New Roman"/>
                <w:color w:val="auto"/>
                <w:u w:val="none"/>
              </w:rPr>
            </w:pPr>
          </w:p>
        </w:tc>
        <w:tc>
          <w:tcPr>
            <w:tcW w:w="4242" w:type="dxa"/>
            <w:gridSpan w:val="8"/>
            <w:tcMar>
              <w:top w:w="0" w:type="dxa"/>
              <w:left w:w="57" w:type="dxa"/>
              <w:bottom w:w="0" w:type="dxa"/>
              <w:right w:w="57" w:type="dxa"/>
            </w:tcMar>
            <w:vAlign w:val="center"/>
          </w:tcPr>
          <w:p w14:paraId="358A756C">
            <w:pPr>
              <w:pStyle w:val="41"/>
              <w:rPr>
                <w:rFonts w:hint="default" w:ascii="Times New Roman" w:hAnsi="Times New Roman" w:cs="Times New Roman"/>
                <w:color w:val="auto"/>
                <w:u w:val="none"/>
              </w:rPr>
            </w:pPr>
            <w:r>
              <w:rPr>
                <w:rFonts w:hint="default" w:ascii="Times New Roman" w:hAnsi="Times New Roman" w:cs="Times New Roman"/>
                <w:color w:val="auto"/>
                <w:u w:val="none"/>
              </w:rPr>
              <w:t>厂址周边500m范围内人口数小计</w:t>
            </w:r>
          </w:p>
        </w:tc>
        <w:tc>
          <w:tcPr>
            <w:tcW w:w="1414" w:type="dxa"/>
            <w:tcMar>
              <w:top w:w="0" w:type="dxa"/>
              <w:left w:w="57" w:type="dxa"/>
              <w:bottom w:w="0" w:type="dxa"/>
              <w:right w:w="57" w:type="dxa"/>
            </w:tcMar>
            <w:vAlign w:val="center"/>
          </w:tcPr>
          <w:p w14:paraId="2EA27068">
            <w:pPr>
              <w:pStyle w:val="41"/>
              <w:rPr>
                <w:rFonts w:hint="default" w:ascii="Times New Roman" w:hAnsi="Times New Roman" w:cs="Times New Roman"/>
                <w:color w:val="auto"/>
                <w:u w:val="none"/>
              </w:rPr>
            </w:pPr>
            <w:r>
              <w:rPr>
                <w:rFonts w:hint="default" w:ascii="Times New Roman" w:hAnsi="Times New Roman" w:cs="Times New Roman"/>
                <w:color w:val="auto"/>
                <w:u w:val="none"/>
              </w:rPr>
              <w:t>2060人</w:t>
            </w:r>
          </w:p>
        </w:tc>
      </w:tr>
      <w:tr w14:paraId="5240E6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32604C4C">
            <w:pPr>
              <w:pStyle w:val="41"/>
              <w:rPr>
                <w:rFonts w:hint="default" w:ascii="Times New Roman" w:hAnsi="Times New Roman" w:cs="Times New Roman"/>
                <w:color w:val="auto"/>
                <w:u w:val="none"/>
              </w:rPr>
            </w:pPr>
          </w:p>
        </w:tc>
        <w:tc>
          <w:tcPr>
            <w:tcW w:w="4242" w:type="dxa"/>
            <w:gridSpan w:val="8"/>
            <w:tcMar>
              <w:top w:w="0" w:type="dxa"/>
              <w:left w:w="57" w:type="dxa"/>
              <w:bottom w:w="0" w:type="dxa"/>
              <w:right w:w="57" w:type="dxa"/>
            </w:tcMar>
            <w:vAlign w:val="center"/>
          </w:tcPr>
          <w:p w14:paraId="370A44FC">
            <w:pPr>
              <w:pStyle w:val="41"/>
              <w:rPr>
                <w:rFonts w:hint="default" w:ascii="Times New Roman" w:hAnsi="Times New Roman" w:cs="Times New Roman"/>
                <w:color w:val="auto"/>
                <w:u w:val="none"/>
              </w:rPr>
            </w:pPr>
            <w:r>
              <w:rPr>
                <w:rFonts w:hint="default" w:ascii="Times New Roman" w:hAnsi="Times New Roman" w:cs="Times New Roman"/>
                <w:color w:val="auto"/>
                <w:u w:val="none"/>
              </w:rPr>
              <w:t>大气环境敏感度E值</w:t>
            </w:r>
          </w:p>
        </w:tc>
        <w:tc>
          <w:tcPr>
            <w:tcW w:w="1414" w:type="dxa"/>
            <w:tcMar>
              <w:top w:w="0" w:type="dxa"/>
              <w:left w:w="57" w:type="dxa"/>
              <w:bottom w:w="0" w:type="dxa"/>
              <w:right w:w="57" w:type="dxa"/>
            </w:tcMar>
            <w:vAlign w:val="center"/>
          </w:tcPr>
          <w:p w14:paraId="4262473F">
            <w:pPr>
              <w:pStyle w:val="41"/>
              <w:rPr>
                <w:rFonts w:hint="default" w:ascii="Times New Roman" w:hAnsi="Times New Roman" w:cs="Times New Roman"/>
                <w:color w:val="auto"/>
                <w:u w:val="none"/>
              </w:rPr>
            </w:pPr>
            <w:r>
              <w:rPr>
                <w:rFonts w:hint="default" w:ascii="Times New Roman" w:hAnsi="Times New Roman" w:cs="Times New Roman"/>
                <w:color w:val="auto"/>
                <w:u w:val="none"/>
              </w:rPr>
              <w:t>E1</w:t>
            </w:r>
          </w:p>
        </w:tc>
      </w:tr>
      <w:tr w14:paraId="1430DA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94" w:hRule="atLeast"/>
          <w:jc w:val="center"/>
        </w:trPr>
        <w:tc>
          <w:tcPr>
            <w:tcW w:w="644" w:type="dxa"/>
            <w:vMerge w:val="restart"/>
            <w:tcMar>
              <w:top w:w="0" w:type="dxa"/>
              <w:left w:w="57" w:type="dxa"/>
              <w:bottom w:w="0" w:type="dxa"/>
              <w:right w:w="57" w:type="dxa"/>
            </w:tcMar>
            <w:vAlign w:val="center"/>
          </w:tcPr>
          <w:p w14:paraId="4B9F3A99">
            <w:pPr>
              <w:pStyle w:val="41"/>
              <w:rPr>
                <w:rFonts w:hint="default" w:ascii="Times New Roman" w:hAnsi="Times New Roman" w:cs="Times New Roman"/>
                <w:color w:val="auto"/>
                <w:u w:val="none"/>
              </w:rPr>
            </w:pPr>
            <w:r>
              <w:rPr>
                <w:rFonts w:hint="default" w:ascii="Times New Roman" w:hAnsi="Times New Roman" w:cs="Times New Roman"/>
                <w:color w:val="auto"/>
                <w:u w:val="none"/>
              </w:rPr>
              <w:t>地表水</w:t>
            </w:r>
          </w:p>
        </w:tc>
        <w:tc>
          <w:tcPr>
            <w:tcW w:w="1414" w:type="dxa"/>
            <w:gridSpan w:val="3"/>
            <w:tcMar>
              <w:top w:w="0" w:type="dxa"/>
              <w:left w:w="57" w:type="dxa"/>
              <w:bottom w:w="0" w:type="dxa"/>
              <w:right w:w="57" w:type="dxa"/>
            </w:tcMar>
          </w:tcPr>
          <w:p w14:paraId="6EE14CE0">
            <w:pPr>
              <w:pStyle w:val="41"/>
              <w:rPr>
                <w:rFonts w:hint="default" w:ascii="Times New Roman" w:hAnsi="Times New Roman" w:cs="Times New Roman"/>
                <w:color w:val="auto"/>
                <w:u w:val="none"/>
              </w:rPr>
            </w:pPr>
            <w:r>
              <w:rPr>
                <w:rFonts w:hint="default" w:ascii="Times New Roman" w:hAnsi="Times New Roman" w:cs="Times New Roman"/>
                <w:color w:val="auto"/>
                <w:u w:val="none"/>
              </w:rPr>
              <w:t>序号</w:t>
            </w:r>
          </w:p>
        </w:tc>
        <w:tc>
          <w:tcPr>
            <w:tcW w:w="1414" w:type="dxa"/>
            <w:gridSpan w:val="3"/>
            <w:tcMar>
              <w:top w:w="0" w:type="dxa"/>
              <w:left w:w="57" w:type="dxa"/>
              <w:bottom w:w="0" w:type="dxa"/>
              <w:right w:w="57" w:type="dxa"/>
            </w:tcMar>
          </w:tcPr>
          <w:p w14:paraId="467F279C">
            <w:pPr>
              <w:pStyle w:val="41"/>
              <w:rPr>
                <w:rFonts w:hint="default" w:ascii="Times New Roman" w:hAnsi="Times New Roman" w:cs="Times New Roman"/>
                <w:color w:val="auto"/>
                <w:u w:val="none"/>
              </w:rPr>
            </w:pPr>
            <w:r>
              <w:rPr>
                <w:rFonts w:hint="default" w:ascii="Times New Roman" w:hAnsi="Times New Roman" w:cs="Times New Roman"/>
                <w:color w:val="auto"/>
                <w:u w:val="none"/>
              </w:rPr>
              <w:t>受纳水体名称</w:t>
            </w:r>
          </w:p>
        </w:tc>
        <w:tc>
          <w:tcPr>
            <w:tcW w:w="1414" w:type="dxa"/>
            <w:gridSpan w:val="2"/>
            <w:tcMar>
              <w:top w:w="0" w:type="dxa"/>
              <w:left w:w="57" w:type="dxa"/>
              <w:bottom w:w="0" w:type="dxa"/>
              <w:right w:w="57" w:type="dxa"/>
            </w:tcMar>
          </w:tcPr>
          <w:p w14:paraId="74E9460B">
            <w:pPr>
              <w:pStyle w:val="41"/>
              <w:rPr>
                <w:rFonts w:hint="default" w:ascii="Times New Roman" w:hAnsi="Times New Roman" w:cs="Times New Roman"/>
                <w:color w:val="auto"/>
                <w:u w:val="none"/>
              </w:rPr>
            </w:pPr>
            <w:r>
              <w:rPr>
                <w:rFonts w:hint="default" w:ascii="Times New Roman" w:hAnsi="Times New Roman" w:cs="Times New Roman"/>
                <w:color w:val="auto"/>
                <w:u w:val="none"/>
              </w:rPr>
              <w:t>排放点水域环境功能</w:t>
            </w:r>
          </w:p>
        </w:tc>
        <w:tc>
          <w:tcPr>
            <w:tcW w:w="1414" w:type="dxa"/>
            <w:tcMar>
              <w:top w:w="0" w:type="dxa"/>
              <w:left w:w="57" w:type="dxa"/>
              <w:bottom w:w="0" w:type="dxa"/>
              <w:right w:w="57" w:type="dxa"/>
            </w:tcMar>
          </w:tcPr>
          <w:p w14:paraId="1935752E">
            <w:pPr>
              <w:pStyle w:val="41"/>
              <w:rPr>
                <w:rFonts w:hint="default" w:ascii="Times New Roman" w:hAnsi="Times New Roman" w:cs="Times New Roman"/>
                <w:color w:val="auto"/>
                <w:u w:val="none"/>
              </w:rPr>
            </w:pPr>
            <w:r>
              <w:rPr>
                <w:rFonts w:hint="default" w:ascii="Times New Roman" w:hAnsi="Times New Roman" w:cs="Times New Roman"/>
                <w:color w:val="auto"/>
                <w:u w:val="none"/>
              </w:rPr>
              <w:t>24h内流经范围/km</w:t>
            </w:r>
          </w:p>
        </w:tc>
      </w:tr>
      <w:tr w14:paraId="58A43F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0603BFD6">
            <w:pPr>
              <w:pStyle w:val="41"/>
              <w:rPr>
                <w:rFonts w:hint="default" w:ascii="Times New Roman" w:hAnsi="Times New Roman" w:cs="Times New Roman"/>
                <w:color w:val="auto"/>
                <w:u w:val="none"/>
              </w:rPr>
            </w:pPr>
          </w:p>
        </w:tc>
        <w:tc>
          <w:tcPr>
            <w:tcW w:w="1414" w:type="dxa"/>
            <w:gridSpan w:val="3"/>
            <w:tcMar>
              <w:top w:w="0" w:type="dxa"/>
              <w:left w:w="57" w:type="dxa"/>
              <w:bottom w:w="0" w:type="dxa"/>
              <w:right w:w="57" w:type="dxa"/>
            </w:tcMar>
          </w:tcPr>
          <w:p w14:paraId="7A9D61B2">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414" w:type="dxa"/>
            <w:gridSpan w:val="3"/>
            <w:tcMar>
              <w:top w:w="0" w:type="dxa"/>
              <w:left w:w="57" w:type="dxa"/>
              <w:bottom w:w="0" w:type="dxa"/>
              <w:right w:w="57" w:type="dxa"/>
            </w:tcMar>
          </w:tcPr>
          <w:p w14:paraId="41D670F5">
            <w:pPr>
              <w:pStyle w:val="41"/>
              <w:rPr>
                <w:rFonts w:hint="default" w:ascii="Times New Roman" w:hAnsi="Times New Roman" w:cs="Times New Roman"/>
                <w:color w:val="auto"/>
                <w:u w:val="none"/>
              </w:rPr>
            </w:pPr>
            <w:r>
              <w:rPr>
                <w:rFonts w:hint="default" w:ascii="Times New Roman" w:hAnsi="Times New Roman" w:cs="Times New Roman"/>
                <w:color w:val="auto"/>
                <w:u w:val="none"/>
              </w:rPr>
              <w:t>长江</w:t>
            </w:r>
          </w:p>
        </w:tc>
        <w:tc>
          <w:tcPr>
            <w:tcW w:w="1414" w:type="dxa"/>
            <w:gridSpan w:val="2"/>
            <w:tcMar>
              <w:top w:w="0" w:type="dxa"/>
              <w:left w:w="57" w:type="dxa"/>
              <w:bottom w:w="0" w:type="dxa"/>
              <w:right w:w="57" w:type="dxa"/>
            </w:tcMar>
          </w:tcPr>
          <w:p w14:paraId="1F7EA242">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c>
          <w:tcPr>
            <w:tcW w:w="1414" w:type="dxa"/>
            <w:tcMar>
              <w:top w:w="0" w:type="dxa"/>
              <w:left w:w="57" w:type="dxa"/>
              <w:bottom w:w="0" w:type="dxa"/>
              <w:right w:w="57" w:type="dxa"/>
            </w:tcMar>
          </w:tcPr>
          <w:p w14:paraId="5B815AA0">
            <w:pPr>
              <w:pStyle w:val="41"/>
              <w:rPr>
                <w:rFonts w:hint="default" w:ascii="Times New Roman" w:hAnsi="Times New Roman" w:cs="Times New Roman"/>
                <w:color w:val="auto"/>
                <w:u w:val="none"/>
              </w:rPr>
            </w:pPr>
            <w:r>
              <w:rPr>
                <w:rFonts w:hint="default" w:ascii="Times New Roman" w:hAnsi="Times New Roman" w:cs="Times New Roman"/>
                <w:color w:val="auto"/>
                <w:u w:val="none"/>
              </w:rPr>
              <w:t>24.0</w:t>
            </w:r>
          </w:p>
        </w:tc>
      </w:tr>
      <w:tr w14:paraId="7C0960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30988902">
            <w:pPr>
              <w:pStyle w:val="41"/>
              <w:rPr>
                <w:rFonts w:hint="default" w:ascii="Times New Roman" w:hAnsi="Times New Roman" w:cs="Times New Roman"/>
                <w:color w:val="auto"/>
                <w:u w:val="none"/>
              </w:rPr>
            </w:pPr>
          </w:p>
        </w:tc>
        <w:tc>
          <w:tcPr>
            <w:tcW w:w="4242" w:type="dxa"/>
            <w:gridSpan w:val="8"/>
            <w:tcMar>
              <w:top w:w="0" w:type="dxa"/>
              <w:left w:w="57" w:type="dxa"/>
              <w:bottom w:w="0" w:type="dxa"/>
              <w:right w:w="57" w:type="dxa"/>
            </w:tcMar>
          </w:tcPr>
          <w:p w14:paraId="7C40D501">
            <w:pPr>
              <w:pStyle w:val="41"/>
              <w:rPr>
                <w:rFonts w:hint="default" w:ascii="Times New Roman" w:hAnsi="Times New Roman" w:cs="Times New Roman"/>
                <w:color w:val="auto"/>
                <w:u w:val="none"/>
              </w:rPr>
            </w:pPr>
            <w:r>
              <w:rPr>
                <w:rFonts w:hint="default" w:ascii="Times New Roman" w:hAnsi="Times New Roman" w:cs="Times New Roman"/>
                <w:color w:val="auto"/>
                <w:u w:val="none"/>
              </w:rPr>
              <w:t>地表水敏感程度E值</w:t>
            </w:r>
          </w:p>
        </w:tc>
        <w:tc>
          <w:tcPr>
            <w:tcW w:w="1414" w:type="dxa"/>
            <w:tcMar>
              <w:top w:w="0" w:type="dxa"/>
              <w:left w:w="57" w:type="dxa"/>
              <w:bottom w:w="0" w:type="dxa"/>
              <w:right w:w="57" w:type="dxa"/>
            </w:tcMar>
          </w:tcPr>
          <w:p w14:paraId="167C7EFE">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r>
      <w:tr w14:paraId="390389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restart"/>
            <w:tcMar>
              <w:top w:w="0" w:type="dxa"/>
              <w:left w:w="57" w:type="dxa"/>
              <w:bottom w:w="0" w:type="dxa"/>
              <w:right w:w="57" w:type="dxa"/>
            </w:tcMar>
            <w:vAlign w:val="center"/>
          </w:tcPr>
          <w:p w14:paraId="23BA2EC5">
            <w:pPr>
              <w:pStyle w:val="41"/>
              <w:rPr>
                <w:rFonts w:hint="default" w:ascii="Times New Roman" w:hAnsi="Times New Roman" w:cs="Times New Roman"/>
                <w:color w:val="auto"/>
                <w:u w:val="none"/>
              </w:rPr>
            </w:pPr>
            <w:r>
              <w:rPr>
                <w:rFonts w:hint="default" w:ascii="Times New Roman" w:hAnsi="Times New Roman" w:cs="Times New Roman"/>
                <w:color w:val="auto"/>
                <w:u w:val="none"/>
              </w:rPr>
              <w:t>地下水</w:t>
            </w:r>
          </w:p>
        </w:tc>
        <w:tc>
          <w:tcPr>
            <w:tcW w:w="982" w:type="dxa"/>
            <w:gridSpan w:val="2"/>
            <w:tcMar>
              <w:top w:w="0" w:type="dxa"/>
              <w:left w:w="57" w:type="dxa"/>
              <w:bottom w:w="0" w:type="dxa"/>
              <w:right w:w="57" w:type="dxa"/>
            </w:tcMar>
          </w:tcPr>
          <w:p w14:paraId="7720D9E2">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环境敏感区名称</w:t>
            </w:r>
          </w:p>
        </w:tc>
        <w:tc>
          <w:tcPr>
            <w:tcW w:w="982" w:type="dxa"/>
            <w:gridSpan w:val="2"/>
            <w:tcMar>
              <w:top w:w="0" w:type="dxa"/>
              <w:left w:w="57" w:type="dxa"/>
              <w:bottom w:w="0" w:type="dxa"/>
              <w:right w:w="57" w:type="dxa"/>
            </w:tcMar>
          </w:tcPr>
          <w:p w14:paraId="5376BFBC">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环境敏感特征</w:t>
            </w:r>
          </w:p>
        </w:tc>
        <w:tc>
          <w:tcPr>
            <w:tcW w:w="982" w:type="dxa"/>
            <w:gridSpan w:val="3"/>
            <w:tcMar>
              <w:top w:w="0" w:type="dxa"/>
              <w:left w:w="57" w:type="dxa"/>
              <w:bottom w:w="0" w:type="dxa"/>
              <w:right w:w="57" w:type="dxa"/>
            </w:tcMar>
          </w:tcPr>
          <w:p w14:paraId="24D2250A">
            <w:pPr>
              <w:pStyle w:val="41"/>
              <w:rPr>
                <w:rFonts w:hint="default" w:ascii="Times New Roman" w:hAnsi="Times New Roman" w:cs="Times New Roman"/>
                <w:color w:val="auto"/>
                <w:u w:val="none"/>
              </w:rPr>
            </w:pPr>
            <w:r>
              <w:rPr>
                <w:rFonts w:hint="default" w:ascii="Times New Roman" w:hAnsi="Times New Roman" w:cs="Times New Roman"/>
                <w:color w:val="auto"/>
                <w:u w:val="none"/>
              </w:rPr>
              <w:t>水质目标</w:t>
            </w:r>
          </w:p>
        </w:tc>
        <w:tc>
          <w:tcPr>
            <w:tcW w:w="1296" w:type="dxa"/>
            <w:tcMar>
              <w:top w:w="0" w:type="dxa"/>
              <w:left w:w="57" w:type="dxa"/>
              <w:bottom w:w="0" w:type="dxa"/>
              <w:right w:w="57" w:type="dxa"/>
            </w:tcMar>
          </w:tcPr>
          <w:p w14:paraId="74268EE5">
            <w:pPr>
              <w:pStyle w:val="41"/>
              <w:rPr>
                <w:rFonts w:hint="default" w:ascii="Times New Roman" w:hAnsi="Times New Roman" w:cs="Times New Roman"/>
                <w:color w:val="auto"/>
                <w:u w:val="none"/>
              </w:rPr>
            </w:pPr>
            <w:r>
              <w:rPr>
                <w:rFonts w:hint="default" w:ascii="Times New Roman" w:hAnsi="Times New Roman" w:cs="Times New Roman"/>
                <w:color w:val="auto"/>
                <w:u w:val="none"/>
              </w:rPr>
              <w:t>包气带防污性能</w:t>
            </w:r>
          </w:p>
        </w:tc>
        <w:tc>
          <w:tcPr>
            <w:tcW w:w="1414" w:type="dxa"/>
            <w:tcMar>
              <w:top w:w="0" w:type="dxa"/>
              <w:left w:w="57" w:type="dxa"/>
              <w:bottom w:w="0" w:type="dxa"/>
              <w:right w:w="57" w:type="dxa"/>
            </w:tcMar>
          </w:tcPr>
          <w:p w14:paraId="4328245C">
            <w:pPr>
              <w:pStyle w:val="41"/>
              <w:rPr>
                <w:rFonts w:hint="default" w:ascii="Times New Roman" w:hAnsi="Times New Roman" w:cs="Times New Roman"/>
                <w:color w:val="auto"/>
                <w:u w:val="none"/>
              </w:rPr>
            </w:pPr>
            <w:r>
              <w:rPr>
                <w:rFonts w:hint="default" w:ascii="Times New Roman" w:hAnsi="Times New Roman" w:cs="Times New Roman"/>
                <w:color w:val="auto"/>
                <w:u w:val="none"/>
              </w:rPr>
              <w:t>与下游厂界距离/m</w:t>
            </w:r>
          </w:p>
        </w:tc>
      </w:tr>
      <w:tr w14:paraId="6F12B5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37B98D3D">
            <w:pPr>
              <w:pStyle w:val="41"/>
              <w:rPr>
                <w:rFonts w:hint="default" w:ascii="Times New Roman" w:hAnsi="Times New Roman" w:cs="Times New Roman"/>
                <w:color w:val="auto"/>
                <w:u w:val="none"/>
              </w:rPr>
            </w:pPr>
          </w:p>
        </w:tc>
        <w:tc>
          <w:tcPr>
            <w:tcW w:w="982" w:type="dxa"/>
            <w:gridSpan w:val="2"/>
            <w:tcMar>
              <w:top w:w="0" w:type="dxa"/>
              <w:left w:w="57" w:type="dxa"/>
              <w:bottom w:w="0" w:type="dxa"/>
              <w:right w:w="57" w:type="dxa"/>
            </w:tcMar>
          </w:tcPr>
          <w:p w14:paraId="2BF51B1D">
            <w:pPr>
              <w:pStyle w:val="41"/>
              <w:rPr>
                <w:rFonts w:hint="default" w:ascii="Times New Roman" w:hAnsi="Times New Roman" w:cs="Times New Roman"/>
                <w:color w:val="auto"/>
                <w:u w:val="none"/>
              </w:rPr>
            </w:pPr>
            <w:r>
              <w:rPr>
                <w:rFonts w:hint="default" w:ascii="Times New Roman" w:hAnsi="Times New Roman" w:cs="Times New Roman"/>
                <w:color w:val="auto"/>
                <w:u w:val="none"/>
              </w:rPr>
              <w:t>其他</w:t>
            </w:r>
          </w:p>
        </w:tc>
        <w:tc>
          <w:tcPr>
            <w:tcW w:w="982" w:type="dxa"/>
            <w:gridSpan w:val="2"/>
            <w:tcMar>
              <w:top w:w="0" w:type="dxa"/>
              <w:left w:w="57" w:type="dxa"/>
              <w:bottom w:w="0" w:type="dxa"/>
              <w:right w:w="57" w:type="dxa"/>
            </w:tcMar>
          </w:tcPr>
          <w:p w14:paraId="11552B56">
            <w:pPr>
              <w:pStyle w:val="41"/>
              <w:rPr>
                <w:rFonts w:hint="default" w:ascii="Times New Roman" w:hAnsi="Times New Roman" w:cs="Times New Roman"/>
                <w:color w:val="auto"/>
                <w:u w:val="none"/>
              </w:rPr>
            </w:pPr>
            <w:r>
              <w:rPr>
                <w:rFonts w:hint="default" w:ascii="Times New Roman" w:hAnsi="Times New Roman" w:cs="Times New Roman"/>
                <w:color w:val="auto"/>
                <w:u w:val="none"/>
              </w:rPr>
              <w:t>E2</w:t>
            </w:r>
          </w:p>
        </w:tc>
        <w:tc>
          <w:tcPr>
            <w:tcW w:w="982" w:type="dxa"/>
            <w:gridSpan w:val="3"/>
            <w:tcMar>
              <w:top w:w="0" w:type="dxa"/>
              <w:left w:w="57" w:type="dxa"/>
              <w:bottom w:w="0" w:type="dxa"/>
              <w:right w:w="57" w:type="dxa"/>
            </w:tcMar>
          </w:tcPr>
          <w:p w14:paraId="570D80D5">
            <w:pPr>
              <w:pStyle w:val="41"/>
              <w:rPr>
                <w:rFonts w:hint="default" w:ascii="Times New Roman" w:hAnsi="Times New Roman" w:cs="Times New Roman"/>
                <w:color w:val="auto"/>
                <w:u w:val="none"/>
              </w:rPr>
            </w:pPr>
          </w:p>
        </w:tc>
        <w:tc>
          <w:tcPr>
            <w:tcW w:w="1296" w:type="dxa"/>
            <w:tcMar>
              <w:top w:w="0" w:type="dxa"/>
              <w:left w:w="57" w:type="dxa"/>
              <w:bottom w:w="0" w:type="dxa"/>
              <w:right w:w="57" w:type="dxa"/>
            </w:tcMar>
          </w:tcPr>
          <w:p w14:paraId="2F90CC21">
            <w:pPr>
              <w:pStyle w:val="41"/>
              <w:rPr>
                <w:rFonts w:hint="default" w:ascii="Times New Roman" w:hAnsi="Times New Roman" w:cs="Times New Roman"/>
                <w:color w:val="auto"/>
                <w:u w:val="none"/>
              </w:rPr>
            </w:pPr>
            <w:r>
              <w:rPr>
                <w:rFonts w:hint="default" w:ascii="Times New Roman" w:hAnsi="Times New Roman" w:cs="Times New Roman"/>
                <w:color w:val="auto"/>
                <w:u w:val="none"/>
              </w:rPr>
              <w:t>D3</w:t>
            </w:r>
          </w:p>
        </w:tc>
        <w:tc>
          <w:tcPr>
            <w:tcW w:w="1414" w:type="dxa"/>
            <w:tcMar>
              <w:top w:w="0" w:type="dxa"/>
              <w:left w:w="57" w:type="dxa"/>
              <w:bottom w:w="0" w:type="dxa"/>
              <w:right w:w="57" w:type="dxa"/>
            </w:tcMar>
          </w:tcPr>
          <w:p w14:paraId="39438818">
            <w:pPr>
              <w:pStyle w:val="41"/>
              <w:rPr>
                <w:rFonts w:hint="default" w:ascii="Times New Roman" w:hAnsi="Times New Roman" w:cs="Times New Roman"/>
                <w:color w:val="auto"/>
                <w:u w:val="none"/>
              </w:rPr>
            </w:pPr>
          </w:p>
        </w:tc>
      </w:tr>
      <w:tr w14:paraId="306913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44" w:type="dxa"/>
            <w:vMerge w:val="continue"/>
            <w:tcMar>
              <w:top w:w="0" w:type="dxa"/>
              <w:left w:w="57" w:type="dxa"/>
              <w:bottom w:w="0" w:type="dxa"/>
              <w:right w:w="57" w:type="dxa"/>
            </w:tcMar>
            <w:vAlign w:val="center"/>
          </w:tcPr>
          <w:p w14:paraId="0991041C">
            <w:pPr>
              <w:pStyle w:val="41"/>
              <w:rPr>
                <w:rFonts w:hint="default" w:ascii="Times New Roman" w:hAnsi="Times New Roman" w:cs="Times New Roman"/>
                <w:color w:val="auto"/>
                <w:u w:val="none"/>
              </w:rPr>
            </w:pPr>
          </w:p>
        </w:tc>
        <w:tc>
          <w:tcPr>
            <w:tcW w:w="4242" w:type="dxa"/>
            <w:gridSpan w:val="8"/>
            <w:tcMar>
              <w:top w:w="0" w:type="dxa"/>
              <w:left w:w="57" w:type="dxa"/>
              <w:bottom w:w="0" w:type="dxa"/>
              <w:right w:w="57" w:type="dxa"/>
            </w:tcMar>
          </w:tcPr>
          <w:p w14:paraId="216F6858">
            <w:pPr>
              <w:pStyle w:val="41"/>
              <w:rPr>
                <w:rFonts w:hint="default" w:ascii="Times New Roman" w:hAnsi="Times New Roman" w:cs="Times New Roman"/>
                <w:color w:val="auto"/>
                <w:u w:val="none"/>
              </w:rPr>
            </w:pPr>
            <w:r>
              <w:rPr>
                <w:rFonts w:hint="default" w:ascii="Times New Roman" w:hAnsi="Times New Roman" w:cs="Times New Roman"/>
                <w:color w:val="auto"/>
                <w:u w:val="none"/>
              </w:rPr>
              <w:t>地下水敏感程度E值</w:t>
            </w:r>
          </w:p>
        </w:tc>
        <w:tc>
          <w:tcPr>
            <w:tcW w:w="1414" w:type="dxa"/>
            <w:tcMar>
              <w:top w:w="0" w:type="dxa"/>
              <w:left w:w="57" w:type="dxa"/>
              <w:bottom w:w="0" w:type="dxa"/>
              <w:right w:w="57" w:type="dxa"/>
            </w:tcMar>
          </w:tcPr>
          <w:p w14:paraId="4DCD1CDA">
            <w:pPr>
              <w:pStyle w:val="41"/>
              <w:rPr>
                <w:rFonts w:hint="default" w:ascii="Times New Roman" w:hAnsi="Times New Roman" w:cs="Times New Roman"/>
                <w:color w:val="auto"/>
                <w:u w:val="none"/>
              </w:rPr>
            </w:pPr>
            <w:r>
              <w:rPr>
                <w:rFonts w:hint="default" w:ascii="Times New Roman" w:hAnsi="Times New Roman" w:cs="Times New Roman"/>
                <w:color w:val="auto"/>
                <w:u w:val="none"/>
              </w:rPr>
              <w:t>E3</w:t>
            </w:r>
          </w:p>
        </w:tc>
      </w:tr>
    </w:tbl>
    <w:p w14:paraId="71FFB090">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风险潜势判断</w:t>
      </w:r>
    </w:p>
    <w:p w14:paraId="6F4B1F5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建设项目环境风险潜势依据项目涉及的物质和工艺系统的危险性及其所在地环境敏感程度，结合事故情形下环境影响途径，对建设项目潜在环境危害程度进行概化分析，建设项目风险潜势划分为I、II、III、IV/IV*级。环境风险潜势划分依据见</w:t>
      </w:r>
      <w:r>
        <w:rPr>
          <w:rFonts w:hint="eastAsia" w:ascii="Times New Roman" w:hAnsi="Times New Roman" w:cs="Times New Roman"/>
          <w:color w:val="auto"/>
          <w:u w:val="none"/>
          <w:lang w:val="en-US" w:eastAsia="zh-CN"/>
        </w:rPr>
        <w:t>下</w:t>
      </w:r>
      <w:r>
        <w:rPr>
          <w:rFonts w:hint="default" w:ascii="Times New Roman" w:hAnsi="Times New Roman" w:cs="Times New Roman"/>
          <w:color w:val="auto"/>
          <w:u w:val="none"/>
        </w:rPr>
        <w:t>表。</w:t>
      </w:r>
    </w:p>
    <w:p w14:paraId="02E1C456">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表6.3-1</w:t>
      </w:r>
      <w:r>
        <w:rPr>
          <w:rFonts w:hint="eastAsia" w:ascii="Times New Roman" w:hAnsi="Times New Roman" w:cs="Times New Roman"/>
          <w:b/>
          <w:bCs/>
          <w:color w:val="auto"/>
          <w:u w:val="none"/>
          <w:lang w:val="en-US" w:eastAsia="zh-CN"/>
        </w:rPr>
        <w:t xml:space="preserve">6  </w:t>
      </w:r>
      <w:r>
        <w:rPr>
          <w:rFonts w:hint="default" w:ascii="Times New Roman" w:hAnsi="Times New Roman" w:cs="Times New Roman"/>
          <w:b/>
          <w:bCs/>
          <w:color w:val="auto"/>
          <w:u w:val="none"/>
        </w:rPr>
        <w:t>建设项目环境风险潜势划分</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101"/>
        <w:gridCol w:w="1598"/>
        <w:gridCol w:w="1598"/>
        <w:gridCol w:w="1464"/>
        <w:gridCol w:w="1605"/>
      </w:tblGrid>
      <w:tr w14:paraId="1E08C8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5" w:hRule="atLeast"/>
          <w:jc w:val="center"/>
        </w:trPr>
        <w:tc>
          <w:tcPr>
            <w:tcW w:w="2094" w:type="dxa"/>
            <w:vMerge w:val="restart"/>
            <w:tcBorders>
              <w:bottom w:val="single" w:color="000000" w:sz="4" w:space="0"/>
              <w:right w:val="single" w:color="000000" w:sz="4" w:space="0"/>
            </w:tcBorders>
          </w:tcPr>
          <w:p w14:paraId="10C58B6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环境敏感程度（E）</w:t>
            </w:r>
          </w:p>
        </w:tc>
        <w:tc>
          <w:tcPr>
            <w:tcW w:w="6242" w:type="dxa"/>
            <w:gridSpan w:val="4"/>
            <w:tcBorders>
              <w:left w:val="single" w:color="000000" w:sz="4" w:space="0"/>
              <w:bottom w:val="single" w:color="000000" w:sz="4" w:space="0"/>
            </w:tcBorders>
          </w:tcPr>
          <w:p w14:paraId="39B3829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危险物质及工艺系统危险性（P）</w:t>
            </w:r>
          </w:p>
        </w:tc>
      </w:tr>
      <w:tr w14:paraId="421CEA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2094" w:type="dxa"/>
            <w:vMerge w:val="continue"/>
            <w:tcBorders>
              <w:top w:val="nil"/>
              <w:bottom w:val="single" w:color="000000" w:sz="4" w:space="0"/>
              <w:right w:val="single" w:color="000000" w:sz="4" w:space="0"/>
            </w:tcBorders>
          </w:tcPr>
          <w:p w14:paraId="2D1F9B2C">
            <w:pPr>
              <w:pStyle w:val="41"/>
              <w:rPr>
                <w:rFonts w:hint="default" w:ascii="Times New Roman" w:hAnsi="Times New Roman" w:cs="Times New Roman"/>
                <w:color w:val="auto"/>
                <w:u w:val="none"/>
              </w:rPr>
            </w:pPr>
          </w:p>
        </w:tc>
        <w:tc>
          <w:tcPr>
            <w:tcW w:w="1592" w:type="dxa"/>
            <w:tcBorders>
              <w:top w:val="single" w:color="000000" w:sz="4" w:space="0"/>
              <w:left w:val="single" w:color="000000" w:sz="4" w:space="0"/>
              <w:bottom w:val="single" w:color="000000" w:sz="4" w:space="0"/>
              <w:right w:val="single" w:color="000000" w:sz="4" w:space="0"/>
            </w:tcBorders>
          </w:tcPr>
          <w:p w14:paraId="4FD7D526">
            <w:pPr>
              <w:pStyle w:val="41"/>
              <w:rPr>
                <w:rFonts w:hint="default" w:ascii="Times New Roman" w:hAnsi="Times New Roman" w:cs="Times New Roman"/>
                <w:color w:val="auto"/>
                <w:u w:val="none"/>
              </w:rPr>
            </w:pPr>
            <w:r>
              <w:rPr>
                <w:rFonts w:hint="default" w:ascii="Times New Roman" w:hAnsi="Times New Roman" w:cs="Times New Roman"/>
                <w:color w:val="auto"/>
                <w:u w:val="none"/>
              </w:rPr>
              <w:t>极高危害（P1）</w:t>
            </w:r>
          </w:p>
        </w:tc>
        <w:tc>
          <w:tcPr>
            <w:tcW w:w="1592" w:type="dxa"/>
            <w:tcBorders>
              <w:top w:val="single" w:color="000000" w:sz="4" w:space="0"/>
              <w:left w:val="single" w:color="000000" w:sz="4" w:space="0"/>
              <w:bottom w:val="single" w:color="000000" w:sz="4" w:space="0"/>
              <w:right w:val="single" w:color="000000" w:sz="4" w:space="0"/>
            </w:tcBorders>
          </w:tcPr>
          <w:p w14:paraId="2D7E09BC">
            <w:pPr>
              <w:pStyle w:val="41"/>
              <w:rPr>
                <w:rFonts w:hint="default" w:ascii="Times New Roman" w:hAnsi="Times New Roman" w:cs="Times New Roman"/>
                <w:color w:val="auto"/>
                <w:u w:val="none"/>
              </w:rPr>
            </w:pPr>
            <w:r>
              <w:rPr>
                <w:rFonts w:hint="default" w:ascii="Times New Roman" w:hAnsi="Times New Roman" w:cs="Times New Roman"/>
                <w:color w:val="auto"/>
                <w:u w:val="none"/>
              </w:rPr>
              <w:t>高度危害（P2）</w:t>
            </w:r>
          </w:p>
        </w:tc>
        <w:tc>
          <w:tcPr>
            <w:tcW w:w="1459" w:type="dxa"/>
            <w:tcBorders>
              <w:top w:val="single" w:color="000000" w:sz="4" w:space="0"/>
              <w:left w:val="single" w:color="000000" w:sz="4" w:space="0"/>
              <w:bottom w:val="single" w:color="000000" w:sz="4" w:space="0"/>
              <w:right w:val="single" w:color="000000" w:sz="4" w:space="0"/>
            </w:tcBorders>
          </w:tcPr>
          <w:p w14:paraId="59573315">
            <w:pPr>
              <w:pStyle w:val="41"/>
              <w:rPr>
                <w:rFonts w:hint="default" w:ascii="Times New Roman" w:hAnsi="Times New Roman" w:cs="Times New Roman"/>
                <w:color w:val="auto"/>
                <w:u w:val="none"/>
              </w:rPr>
            </w:pPr>
            <w:r>
              <w:rPr>
                <w:rFonts w:hint="default" w:ascii="Times New Roman" w:hAnsi="Times New Roman" w:cs="Times New Roman"/>
                <w:color w:val="auto"/>
                <w:u w:val="none"/>
              </w:rPr>
              <w:t>中毒危害（P3）</w:t>
            </w:r>
          </w:p>
        </w:tc>
        <w:tc>
          <w:tcPr>
            <w:tcW w:w="1599" w:type="dxa"/>
            <w:tcBorders>
              <w:top w:val="single" w:color="000000" w:sz="4" w:space="0"/>
              <w:left w:val="single" w:color="000000" w:sz="4" w:space="0"/>
              <w:bottom w:val="single" w:color="000000" w:sz="4" w:space="0"/>
            </w:tcBorders>
          </w:tcPr>
          <w:p w14:paraId="1FC759B5">
            <w:pPr>
              <w:pStyle w:val="41"/>
              <w:rPr>
                <w:rFonts w:hint="default" w:ascii="Times New Roman" w:hAnsi="Times New Roman" w:cs="Times New Roman"/>
                <w:color w:val="auto"/>
                <w:u w:val="none"/>
              </w:rPr>
            </w:pPr>
            <w:r>
              <w:rPr>
                <w:rFonts w:hint="default" w:ascii="Times New Roman" w:hAnsi="Times New Roman" w:cs="Times New Roman"/>
                <w:color w:val="auto"/>
                <w:u w:val="none"/>
              </w:rPr>
              <w:t>轻度危害（P4）</w:t>
            </w:r>
          </w:p>
        </w:tc>
      </w:tr>
      <w:tr w14:paraId="48B12AF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2094" w:type="dxa"/>
            <w:tcBorders>
              <w:top w:val="single" w:color="000000" w:sz="4" w:space="0"/>
              <w:bottom w:val="single" w:color="000000" w:sz="4" w:space="0"/>
              <w:right w:val="single" w:color="000000" w:sz="4" w:space="0"/>
            </w:tcBorders>
          </w:tcPr>
          <w:p w14:paraId="6A324A1E">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环境高度敏感区（E1）</w:t>
            </w:r>
          </w:p>
        </w:tc>
        <w:tc>
          <w:tcPr>
            <w:tcW w:w="1592" w:type="dxa"/>
            <w:tcBorders>
              <w:top w:val="single" w:color="000000" w:sz="4" w:space="0"/>
              <w:left w:val="single" w:color="000000" w:sz="4" w:space="0"/>
              <w:bottom w:val="single" w:color="000000" w:sz="4" w:space="0"/>
              <w:right w:val="single" w:color="000000" w:sz="4" w:space="0"/>
            </w:tcBorders>
          </w:tcPr>
          <w:p w14:paraId="44014B4E">
            <w:pPr>
              <w:pStyle w:val="41"/>
              <w:rPr>
                <w:rFonts w:hint="default" w:ascii="Times New Roman" w:hAnsi="Times New Roman" w:cs="Times New Roman"/>
                <w:color w:val="auto"/>
                <w:u w:val="none"/>
              </w:rPr>
            </w:pPr>
            <w:r>
              <w:rPr>
                <w:rFonts w:hint="default" w:ascii="Times New Roman" w:hAnsi="Times New Roman" w:cs="Times New Roman"/>
                <w:color w:val="auto"/>
                <w:u w:val="none"/>
              </w:rPr>
              <w:t>IV*</w:t>
            </w:r>
          </w:p>
        </w:tc>
        <w:tc>
          <w:tcPr>
            <w:tcW w:w="1592" w:type="dxa"/>
            <w:tcBorders>
              <w:top w:val="single" w:color="000000" w:sz="4" w:space="0"/>
              <w:left w:val="single" w:color="000000" w:sz="4" w:space="0"/>
              <w:bottom w:val="single" w:color="000000" w:sz="4" w:space="0"/>
              <w:right w:val="single" w:color="000000" w:sz="4" w:space="0"/>
            </w:tcBorders>
          </w:tcPr>
          <w:p w14:paraId="5890C5CD">
            <w:pPr>
              <w:pStyle w:val="41"/>
              <w:rPr>
                <w:rFonts w:hint="default" w:ascii="Times New Roman" w:hAnsi="Times New Roman" w:cs="Times New Roman"/>
                <w:color w:val="auto"/>
                <w:u w:val="none"/>
              </w:rPr>
            </w:pPr>
            <w:r>
              <w:rPr>
                <w:rFonts w:hint="default" w:ascii="Times New Roman" w:hAnsi="Times New Roman" w:cs="Times New Roman"/>
                <w:color w:val="auto"/>
                <w:u w:val="none"/>
              </w:rPr>
              <w:t>IV</w:t>
            </w:r>
          </w:p>
        </w:tc>
        <w:tc>
          <w:tcPr>
            <w:tcW w:w="1459" w:type="dxa"/>
            <w:tcBorders>
              <w:top w:val="single" w:color="000000" w:sz="4" w:space="0"/>
              <w:left w:val="single" w:color="000000" w:sz="4" w:space="0"/>
              <w:bottom w:val="single" w:color="000000" w:sz="4" w:space="0"/>
              <w:right w:val="single" w:color="000000" w:sz="4" w:space="0"/>
            </w:tcBorders>
          </w:tcPr>
          <w:p w14:paraId="21406014">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c>
          <w:tcPr>
            <w:tcW w:w="1599" w:type="dxa"/>
            <w:tcBorders>
              <w:top w:val="single" w:color="000000" w:sz="4" w:space="0"/>
              <w:left w:val="single" w:color="000000" w:sz="4" w:space="0"/>
              <w:bottom w:val="single" w:color="000000" w:sz="4" w:space="0"/>
            </w:tcBorders>
          </w:tcPr>
          <w:p w14:paraId="10E56A60">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r>
      <w:tr w14:paraId="3B3569C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5" w:hRule="atLeast"/>
          <w:jc w:val="center"/>
        </w:trPr>
        <w:tc>
          <w:tcPr>
            <w:tcW w:w="2094" w:type="dxa"/>
            <w:tcBorders>
              <w:top w:val="single" w:color="000000" w:sz="4" w:space="0"/>
              <w:bottom w:val="single" w:color="000000" w:sz="4" w:space="0"/>
              <w:right w:val="single" w:color="000000" w:sz="4" w:space="0"/>
            </w:tcBorders>
          </w:tcPr>
          <w:p w14:paraId="21E08D6F">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环境中度敏感区（E2）</w:t>
            </w:r>
          </w:p>
        </w:tc>
        <w:tc>
          <w:tcPr>
            <w:tcW w:w="1592" w:type="dxa"/>
            <w:tcBorders>
              <w:top w:val="single" w:color="000000" w:sz="4" w:space="0"/>
              <w:left w:val="single" w:color="000000" w:sz="4" w:space="0"/>
              <w:bottom w:val="single" w:color="000000" w:sz="4" w:space="0"/>
              <w:right w:val="single" w:color="000000" w:sz="4" w:space="0"/>
            </w:tcBorders>
          </w:tcPr>
          <w:p w14:paraId="60426F86">
            <w:pPr>
              <w:pStyle w:val="41"/>
              <w:rPr>
                <w:rFonts w:hint="default" w:ascii="Times New Roman" w:hAnsi="Times New Roman" w:cs="Times New Roman"/>
                <w:color w:val="auto"/>
                <w:u w:val="none"/>
              </w:rPr>
            </w:pPr>
            <w:r>
              <w:rPr>
                <w:rFonts w:hint="default" w:ascii="Times New Roman" w:hAnsi="Times New Roman" w:cs="Times New Roman"/>
                <w:color w:val="auto"/>
                <w:u w:val="none"/>
              </w:rPr>
              <w:t>IV</w:t>
            </w:r>
          </w:p>
        </w:tc>
        <w:tc>
          <w:tcPr>
            <w:tcW w:w="1592" w:type="dxa"/>
            <w:tcBorders>
              <w:top w:val="single" w:color="000000" w:sz="4" w:space="0"/>
              <w:left w:val="single" w:color="000000" w:sz="4" w:space="0"/>
              <w:bottom w:val="single" w:color="000000" w:sz="4" w:space="0"/>
              <w:right w:val="single" w:color="000000" w:sz="4" w:space="0"/>
            </w:tcBorders>
          </w:tcPr>
          <w:p w14:paraId="35A352CF">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c>
          <w:tcPr>
            <w:tcW w:w="1459" w:type="dxa"/>
            <w:tcBorders>
              <w:top w:val="single" w:color="000000" w:sz="4" w:space="0"/>
              <w:left w:val="single" w:color="000000" w:sz="4" w:space="0"/>
              <w:bottom w:val="single" w:color="000000" w:sz="4" w:space="0"/>
              <w:right w:val="single" w:color="000000" w:sz="4" w:space="0"/>
            </w:tcBorders>
          </w:tcPr>
          <w:p w14:paraId="7BA20889">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c>
          <w:tcPr>
            <w:tcW w:w="1599" w:type="dxa"/>
            <w:tcBorders>
              <w:top w:val="single" w:color="000000" w:sz="4" w:space="0"/>
              <w:left w:val="single" w:color="000000" w:sz="4" w:space="0"/>
              <w:bottom w:val="single" w:color="000000" w:sz="4" w:space="0"/>
            </w:tcBorders>
          </w:tcPr>
          <w:p w14:paraId="50E54331">
            <w:pPr>
              <w:pStyle w:val="41"/>
              <w:rPr>
                <w:rFonts w:hint="default" w:ascii="Times New Roman" w:hAnsi="Times New Roman" w:cs="Times New Roman"/>
                <w:color w:val="auto"/>
                <w:u w:val="none"/>
              </w:rPr>
            </w:pPr>
            <w:r>
              <w:rPr>
                <w:rFonts w:hint="default" w:ascii="Times New Roman" w:hAnsi="Times New Roman" w:cs="Times New Roman"/>
                <w:color w:val="auto"/>
                <w:u w:val="none"/>
              </w:rPr>
              <w:t>II</w:t>
            </w:r>
          </w:p>
        </w:tc>
      </w:tr>
      <w:tr w14:paraId="456489F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jc w:val="center"/>
        </w:trPr>
        <w:tc>
          <w:tcPr>
            <w:tcW w:w="2094" w:type="dxa"/>
            <w:tcBorders>
              <w:top w:val="single" w:color="000000" w:sz="4" w:space="0"/>
              <w:bottom w:val="single" w:color="000000" w:sz="4" w:space="0"/>
              <w:right w:val="single" w:color="000000" w:sz="4" w:space="0"/>
            </w:tcBorders>
          </w:tcPr>
          <w:p w14:paraId="1F704267">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环境低度敏感区（E3）</w:t>
            </w:r>
          </w:p>
        </w:tc>
        <w:tc>
          <w:tcPr>
            <w:tcW w:w="1592" w:type="dxa"/>
            <w:tcBorders>
              <w:top w:val="single" w:color="000000" w:sz="4" w:space="0"/>
              <w:left w:val="single" w:color="000000" w:sz="4" w:space="0"/>
              <w:bottom w:val="single" w:color="000000" w:sz="4" w:space="0"/>
              <w:right w:val="single" w:color="000000" w:sz="4" w:space="0"/>
            </w:tcBorders>
          </w:tcPr>
          <w:p w14:paraId="739A9D06">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c>
          <w:tcPr>
            <w:tcW w:w="1592" w:type="dxa"/>
            <w:tcBorders>
              <w:top w:val="single" w:color="000000" w:sz="4" w:space="0"/>
              <w:left w:val="single" w:color="000000" w:sz="4" w:space="0"/>
              <w:bottom w:val="single" w:color="000000" w:sz="4" w:space="0"/>
              <w:right w:val="single" w:color="000000" w:sz="4" w:space="0"/>
            </w:tcBorders>
          </w:tcPr>
          <w:p w14:paraId="50267617">
            <w:pPr>
              <w:pStyle w:val="41"/>
              <w:rPr>
                <w:rFonts w:hint="default" w:ascii="Times New Roman" w:hAnsi="Times New Roman" w:cs="Times New Roman"/>
                <w:color w:val="auto"/>
                <w:u w:val="none"/>
              </w:rPr>
            </w:pPr>
            <w:r>
              <w:rPr>
                <w:rFonts w:hint="default" w:ascii="Times New Roman" w:hAnsi="Times New Roman" w:cs="Times New Roman"/>
                <w:color w:val="auto"/>
                <w:u w:val="none"/>
              </w:rPr>
              <w:t>III</w:t>
            </w:r>
          </w:p>
        </w:tc>
        <w:tc>
          <w:tcPr>
            <w:tcW w:w="1459" w:type="dxa"/>
            <w:tcBorders>
              <w:top w:val="single" w:color="000000" w:sz="4" w:space="0"/>
              <w:left w:val="single" w:color="000000" w:sz="4" w:space="0"/>
              <w:bottom w:val="single" w:color="000000" w:sz="4" w:space="0"/>
              <w:right w:val="single" w:color="000000" w:sz="4" w:space="0"/>
            </w:tcBorders>
          </w:tcPr>
          <w:p w14:paraId="5C647EBF">
            <w:pPr>
              <w:pStyle w:val="41"/>
              <w:rPr>
                <w:rFonts w:hint="default" w:ascii="Times New Roman" w:hAnsi="Times New Roman" w:cs="Times New Roman"/>
                <w:color w:val="auto"/>
                <w:u w:val="none"/>
              </w:rPr>
            </w:pPr>
            <w:r>
              <w:rPr>
                <w:rFonts w:hint="default" w:ascii="Times New Roman" w:hAnsi="Times New Roman" w:cs="Times New Roman"/>
                <w:color w:val="auto"/>
                <w:u w:val="none"/>
              </w:rPr>
              <w:t>II</w:t>
            </w:r>
          </w:p>
        </w:tc>
        <w:tc>
          <w:tcPr>
            <w:tcW w:w="1599" w:type="dxa"/>
            <w:tcBorders>
              <w:top w:val="single" w:color="000000" w:sz="4" w:space="0"/>
              <w:left w:val="single" w:color="000000" w:sz="4" w:space="0"/>
              <w:bottom w:val="single" w:color="000000" w:sz="4" w:space="0"/>
            </w:tcBorders>
          </w:tcPr>
          <w:p w14:paraId="79A71577">
            <w:pPr>
              <w:pStyle w:val="41"/>
              <w:rPr>
                <w:rFonts w:hint="default" w:ascii="Times New Roman" w:hAnsi="Times New Roman" w:cs="Times New Roman"/>
                <w:color w:val="auto"/>
                <w:u w:val="none"/>
              </w:rPr>
            </w:pPr>
            <w:r>
              <w:rPr>
                <w:rFonts w:hint="default" w:ascii="Times New Roman" w:hAnsi="Times New Roman" w:cs="Times New Roman"/>
                <w:color w:val="auto"/>
                <w:u w:val="none"/>
              </w:rPr>
              <w:t>I</w:t>
            </w:r>
          </w:p>
        </w:tc>
      </w:tr>
      <w:tr w14:paraId="410058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2" w:hRule="atLeast"/>
          <w:jc w:val="center"/>
        </w:trPr>
        <w:tc>
          <w:tcPr>
            <w:tcW w:w="8336" w:type="dxa"/>
            <w:gridSpan w:val="5"/>
            <w:tcBorders>
              <w:top w:val="single" w:color="000000" w:sz="4" w:space="0"/>
            </w:tcBorders>
          </w:tcPr>
          <w:p w14:paraId="4B19B0F3">
            <w:pPr>
              <w:spacing w:before="62"/>
              <w:ind w:left="93" w:firstLine="420"/>
              <w:jc w:val="left"/>
              <w:rPr>
                <w:rFonts w:hint="default" w:ascii="Times New Roman" w:hAnsi="Times New Roman" w:cs="Times New Roman"/>
                <w:color w:val="auto"/>
                <w:u w:val="none"/>
              </w:rPr>
            </w:pPr>
            <w:r>
              <w:rPr>
                <w:rFonts w:hint="default" w:ascii="Times New Roman" w:hAnsi="Times New Roman" w:cs="Times New Roman"/>
                <w:color w:val="auto"/>
                <w:sz w:val="21"/>
                <w:u w:val="none"/>
              </w:rPr>
              <w:t>注：</w:t>
            </w:r>
            <w:r>
              <w:rPr>
                <w:rFonts w:hint="default" w:ascii="Times New Roman" w:hAnsi="Times New Roman" w:eastAsia="Times New Roman" w:cs="Times New Roman"/>
                <w:color w:val="auto"/>
                <w:sz w:val="21"/>
                <w:u w:val="none"/>
              </w:rPr>
              <w:t>IV*</w:t>
            </w:r>
            <w:r>
              <w:rPr>
                <w:rFonts w:hint="default" w:ascii="Times New Roman" w:hAnsi="Times New Roman" w:cs="Times New Roman"/>
                <w:color w:val="auto"/>
                <w:sz w:val="21"/>
                <w:u w:val="none"/>
              </w:rPr>
              <w:t>为极高环境风险</w:t>
            </w:r>
          </w:p>
        </w:tc>
      </w:tr>
    </w:tbl>
    <w:p w14:paraId="5B89D7E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结合前文环境敏感程度确定章节结论，项目大气环境敏感程度为环境高度敏感区E1、地表水环境敏感程度为E2、地下水环境敏感程度为E3，根据表6.3-1</w:t>
      </w:r>
      <w:r>
        <w:rPr>
          <w:rFonts w:hint="eastAsia" w:ascii="Times New Roman" w:hAnsi="Times New Roman" w:cs="Times New Roman"/>
          <w:color w:val="auto"/>
          <w:u w:val="none"/>
          <w:lang w:val="en-US" w:eastAsia="zh-CN"/>
        </w:rPr>
        <w:t>4</w:t>
      </w:r>
      <w:r>
        <w:rPr>
          <w:rFonts w:hint="default" w:ascii="Times New Roman" w:hAnsi="Times New Roman" w:cs="Times New Roman"/>
          <w:color w:val="auto"/>
          <w:u w:val="none"/>
        </w:rPr>
        <w:t>建设项目环境风险潜势划分要求，本项目大气环境风险潜势为III，地表水风险潜势均为II，地下水风险潜势为I。</w:t>
      </w:r>
    </w:p>
    <w:p w14:paraId="3A8AF51B">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评价等级确定</w:t>
      </w:r>
    </w:p>
    <w:p w14:paraId="456265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建设项目环境风险评价工作等级划分为一级、二级、三级、简单分析。根据建设项目设计的物质级工艺系统危险性和所在地的环境敏感性确定环境风险潜势，按照表6.3-1</w:t>
      </w: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确定评价工作等级。</w:t>
      </w:r>
    </w:p>
    <w:p w14:paraId="37758A0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mc:AlternateContent>
          <mc:Choice Requires="wps">
            <w:drawing>
              <wp:anchor distT="0" distB="0" distL="114300" distR="114300" simplePos="0" relativeHeight="251662336" behindDoc="1" locked="0" layoutInCell="1" allowOverlap="1">
                <wp:simplePos x="0" y="0"/>
                <wp:positionH relativeFrom="page">
                  <wp:posOffset>6141720</wp:posOffset>
                </wp:positionH>
                <wp:positionV relativeFrom="paragraph">
                  <wp:posOffset>434340</wp:posOffset>
                </wp:positionV>
                <wp:extent cx="4191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419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83.6pt;margin-top:34.2pt;height:0pt;width:3.3pt;mso-position-horizontal-relative:page;z-index:-251654144;mso-width-relative:page;mso-height-relative:page;" filled="f" stroked="t" coordsize="21600,21600" o:gfxdata="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qr&#10;p9vYAAAACQEAAA8AAAAAAAAAAQAgAAAAIgAAAGRycy9kb3ducmV2LnhtbFBLAQIUABQAAAAIAIdO&#10;4kCZ5vlw6gEAANYDAAAOAAAAAAAAAAEAIAAAACcBAABkcnMvZTJvRG9jLnhtbFBLBQYAAAAABgAG&#10;AFkBAACDBQAAAAA=&#10;">
                <v:fill on="f" focussize="0,0"/>
                <v:stroke weight="0.48pt" color="#000000" joinstyle="round"/>
                <v:imagedata o:title=""/>
                <o:lock v:ext="edit" aspectratio="f"/>
              </v:line>
            </w:pict>
          </mc:Fallback>
        </mc:AlternateContent>
      </w:r>
      <w:r>
        <w:rPr>
          <w:rFonts w:hint="default" w:ascii="Times New Roman" w:hAnsi="Times New Roman" w:cs="Times New Roman"/>
          <w:b/>
          <w:bCs/>
          <w:color w:val="auto"/>
          <w:u w:val="none"/>
        </w:rPr>
        <w:t>表6.3-</w:t>
      </w:r>
      <w:r>
        <w:rPr>
          <w:rFonts w:hint="eastAsia" w:ascii="Times New Roman" w:hAnsi="Times New Roman" w:cs="Times New Roman"/>
          <w:b/>
          <w:bCs/>
          <w:color w:val="auto"/>
          <w:u w:val="none"/>
          <w:lang w:val="en-US" w:eastAsia="zh-CN"/>
        </w:rPr>
        <w:t xml:space="preserve">17  </w:t>
      </w:r>
      <w:r>
        <w:rPr>
          <w:rFonts w:hint="default" w:ascii="Times New Roman" w:hAnsi="Times New Roman" w:cs="Times New Roman"/>
          <w:b/>
          <w:bCs/>
          <w:color w:val="auto"/>
          <w:u w:val="none"/>
        </w:rPr>
        <w:t>环境风险评价工作等级划分</w:t>
      </w:r>
    </w:p>
    <w:tbl>
      <w:tblPr>
        <w:tblStyle w:val="30"/>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702"/>
        <w:gridCol w:w="1702"/>
        <w:gridCol w:w="1702"/>
        <w:gridCol w:w="1710"/>
      </w:tblGrid>
      <w:tr w14:paraId="59A6C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trPr>
        <w:tc>
          <w:tcPr>
            <w:tcW w:w="999" w:type="pct"/>
            <w:vAlign w:val="center"/>
          </w:tcPr>
          <w:p w14:paraId="3E45CD8B">
            <w:pPr>
              <w:pStyle w:val="41"/>
              <w:rPr>
                <w:rFonts w:hint="default" w:ascii="Times New Roman" w:hAnsi="Times New Roman" w:cs="Times New Roman"/>
                <w:color w:val="auto"/>
                <w:u w:val="none"/>
              </w:rPr>
            </w:pPr>
            <w:r>
              <w:rPr>
                <w:rFonts w:hint="default" w:ascii="Times New Roman" w:hAnsi="Times New Roman" w:cs="Times New Roman"/>
                <w:color w:val="auto"/>
                <w:u w:val="none"/>
              </w:rPr>
              <w:t>环境风险潜势</w:t>
            </w:r>
          </w:p>
        </w:tc>
        <w:tc>
          <w:tcPr>
            <w:tcW w:w="999" w:type="pct"/>
            <w:vAlign w:val="center"/>
          </w:tcPr>
          <w:p w14:paraId="258D246C">
            <w:pPr>
              <w:pStyle w:val="41"/>
              <w:rPr>
                <w:rFonts w:hint="default" w:ascii="Times New Roman" w:hAnsi="Times New Roman" w:cs="Times New Roman"/>
                <w:color w:val="auto"/>
                <w:u w:val="none"/>
              </w:rPr>
            </w:pPr>
            <w:r>
              <w:rPr>
                <w:rFonts w:hint="default" w:ascii="Times New Roman" w:hAnsi="Times New Roman" w:cs="Times New Roman"/>
                <w:color w:val="auto"/>
                <w:u w:val="none"/>
              </w:rPr>
              <w:t>Ⅳ、Ⅳ+</w:t>
            </w:r>
          </w:p>
        </w:tc>
        <w:tc>
          <w:tcPr>
            <w:tcW w:w="999" w:type="pct"/>
            <w:vAlign w:val="center"/>
          </w:tcPr>
          <w:p w14:paraId="338D2968">
            <w:pPr>
              <w:pStyle w:val="41"/>
              <w:rPr>
                <w:rFonts w:hint="default" w:ascii="Times New Roman" w:hAnsi="Times New Roman" w:cs="Times New Roman"/>
                <w:color w:val="auto"/>
                <w:u w:val="none"/>
              </w:rPr>
            </w:pPr>
            <w:r>
              <w:rPr>
                <w:rFonts w:hint="default" w:ascii="Times New Roman" w:hAnsi="Times New Roman" w:cs="Times New Roman"/>
                <w:color w:val="auto"/>
                <w:u w:val="none"/>
              </w:rPr>
              <w:t>Ⅲ</w:t>
            </w:r>
          </w:p>
        </w:tc>
        <w:tc>
          <w:tcPr>
            <w:tcW w:w="999" w:type="pct"/>
            <w:vAlign w:val="center"/>
          </w:tcPr>
          <w:p w14:paraId="3B5BE208">
            <w:pPr>
              <w:pStyle w:val="41"/>
              <w:rPr>
                <w:rFonts w:hint="default" w:ascii="Times New Roman" w:hAnsi="Times New Roman" w:cs="Times New Roman"/>
                <w:color w:val="auto"/>
                <w:u w:val="none"/>
              </w:rPr>
            </w:pPr>
            <w:r>
              <w:rPr>
                <w:rFonts w:hint="default" w:ascii="Times New Roman" w:hAnsi="Times New Roman" w:cs="Times New Roman"/>
                <w:color w:val="auto"/>
                <w:u w:val="none"/>
              </w:rPr>
              <w:t>Ⅱ</w:t>
            </w:r>
          </w:p>
        </w:tc>
        <w:tc>
          <w:tcPr>
            <w:tcW w:w="1000" w:type="pct"/>
            <w:vAlign w:val="center"/>
          </w:tcPr>
          <w:p w14:paraId="144EB7FB">
            <w:pPr>
              <w:pStyle w:val="41"/>
              <w:rPr>
                <w:rFonts w:hint="default" w:ascii="Times New Roman" w:hAnsi="Times New Roman" w:cs="Times New Roman"/>
                <w:color w:val="auto"/>
                <w:u w:val="none"/>
              </w:rPr>
            </w:pPr>
            <w:r>
              <w:rPr>
                <w:rFonts w:hint="default" w:ascii="Times New Roman" w:hAnsi="Times New Roman" w:cs="Times New Roman"/>
                <w:color w:val="auto"/>
                <w:u w:val="none"/>
              </w:rPr>
              <w:t>Ⅰ</w:t>
            </w:r>
          </w:p>
        </w:tc>
      </w:tr>
      <w:tr w14:paraId="7A8D5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99" w:type="pct"/>
            <w:vAlign w:val="center"/>
          </w:tcPr>
          <w:p w14:paraId="3616C5C4">
            <w:pPr>
              <w:pStyle w:val="41"/>
              <w:rPr>
                <w:rFonts w:hint="default" w:ascii="Times New Roman" w:hAnsi="Times New Roman" w:cs="Times New Roman"/>
                <w:color w:val="auto"/>
                <w:u w:val="none"/>
              </w:rPr>
            </w:pPr>
            <w:r>
              <w:rPr>
                <w:rFonts w:hint="default" w:ascii="Times New Roman" w:hAnsi="Times New Roman" w:cs="Times New Roman"/>
                <w:color w:val="auto"/>
                <w:u w:val="none"/>
              </w:rPr>
              <w:t>评价工作等级</w:t>
            </w:r>
          </w:p>
        </w:tc>
        <w:tc>
          <w:tcPr>
            <w:tcW w:w="999" w:type="pct"/>
            <w:vAlign w:val="center"/>
          </w:tcPr>
          <w:p w14:paraId="6530A297">
            <w:pPr>
              <w:pStyle w:val="41"/>
              <w:rPr>
                <w:rFonts w:hint="default" w:ascii="Times New Roman" w:hAnsi="Times New Roman" w:cs="Times New Roman"/>
                <w:color w:val="auto"/>
                <w:u w:val="none"/>
              </w:rPr>
            </w:pPr>
            <w:r>
              <w:rPr>
                <w:rFonts w:hint="default" w:ascii="Times New Roman" w:hAnsi="Times New Roman" w:cs="Times New Roman"/>
                <w:color w:val="auto"/>
                <w:u w:val="none"/>
              </w:rPr>
              <w:t>一</w:t>
            </w:r>
          </w:p>
        </w:tc>
        <w:tc>
          <w:tcPr>
            <w:tcW w:w="999" w:type="pct"/>
            <w:vAlign w:val="center"/>
          </w:tcPr>
          <w:p w14:paraId="4B0015A7">
            <w:pPr>
              <w:pStyle w:val="41"/>
              <w:rPr>
                <w:rFonts w:hint="default" w:ascii="Times New Roman" w:hAnsi="Times New Roman" w:cs="Times New Roman"/>
                <w:color w:val="auto"/>
                <w:u w:val="none"/>
              </w:rPr>
            </w:pPr>
            <w:r>
              <w:rPr>
                <w:rFonts w:hint="default" w:ascii="Times New Roman" w:hAnsi="Times New Roman" w:cs="Times New Roman"/>
                <w:color w:val="auto"/>
                <w:u w:val="none"/>
              </w:rPr>
              <w:t>二</w:t>
            </w:r>
          </w:p>
        </w:tc>
        <w:tc>
          <w:tcPr>
            <w:tcW w:w="999" w:type="pct"/>
            <w:vAlign w:val="center"/>
          </w:tcPr>
          <w:p w14:paraId="56170291">
            <w:pPr>
              <w:pStyle w:val="41"/>
              <w:rPr>
                <w:rFonts w:hint="default" w:ascii="Times New Roman" w:hAnsi="Times New Roman" w:cs="Times New Roman"/>
                <w:color w:val="auto"/>
                <w:u w:val="none"/>
              </w:rPr>
            </w:pPr>
            <w:r>
              <w:rPr>
                <w:rFonts w:hint="default" w:ascii="Times New Roman" w:hAnsi="Times New Roman" w:cs="Times New Roman"/>
                <w:color w:val="auto"/>
                <w:u w:val="none"/>
              </w:rPr>
              <w:t>三</w:t>
            </w:r>
          </w:p>
        </w:tc>
        <w:tc>
          <w:tcPr>
            <w:tcW w:w="1000" w:type="pct"/>
            <w:vAlign w:val="center"/>
          </w:tcPr>
          <w:p w14:paraId="307C5D66">
            <w:pPr>
              <w:pStyle w:val="41"/>
              <w:rPr>
                <w:rFonts w:hint="default" w:ascii="Times New Roman" w:hAnsi="Times New Roman" w:cs="Times New Roman"/>
                <w:color w:val="auto"/>
                <w:u w:val="none"/>
              </w:rPr>
            </w:pPr>
            <w:r>
              <w:rPr>
                <w:rFonts w:hint="default" w:ascii="Times New Roman" w:hAnsi="Times New Roman" w:cs="Times New Roman"/>
                <w:color w:val="auto"/>
                <w:u w:val="none"/>
              </w:rPr>
              <w:t>简单分析*</w:t>
            </w:r>
          </w:p>
        </w:tc>
      </w:tr>
      <w:tr w14:paraId="0DE01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vAlign w:val="center"/>
          </w:tcPr>
          <w:p w14:paraId="4A29F8FD">
            <w:pPr>
              <w:pStyle w:val="41"/>
              <w:rPr>
                <w:rFonts w:hint="default" w:ascii="Times New Roman" w:hAnsi="Times New Roman" w:cs="Times New Roman"/>
                <w:color w:val="auto"/>
                <w:u w:val="none"/>
              </w:rPr>
            </w:pPr>
            <w:r>
              <w:rPr>
                <w:rFonts w:hint="default" w:ascii="Times New Roman" w:hAnsi="Times New Roman" w:cs="Times New Roman"/>
                <w:color w:val="auto"/>
                <w:u w:val="none"/>
              </w:rPr>
              <w:t>*是相对于详细评价工作内容而言，在描述危险物质、环境影响途径、环境危害后果、风险防范措施等方便给出定性的说明，见附录A。</w:t>
            </w:r>
          </w:p>
        </w:tc>
      </w:tr>
    </w:tbl>
    <w:p w14:paraId="282823C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综上所述，项目本项目大气环境风险潜势Ⅲ，地表水风险潜势均为II，地下水风险潜势为I，根据表6.3-1</w:t>
      </w:r>
      <w:r>
        <w:rPr>
          <w:rFonts w:hint="eastAsia" w:ascii="Times New Roman" w:hAnsi="Times New Roman" w:cs="Times New Roman"/>
          <w:color w:val="auto"/>
          <w:u w:val="none"/>
          <w:lang w:val="en-US" w:eastAsia="zh-CN"/>
        </w:rPr>
        <w:t>6</w:t>
      </w:r>
      <w:r>
        <w:rPr>
          <w:rFonts w:hint="default" w:ascii="Times New Roman" w:hAnsi="Times New Roman" w:cs="Times New Roman"/>
          <w:color w:val="auto"/>
          <w:u w:val="none"/>
        </w:rPr>
        <w:t>环境风险评价工作等级划分要求，判定项目大气风险评价风险评价等级为二级，地表水风险评价等级为三级，地下水风险评价等级为简单分析。同时根据《建设项目环境风险评价技术导则》（HJ169－2018）评价工作等级划分要求，建设项目环境风险潜势综合等级取各要素等级相对高的值，因此本项目环境风险等级判定为二级。</w:t>
      </w:r>
    </w:p>
    <w:p w14:paraId="1E3278AA">
      <w:pPr>
        <w:pStyle w:val="6"/>
        <w:ind w:firstLine="480"/>
        <w:rPr>
          <w:rFonts w:hint="default" w:ascii="Times New Roman" w:hAnsi="Times New Roman" w:cs="Times New Roman"/>
          <w:color w:val="auto"/>
          <w:u w:val="none"/>
        </w:rPr>
      </w:pPr>
      <w:bookmarkStart w:id="137" w:name="_Toc11914790"/>
      <w:r>
        <w:rPr>
          <w:rFonts w:hint="default" w:ascii="Times New Roman" w:hAnsi="Times New Roman" w:cs="Times New Roman"/>
          <w:color w:val="auto"/>
          <w:u w:val="none"/>
        </w:rPr>
        <w:t>评价范围</w:t>
      </w:r>
    </w:p>
    <w:p w14:paraId="3E94B34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建设项目环境风险评价技术导则》（HJ169-2018）的规定，本项目大气环境风险评价范围为距离项目厂界5km的范围；地表水环境风险评价范围园区污水处理厂上游500m至下游2500m，共3km范围；地下水环境风险评价范围为项目西侧边界外扩1.5km的长江，南侧边界外扩0.8km的芭蕉湖，北侧外扩至长江支流（象骨港），东侧外扩至长江支流，面积6.0k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的区域。</w:t>
      </w:r>
    </w:p>
    <w:p w14:paraId="6888A97A">
      <w:pPr>
        <w:pStyle w:val="5"/>
        <w:rPr>
          <w:rFonts w:hint="default" w:ascii="Times New Roman" w:hAnsi="Times New Roman" w:cs="Times New Roman"/>
          <w:color w:val="auto"/>
          <w:u w:val="none"/>
        </w:rPr>
      </w:pPr>
      <w:r>
        <w:rPr>
          <w:rFonts w:hint="default" w:ascii="Times New Roman" w:hAnsi="Times New Roman" w:cs="Times New Roman"/>
          <w:color w:val="auto"/>
          <w:u w:val="none"/>
        </w:rPr>
        <w:t>风险事故源分析</w:t>
      </w:r>
      <w:bookmarkEnd w:id="137"/>
    </w:p>
    <w:p w14:paraId="2E6E5A7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结合项目工程分析，本项目在生产或存储过程中，可能出现的环境风险主要包括三部分：</w:t>
      </w:r>
    </w:p>
    <w:p w14:paraId="3056E01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（1）生产装置区</w:t>
      </w:r>
    </w:p>
    <w:p w14:paraId="3E86610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①若生产过程中生产装置破裂或管道、阀门损坏，造成生产设备中含物料泄漏及火灾爆炸事故，对厂区及周边的人群产生影响。</w:t>
      </w:r>
    </w:p>
    <w:p w14:paraId="392EA3A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②管路系统泄漏（包括管道、阀门、连接法兰、泵的密封等设备及部位），会造成危险化学品物料泄漏及火灾爆炸事故发生。</w:t>
      </w:r>
    </w:p>
    <w:p w14:paraId="5020838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（2）储运设施</w:t>
      </w:r>
    </w:p>
    <w:p w14:paraId="71BC0B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①仓库</w:t>
      </w:r>
    </w:p>
    <w:p w14:paraId="7E4264F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本项目危险化学品仓库</w:t>
      </w:r>
      <w:r>
        <w:rPr>
          <w:rFonts w:hint="eastAsia" w:ascii="Times New Roman" w:hAnsi="Times New Roman" w:cs="Times New Roman"/>
          <w:color w:val="auto"/>
          <w:u w:val="none"/>
          <w:lang w:val="en-US" w:eastAsia="zh-CN"/>
        </w:rPr>
        <w:t>硫酸</w:t>
      </w:r>
      <w:r>
        <w:rPr>
          <w:rFonts w:hint="default" w:ascii="Times New Roman" w:hAnsi="Times New Roman" w:cs="Times New Roman"/>
          <w:color w:val="auto"/>
          <w:u w:val="none"/>
        </w:rPr>
        <w:t>等易燃液体原料桶发生泄漏及火灾爆炸的事故风险。一旦事故发生，逸散出的有害物质会对厂区及附近环境产生影响。储存的</w:t>
      </w:r>
      <w:r>
        <w:rPr>
          <w:rFonts w:hint="eastAsia" w:ascii="Times New Roman" w:hAnsi="Times New Roman" w:cs="Times New Roman"/>
          <w:color w:val="auto"/>
          <w:u w:val="none"/>
          <w:lang w:val="en-US" w:eastAsia="zh-CN"/>
        </w:rPr>
        <w:t>硫酸</w:t>
      </w:r>
      <w:r>
        <w:rPr>
          <w:rFonts w:hint="default" w:ascii="Times New Roman" w:hAnsi="Times New Roman" w:cs="Times New Roman"/>
          <w:color w:val="auto"/>
          <w:u w:val="none"/>
        </w:rPr>
        <w:t>泄漏污染地下水。</w:t>
      </w:r>
    </w:p>
    <w:p w14:paraId="1DDE135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②危险废物暂存间</w:t>
      </w:r>
    </w:p>
    <w:p w14:paraId="22B13AC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项目生产过程产生的危险废物</w:t>
      </w:r>
      <w:r>
        <w:rPr>
          <w:rFonts w:hint="eastAsia" w:ascii="Times New Roman" w:hAnsi="Times New Roman" w:cs="Times New Roman"/>
          <w:color w:val="auto"/>
          <w:u w:val="none"/>
          <w:lang w:val="en-US" w:eastAsia="zh-CN"/>
        </w:rPr>
        <w:t>重金属废液</w:t>
      </w:r>
      <w:r>
        <w:rPr>
          <w:rFonts w:hint="default" w:ascii="Times New Roman" w:hAnsi="Times New Roman" w:cs="Times New Roman"/>
          <w:color w:val="auto"/>
          <w:u w:val="none"/>
        </w:rPr>
        <w:t>等属于危险废物，以液体形式存在，临时贮存过程中存在泄漏风险。</w:t>
      </w:r>
    </w:p>
    <w:p w14:paraId="3A8163B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③环保设施</w:t>
      </w:r>
    </w:p>
    <w:p w14:paraId="0BF94B6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本项目废气环保设备发生故障，造成废气未经处理排放；本项目污水处理站管道发生破裂发生泄漏如重金属废水处理系统和综合废水处理系统泄漏，有可能造成重金属废水泄漏污染地表水和地下水。</w:t>
      </w:r>
    </w:p>
    <w:p w14:paraId="77632D53">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环境影响途径</w:t>
      </w:r>
    </w:p>
    <w:p w14:paraId="5559A07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物料泄漏、污水处理站泄漏后，可能产生物料的环境扩散或发生燃爆事故，而对环境构成重大污染事故的主要是环境扩散，或者是由燃爆事故后产生的伴生/次生危害导致环境污染事故。环境扩散途径示意图见图6.3-2：</w:t>
      </w:r>
    </w:p>
    <w:p w14:paraId="646EB0D2">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drawing>
          <wp:anchor distT="0" distB="0" distL="0" distR="0" simplePos="0" relativeHeight="251661312" behindDoc="0" locked="0" layoutInCell="1" allowOverlap="1">
            <wp:simplePos x="0" y="0"/>
            <wp:positionH relativeFrom="page">
              <wp:posOffset>1780540</wp:posOffset>
            </wp:positionH>
            <wp:positionV relativeFrom="paragraph">
              <wp:posOffset>146050</wp:posOffset>
            </wp:positionV>
            <wp:extent cx="3886835" cy="2673350"/>
            <wp:effectExtent l="0" t="0" r="18415" b="12700"/>
            <wp:wrapTopAndBottom/>
            <wp:docPr id="6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5.png"/>
                    <pic:cNvPicPr>
                      <a:picLocks noChangeAspect="1"/>
                    </pic:cNvPicPr>
                  </pic:nvPicPr>
                  <pic:blipFill>
                    <a:blip r:embed="rId48" cstate="print"/>
                    <a:stretch>
                      <a:fillRect/>
                    </a:stretch>
                  </pic:blipFill>
                  <pic:spPr>
                    <a:xfrm>
                      <a:off x="0" y="0"/>
                      <a:ext cx="3886835" cy="2673350"/>
                    </a:xfrm>
                    <a:prstGeom prst="rect">
                      <a:avLst/>
                    </a:prstGeom>
                  </pic:spPr>
                </pic:pic>
              </a:graphicData>
            </a:graphic>
          </wp:anchor>
        </w:drawing>
      </w:r>
      <w:r>
        <w:rPr>
          <w:rFonts w:hint="default" w:ascii="Times New Roman" w:hAnsi="Times New Roman" w:cs="Times New Roman"/>
          <w:b/>
          <w:bCs/>
          <w:color w:val="auto"/>
          <w:u w:val="none"/>
        </w:rPr>
        <w:t>图6.3-2</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环境扩散途径示意图</w:t>
      </w:r>
    </w:p>
    <w:p w14:paraId="3C9DB88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对地表水的直接污染程度，取决于泄漏点的位置和泄漏量情况。对于危险化学品仓库有围堰有防渗设计情况下，即便是全部泄漏，按设计也不足于外溢至地表水体，或渗漏于土壤和地下水体，吸附于水泥地表的物质大部分将随冲洗和挥发得到清除。但假如泄漏发生在无围堰或裸露地面位置，如管道或输送泵泄漏，则极有可能随下水道或渗漏污染地表水体，或土壤和地下水体。项目管道沿线都进行地面硬化防渗处理，因此发生土壤和地下水体渗漏污染可能性不大。</w:t>
      </w:r>
    </w:p>
    <w:p w14:paraId="6CA05514">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风险识别结果</w:t>
      </w:r>
    </w:p>
    <w:p w14:paraId="7B8BBE4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根据调查，本项目的危险物质详见</w:t>
      </w:r>
      <w:r>
        <w:rPr>
          <w:rFonts w:hint="eastAsia" w:ascii="Times New Roman" w:hAnsi="Times New Roman" w:cs="Times New Roman"/>
          <w:color w:val="auto"/>
          <w:u w:val="none"/>
          <w:lang w:val="en-US" w:eastAsia="zh-CN"/>
        </w:rPr>
        <w:t>下</w:t>
      </w:r>
      <w:r>
        <w:rPr>
          <w:rFonts w:hint="default" w:ascii="Times New Roman" w:hAnsi="Times New Roman" w:cs="Times New Roman"/>
          <w:color w:val="auto"/>
          <w:u w:val="none"/>
        </w:rPr>
        <w:t>表。</w:t>
      </w:r>
    </w:p>
    <w:p w14:paraId="03244A6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cs="Times New Roman"/>
          <w:b/>
          <w:bCs/>
          <w:color w:val="auto"/>
          <w:u w:val="none"/>
          <w:lang w:val="en-US" w:eastAsia="zh-CN"/>
        </w:rPr>
        <w:t xml:space="preserve">18  </w:t>
      </w:r>
      <w:r>
        <w:rPr>
          <w:rFonts w:hint="default" w:ascii="Times New Roman" w:hAnsi="Times New Roman" w:cs="Times New Roman"/>
          <w:b/>
          <w:bCs/>
          <w:color w:val="auto"/>
          <w:u w:val="none"/>
        </w:rPr>
        <w:t>建设项目环境风险识别表</w:t>
      </w:r>
    </w:p>
    <w:tbl>
      <w:tblPr>
        <w:tblStyle w:val="30"/>
        <w:tblW w:w="513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99"/>
        <w:gridCol w:w="1267"/>
        <w:gridCol w:w="1438"/>
        <w:gridCol w:w="1565"/>
        <w:gridCol w:w="1052"/>
        <w:gridCol w:w="1551"/>
        <w:gridCol w:w="1291"/>
      </w:tblGrid>
      <w:tr w14:paraId="19F349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dxa"/>
            <w:tcBorders>
              <w:tl2br w:val="nil"/>
              <w:tr2bl w:val="nil"/>
            </w:tcBorders>
            <w:vAlign w:val="center"/>
          </w:tcPr>
          <w:p w14:paraId="16A463D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263" w:type="dxa"/>
            <w:tcBorders>
              <w:tl2br w:val="nil"/>
              <w:tr2bl w:val="nil"/>
            </w:tcBorders>
            <w:vAlign w:val="center"/>
          </w:tcPr>
          <w:p w14:paraId="2C3BC96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危险单元</w:t>
            </w:r>
          </w:p>
        </w:tc>
        <w:tc>
          <w:tcPr>
            <w:tcW w:w="1433" w:type="dxa"/>
            <w:tcBorders>
              <w:tl2br w:val="nil"/>
              <w:tr2bl w:val="nil"/>
            </w:tcBorders>
            <w:vAlign w:val="center"/>
          </w:tcPr>
          <w:p w14:paraId="12B0709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风险源</w:t>
            </w:r>
          </w:p>
        </w:tc>
        <w:tc>
          <w:tcPr>
            <w:tcW w:w="1560" w:type="dxa"/>
            <w:tcBorders>
              <w:tl2br w:val="nil"/>
              <w:tr2bl w:val="nil"/>
            </w:tcBorders>
            <w:vAlign w:val="center"/>
          </w:tcPr>
          <w:p w14:paraId="021285F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存在危险物质</w:t>
            </w:r>
          </w:p>
        </w:tc>
        <w:tc>
          <w:tcPr>
            <w:tcW w:w="1048" w:type="dxa"/>
            <w:tcBorders>
              <w:tl2br w:val="nil"/>
              <w:tr2bl w:val="nil"/>
            </w:tcBorders>
            <w:vAlign w:val="center"/>
          </w:tcPr>
          <w:p w14:paraId="53395D7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环境风险类型</w:t>
            </w:r>
          </w:p>
        </w:tc>
        <w:tc>
          <w:tcPr>
            <w:tcW w:w="1546" w:type="dxa"/>
            <w:tcBorders>
              <w:tl2br w:val="nil"/>
              <w:tr2bl w:val="nil"/>
            </w:tcBorders>
            <w:vAlign w:val="center"/>
          </w:tcPr>
          <w:p w14:paraId="288488E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环境影响途径</w:t>
            </w:r>
          </w:p>
        </w:tc>
        <w:tc>
          <w:tcPr>
            <w:tcW w:w="1287" w:type="dxa"/>
            <w:tcBorders>
              <w:tl2br w:val="nil"/>
              <w:tr2bl w:val="nil"/>
            </w:tcBorders>
            <w:vAlign w:val="center"/>
          </w:tcPr>
          <w:p w14:paraId="1205D77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可能受影响的环境敏感目标</w:t>
            </w:r>
          </w:p>
        </w:tc>
      </w:tr>
      <w:tr w14:paraId="4C046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dxa"/>
            <w:vMerge w:val="restart"/>
            <w:tcBorders>
              <w:tl2br w:val="nil"/>
              <w:tr2bl w:val="nil"/>
            </w:tcBorders>
            <w:vAlign w:val="center"/>
          </w:tcPr>
          <w:p w14:paraId="6344117B">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263" w:type="dxa"/>
            <w:vMerge w:val="restart"/>
            <w:tcBorders>
              <w:tl2br w:val="nil"/>
              <w:tr2bl w:val="nil"/>
            </w:tcBorders>
            <w:vAlign w:val="center"/>
          </w:tcPr>
          <w:p w14:paraId="0B49A710">
            <w:pPr>
              <w:pStyle w:val="41"/>
              <w:rPr>
                <w:rFonts w:hint="default" w:ascii="Times New Roman" w:hAnsi="Times New Roman" w:cs="Times New Roman"/>
                <w:color w:val="auto"/>
                <w:u w:val="none"/>
              </w:rPr>
            </w:pPr>
            <w:r>
              <w:rPr>
                <w:rFonts w:hint="default" w:ascii="Times New Roman" w:hAnsi="Times New Roman" w:cs="Times New Roman"/>
                <w:color w:val="auto"/>
                <w:u w:val="none"/>
              </w:rPr>
              <w:t>危险化学品仓库</w:t>
            </w:r>
          </w:p>
        </w:tc>
        <w:tc>
          <w:tcPr>
            <w:tcW w:w="1433" w:type="dxa"/>
            <w:tcBorders>
              <w:tl2br w:val="nil"/>
              <w:tr2bl w:val="nil"/>
            </w:tcBorders>
            <w:vAlign w:val="center"/>
          </w:tcPr>
          <w:p w14:paraId="20CAFF10">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含铬染料</w:t>
            </w:r>
          </w:p>
        </w:tc>
        <w:tc>
          <w:tcPr>
            <w:tcW w:w="1560" w:type="dxa"/>
            <w:tcBorders>
              <w:tl2br w:val="nil"/>
              <w:tr2bl w:val="nil"/>
            </w:tcBorders>
            <w:vAlign w:val="center"/>
          </w:tcPr>
          <w:p w14:paraId="7262F1B8">
            <w:pPr>
              <w:pStyle w:val="41"/>
              <w:rPr>
                <w:rFonts w:hint="default" w:ascii="Times New Roman" w:hAnsi="Times New Roman" w:cs="Times New Roman"/>
                <w:color w:val="auto"/>
                <w:u w:val="none"/>
              </w:rPr>
            </w:pPr>
            <w:r>
              <w:rPr>
                <w:rFonts w:hint="default" w:ascii="Times New Roman" w:hAnsi="Times New Roman" w:cs="Times New Roman"/>
                <w:color w:val="auto"/>
                <w:u w:val="none"/>
              </w:rPr>
              <w:t>铬及其化合物、铜及其化合物</w:t>
            </w:r>
          </w:p>
        </w:tc>
        <w:tc>
          <w:tcPr>
            <w:tcW w:w="1048" w:type="dxa"/>
            <w:tcBorders>
              <w:tl2br w:val="nil"/>
              <w:tr2bl w:val="nil"/>
            </w:tcBorders>
            <w:vAlign w:val="center"/>
          </w:tcPr>
          <w:p w14:paraId="5BAD6983">
            <w:pPr>
              <w:pStyle w:val="41"/>
              <w:ind w:right="113" w:rightChars="0"/>
              <w:rPr>
                <w:rFonts w:hint="default" w:ascii="Times New Roman" w:hAnsi="Times New Roman" w:cs="Times New Roman"/>
                <w:color w:val="auto"/>
                <w:u w:val="none"/>
              </w:rPr>
            </w:pPr>
            <w:r>
              <w:rPr>
                <w:rFonts w:hint="default" w:ascii="Times New Roman" w:hAnsi="Times New Roman" w:cs="Times New Roman"/>
                <w:color w:val="auto"/>
                <w:u w:val="none"/>
              </w:rPr>
              <w:t>泄漏</w:t>
            </w:r>
          </w:p>
        </w:tc>
        <w:tc>
          <w:tcPr>
            <w:tcW w:w="1546" w:type="dxa"/>
            <w:tcBorders>
              <w:tl2br w:val="nil"/>
              <w:tr2bl w:val="nil"/>
            </w:tcBorders>
            <w:vAlign w:val="center"/>
          </w:tcPr>
          <w:p w14:paraId="2BD80262">
            <w:pPr>
              <w:pStyle w:val="41"/>
              <w:ind w:right="113" w:rightChars="0"/>
              <w:rPr>
                <w:rFonts w:hint="default" w:ascii="Times New Roman" w:hAnsi="Times New Roman" w:cs="Times New Roman"/>
                <w:color w:val="auto"/>
                <w:u w:val="none"/>
              </w:rPr>
            </w:pPr>
            <w:r>
              <w:rPr>
                <w:rFonts w:hint="default" w:ascii="Times New Roman" w:hAnsi="Times New Roman" w:cs="Times New Roman"/>
                <w:color w:val="auto"/>
                <w:u w:val="none"/>
              </w:rPr>
              <w:t>地下水、地表水</w:t>
            </w:r>
          </w:p>
        </w:tc>
        <w:tc>
          <w:tcPr>
            <w:tcW w:w="1287" w:type="dxa"/>
            <w:vMerge w:val="restart"/>
            <w:tcBorders>
              <w:tl2br w:val="nil"/>
              <w:tr2bl w:val="nil"/>
            </w:tcBorders>
            <w:vAlign w:val="center"/>
          </w:tcPr>
          <w:p w14:paraId="39D349D1">
            <w:pPr>
              <w:pStyle w:val="41"/>
              <w:rPr>
                <w:rFonts w:hint="default" w:ascii="Times New Roman" w:hAnsi="Times New Roman" w:cs="Times New Roman"/>
                <w:color w:val="auto"/>
                <w:u w:val="none"/>
              </w:rPr>
            </w:pPr>
            <w:r>
              <w:rPr>
                <w:rFonts w:hint="default" w:ascii="Times New Roman" w:hAnsi="Times New Roman" w:cs="Times New Roman"/>
                <w:color w:val="auto"/>
                <w:u w:val="none"/>
              </w:rPr>
              <w:t>杨树港村居民</w:t>
            </w:r>
          </w:p>
        </w:tc>
      </w:tr>
      <w:tr w14:paraId="2A9DB0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98" w:type="dxa"/>
            <w:vMerge w:val="continue"/>
            <w:tcBorders>
              <w:tl2br w:val="nil"/>
              <w:tr2bl w:val="nil"/>
            </w:tcBorders>
            <w:vAlign w:val="center"/>
          </w:tcPr>
          <w:p w14:paraId="7CF89403">
            <w:pPr>
              <w:pStyle w:val="41"/>
              <w:rPr>
                <w:rFonts w:hint="default" w:ascii="Times New Roman" w:hAnsi="Times New Roman" w:cs="Times New Roman"/>
                <w:color w:val="auto"/>
                <w:u w:val="none"/>
              </w:rPr>
            </w:pPr>
          </w:p>
        </w:tc>
        <w:tc>
          <w:tcPr>
            <w:tcW w:w="1263" w:type="dxa"/>
            <w:vMerge w:val="continue"/>
            <w:tcBorders>
              <w:tl2br w:val="nil"/>
              <w:tr2bl w:val="nil"/>
            </w:tcBorders>
            <w:vAlign w:val="center"/>
          </w:tcPr>
          <w:p w14:paraId="13550D4C">
            <w:pPr>
              <w:pStyle w:val="41"/>
              <w:rPr>
                <w:rFonts w:hint="default" w:ascii="Times New Roman" w:hAnsi="Times New Roman" w:cs="Times New Roman"/>
                <w:color w:val="auto"/>
                <w:u w:val="none"/>
              </w:rPr>
            </w:pPr>
          </w:p>
        </w:tc>
        <w:tc>
          <w:tcPr>
            <w:tcW w:w="1433" w:type="dxa"/>
            <w:tcBorders>
              <w:tl2br w:val="nil"/>
              <w:tr2bl w:val="nil"/>
            </w:tcBorders>
            <w:vAlign w:val="center"/>
          </w:tcPr>
          <w:p w14:paraId="2654B2B5">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w:t>
            </w:r>
          </w:p>
        </w:tc>
        <w:tc>
          <w:tcPr>
            <w:tcW w:w="1560" w:type="dxa"/>
            <w:tcBorders>
              <w:tl2br w:val="nil"/>
              <w:tr2bl w:val="nil"/>
            </w:tcBorders>
            <w:vAlign w:val="center"/>
          </w:tcPr>
          <w:p w14:paraId="5EF8DD42">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w:t>
            </w:r>
          </w:p>
        </w:tc>
        <w:tc>
          <w:tcPr>
            <w:tcW w:w="1048" w:type="dxa"/>
            <w:tcBorders>
              <w:tl2br w:val="nil"/>
              <w:tr2bl w:val="nil"/>
            </w:tcBorders>
            <w:vAlign w:val="center"/>
          </w:tcPr>
          <w:p w14:paraId="42BF0C46">
            <w:pPr>
              <w:pStyle w:val="41"/>
              <w:ind w:right="113"/>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泄漏</w:t>
            </w:r>
          </w:p>
        </w:tc>
        <w:tc>
          <w:tcPr>
            <w:tcW w:w="1546" w:type="dxa"/>
            <w:tcBorders>
              <w:tl2br w:val="nil"/>
              <w:tr2bl w:val="nil"/>
            </w:tcBorders>
            <w:vAlign w:val="center"/>
          </w:tcPr>
          <w:p w14:paraId="36C29F3F">
            <w:pPr>
              <w:pStyle w:val="41"/>
              <w:ind w:right="113"/>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地下水、地表水</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大气环境</w:t>
            </w:r>
          </w:p>
        </w:tc>
        <w:tc>
          <w:tcPr>
            <w:tcW w:w="1287" w:type="dxa"/>
            <w:vMerge w:val="continue"/>
            <w:tcBorders>
              <w:tl2br w:val="nil"/>
              <w:tr2bl w:val="nil"/>
            </w:tcBorders>
            <w:vAlign w:val="center"/>
          </w:tcPr>
          <w:p w14:paraId="48F36115">
            <w:pPr>
              <w:pStyle w:val="41"/>
              <w:rPr>
                <w:rFonts w:hint="default" w:ascii="Times New Roman" w:hAnsi="Times New Roman" w:cs="Times New Roman"/>
                <w:color w:val="auto"/>
                <w:u w:val="none"/>
              </w:rPr>
            </w:pPr>
          </w:p>
        </w:tc>
      </w:tr>
      <w:tr w14:paraId="6A6C4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398" w:type="dxa"/>
            <w:vMerge w:val="continue"/>
            <w:tcBorders>
              <w:tl2br w:val="nil"/>
              <w:tr2bl w:val="nil"/>
            </w:tcBorders>
            <w:vAlign w:val="center"/>
          </w:tcPr>
          <w:p w14:paraId="2FFED1D7">
            <w:pPr>
              <w:pStyle w:val="41"/>
              <w:rPr>
                <w:rFonts w:hint="default" w:ascii="Times New Roman" w:hAnsi="Times New Roman" w:cs="Times New Roman"/>
                <w:color w:val="auto"/>
                <w:u w:val="none"/>
              </w:rPr>
            </w:pPr>
          </w:p>
        </w:tc>
        <w:tc>
          <w:tcPr>
            <w:tcW w:w="1263" w:type="dxa"/>
            <w:vMerge w:val="continue"/>
            <w:tcBorders>
              <w:tl2br w:val="nil"/>
              <w:tr2bl w:val="nil"/>
            </w:tcBorders>
            <w:vAlign w:val="center"/>
          </w:tcPr>
          <w:p w14:paraId="06121FD0">
            <w:pPr>
              <w:pStyle w:val="41"/>
              <w:rPr>
                <w:rFonts w:hint="default" w:ascii="Times New Roman" w:hAnsi="Times New Roman" w:cs="Times New Roman"/>
                <w:color w:val="auto"/>
                <w:u w:val="none"/>
              </w:rPr>
            </w:pPr>
          </w:p>
        </w:tc>
        <w:tc>
          <w:tcPr>
            <w:tcW w:w="1433" w:type="dxa"/>
            <w:tcBorders>
              <w:tl2br w:val="nil"/>
              <w:tr2bl w:val="nil"/>
            </w:tcBorders>
            <w:vAlign w:val="center"/>
          </w:tcPr>
          <w:p w14:paraId="3AF3EC47">
            <w:pPr>
              <w:pStyle w:val="41"/>
              <w:rPr>
                <w:rFonts w:hint="default" w:ascii="Times New Roman" w:hAnsi="Times New Roman" w:cs="Times New Roman"/>
                <w:color w:val="auto"/>
                <w:u w:val="none"/>
              </w:rPr>
            </w:pPr>
            <w:r>
              <w:rPr>
                <w:rFonts w:hint="eastAsia" w:cs="Times New Roman"/>
                <w:color w:val="auto"/>
                <w:u w:val="none"/>
                <w:lang w:val="en-US" w:eastAsia="zh-CN"/>
              </w:rPr>
              <w:t>硝酸</w:t>
            </w:r>
          </w:p>
        </w:tc>
        <w:tc>
          <w:tcPr>
            <w:tcW w:w="1560" w:type="dxa"/>
            <w:tcBorders>
              <w:tl2br w:val="nil"/>
              <w:tr2bl w:val="nil"/>
            </w:tcBorders>
            <w:vAlign w:val="center"/>
          </w:tcPr>
          <w:p w14:paraId="30D1C59D">
            <w:pPr>
              <w:pStyle w:val="41"/>
              <w:rPr>
                <w:rFonts w:hint="default" w:ascii="Times New Roman" w:hAnsi="Times New Roman" w:cs="Times New Roman"/>
                <w:color w:val="auto"/>
                <w:u w:val="none"/>
              </w:rPr>
            </w:pPr>
            <w:r>
              <w:rPr>
                <w:rFonts w:hint="eastAsia" w:cs="Times New Roman"/>
                <w:color w:val="auto"/>
                <w:u w:val="none"/>
                <w:lang w:val="en-US" w:eastAsia="zh-CN"/>
              </w:rPr>
              <w:t>硝酸</w:t>
            </w:r>
          </w:p>
        </w:tc>
        <w:tc>
          <w:tcPr>
            <w:tcW w:w="1048" w:type="dxa"/>
            <w:tcBorders>
              <w:tl2br w:val="nil"/>
              <w:tr2bl w:val="nil"/>
            </w:tcBorders>
            <w:vAlign w:val="center"/>
          </w:tcPr>
          <w:p w14:paraId="109D6AF1">
            <w:pPr>
              <w:pStyle w:val="41"/>
              <w:ind w:right="113" w:rightChars="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泄漏</w:t>
            </w:r>
          </w:p>
        </w:tc>
        <w:tc>
          <w:tcPr>
            <w:tcW w:w="1546" w:type="dxa"/>
            <w:tcBorders>
              <w:tl2br w:val="nil"/>
              <w:tr2bl w:val="nil"/>
            </w:tcBorders>
            <w:vAlign w:val="center"/>
          </w:tcPr>
          <w:p w14:paraId="6C8F4AA5">
            <w:pPr>
              <w:pStyle w:val="41"/>
              <w:ind w:right="113" w:rightChars="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地下水、地表水</w:t>
            </w:r>
            <w:r>
              <w:rPr>
                <w:rFonts w:hint="default" w:ascii="Times New Roman" w:hAnsi="Times New Roman" w:eastAsia="宋体" w:cs="Times New Roman"/>
                <w:color w:val="auto"/>
                <w:u w:val="none"/>
                <w:lang w:eastAsia="zh-CN"/>
              </w:rPr>
              <w:t>、</w:t>
            </w:r>
            <w:r>
              <w:rPr>
                <w:rFonts w:hint="default" w:ascii="Times New Roman" w:hAnsi="Times New Roman" w:eastAsia="宋体" w:cs="Times New Roman"/>
                <w:color w:val="auto"/>
                <w:u w:val="none"/>
                <w:lang w:val="en-US" w:eastAsia="zh-CN"/>
              </w:rPr>
              <w:t>大气环境</w:t>
            </w:r>
          </w:p>
        </w:tc>
        <w:tc>
          <w:tcPr>
            <w:tcW w:w="1287" w:type="dxa"/>
            <w:vMerge w:val="continue"/>
            <w:tcBorders>
              <w:tl2br w:val="nil"/>
              <w:tr2bl w:val="nil"/>
            </w:tcBorders>
            <w:vAlign w:val="center"/>
          </w:tcPr>
          <w:p w14:paraId="5CD034C0">
            <w:pPr>
              <w:pStyle w:val="41"/>
              <w:rPr>
                <w:rFonts w:hint="default" w:ascii="Times New Roman" w:hAnsi="Times New Roman" w:cs="Times New Roman"/>
                <w:color w:val="auto"/>
                <w:u w:val="none"/>
              </w:rPr>
            </w:pPr>
          </w:p>
        </w:tc>
      </w:tr>
      <w:tr w14:paraId="40315F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98" w:type="dxa"/>
            <w:tcBorders>
              <w:tl2br w:val="nil"/>
              <w:tr2bl w:val="nil"/>
            </w:tcBorders>
            <w:vAlign w:val="center"/>
          </w:tcPr>
          <w:p w14:paraId="158E3435">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1263" w:type="dxa"/>
            <w:tcBorders>
              <w:tl2br w:val="nil"/>
              <w:tr2bl w:val="nil"/>
            </w:tcBorders>
            <w:vAlign w:val="center"/>
          </w:tcPr>
          <w:p w14:paraId="5E96D770">
            <w:pPr>
              <w:pStyle w:val="41"/>
              <w:rPr>
                <w:rFonts w:hint="default" w:ascii="Times New Roman" w:hAnsi="Times New Roman" w:cs="Times New Roman"/>
                <w:color w:val="auto"/>
                <w:u w:val="none"/>
              </w:rPr>
            </w:pPr>
            <w:r>
              <w:rPr>
                <w:rFonts w:hint="default" w:ascii="Times New Roman" w:hAnsi="Times New Roman" w:cs="Times New Roman"/>
                <w:color w:val="auto"/>
                <w:u w:val="none"/>
              </w:rPr>
              <w:t>危废暂存间</w:t>
            </w:r>
          </w:p>
        </w:tc>
        <w:tc>
          <w:tcPr>
            <w:tcW w:w="1433" w:type="dxa"/>
            <w:tcBorders>
              <w:tl2br w:val="nil"/>
              <w:tr2bl w:val="nil"/>
            </w:tcBorders>
            <w:vAlign w:val="center"/>
          </w:tcPr>
          <w:p w14:paraId="72623C20">
            <w:pPr>
              <w:pStyle w:val="41"/>
              <w:rPr>
                <w:rFonts w:hint="default" w:ascii="Times New Roman" w:hAnsi="Times New Roman" w:cs="Times New Roman"/>
                <w:color w:val="auto"/>
                <w:u w:val="none"/>
              </w:rPr>
            </w:pPr>
            <w:r>
              <w:rPr>
                <w:rFonts w:hint="default" w:ascii="Times New Roman" w:hAnsi="Times New Roman" w:cs="Times New Roman"/>
                <w:color w:val="auto"/>
                <w:u w:val="none"/>
              </w:rPr>
              <w:t>装危废专用桶</w:t>
            </w:r>
          </w:p>
        </w:tc>
        <w:tc>
          <w:tcPr>
            <w:tcW w:w="1560" w:type="dxa"/>
            <w:tcBorders>
              <w:tl2br w:val="nil"/>
              <w:tr2bl w:val="nil"/>
            </w:tcBorders>
            <w:vAlign w:val="center"/>
          </w:tcPr>
          <w:p w14:paraId="7E0BD343">
            <w:pPr>
              <w:pStyle w:val="41"/>
              <w:rPr>
                <w:rFonts w:hint="default" w:ascii="Times New Roman" w:hAnsi="Times New Roman" w:cs="Times New Roman"/>
                <w:color w:val="auto"/>
                <w:u w:val="none"/>
              </w:rPr>
            </w:pPr>
            <w:r>
              <w:rPr>
                <w:rFonts w:hint="default" w:ascii="Times New Roman" w:hAnsi="Times New Roman" w:cs="Times New Roman"/>
                <w:color w:val="auto"/>
                <w:u w:val="none"/>
              </w:rPr>
              <w:t>污泥、槽液等</w:t>
            </w:r>
          </w:p>
        </w:tc>
        <w:tc>
          <w:tcPr>
            <w:tcW w:w="1048" w:type="dxa"/>
            <w:tcBorders>
              <w:tl2br w:val="nil"/>
              <w:tr2bl w:val="nil"/>
            </w:tcBorders>
            <w:vAlign w:val="center"/>
          </w:tcPr>
          <w:p w14:paraId="3B4E0DC9">
            <w:pPr>
              <w:pStyle w:val="41"/>
              <w:rPr>
                <w:rFonts w:hint="default" w:ascii="Times New Roman" w:hAnsi="Times New Roman" w:cs="Times New Roman"/>
                <w:color w:val="auto"/>
                <w:u w:val="none"/>
              </w:rPr>
            </w:pPr>
            <w:r>
              <w:rPr>
                <w:rFonts w:hint="default" w:ascii="Times New Roman" w:hAnsi="Times New Roman" w:cs="Times New Roman"/>
                <w:color w:val="auto"/>
                <w:u w:val="none"/>
              </w:rPr>
              <w:t>泄漏</w:t>
            </w:r>
          </w:p>
        </w:tc>
        <w:tc>
          <w:tcPr>
            <w:tcW w:w="1546" w:type="dxa"/>
            <w:tcBorders>
              <w:tl2br w:val="nil"/>
              <w:tr2bl w:val="nil"/>
            </w:tcBorders>
            <w:vAlign w:val="center"/>
          </w:tcPr>
          <w:p w14:paraId="7AFACA9E">
            <w:pPr>
              <w:pStyle w:val="41"/>
              <w:rPr>
                <w:rFonts w:hint="default" w:ascii="Times New Roman" w:hAnsi="Times New Roman" w:cs="Times New Roman"/>
                <w:color w:val="auto"/>
                <w:u w:val="none"/>
              </w:rPr>
            </w:pPr>
            <w:r>
              <w:rPr>
                <w:rFonts w:hint="default" w:ascii="Times New Roman" w:hAnsi="Times New Roman" w:cs="Times New Roman"/>
                <w:color w:val="auto"/>
                <w:u w:val="none"/>
              </w:rPr>
              <w:t>地表水</w:t>
            </w:r>
          </w:p>
        </w:tc>
        <w:tc>
          <w:tcPr>
            <w:tcW w:w="1287" w:type="dxa"/>
            <w:tcBorders>
              <w:tl2br w:val="nil"/>
              <w:tr2bl w:val="nil"/>
            </w:tcBorders>
            <w:vAlign w:val="center"/>
          </w:tcPr>
          <w:p w14:paraId="0F71B0E6">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1DD93276">
      <w:pPr>
        <w:pStyle w:val="5"/>
        <w:rPr>
          <w:rFonts w:hint="default" w:ascii="Times New Roman" w:hAnsi="Times New Roman" w:cs="Times New Roman"/>
          <w:color w:val="auto"/>
          <w:u w:val="none"/>
        </w:rPr>
      </w:pPr>
      <w:r>
        <w:rPr>
          <w:rFonts w:hint="default" w:ascii="Times New Roman" w:hAnsi="Times New Roman" w:cs="Times New Roman"/>
          <w:color w:val="auto"/>
          <w:u w:val="none"/>
        </w:rPr>
        <w:t>风险事故情形分析</w:t>
      </w:r>
    </w:p>
    <w:p w14:paraId="7479578C">
      <w:pPr>
        <w:pStyle w:val="6"/>
        <w:ind w:firstLine="480"/>
        <w:rPr>
          <w:rFonts w:hint="default" w:ascii="Times New Roman" w:hAnsi="Times New Roman" w:cs="Times New Roman"/>
          <w:color w:val="auto"/>
          <w:u w:val="none"/>
        </w:rPr>
      </w:pPr>
      <w:bookmarkStart w:id="138" w:name="7.6.1_大气环境风险事故情形设定"/>
      <w:bookmarkEnd w:id="138"/>
      <w:r>
        <w:rPr>
          <w:rFonts w:hint="default" w:ascii="Times New Roman" w:hAnsi="Times New Roman" w:cs="Times New Roman"/>
          <w:color w:val="auto"/>
          <w:u w:val="none"/>
        </w:rPr>
        <w:t>大气环境风险事故情形设定</w:t>
      </w:r>
    </w:p>
    <w:p w14:paraId="4F27012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易燃化学品泄漏事故情形</w:t>
      </w:r>
    </w:p>
    <w:p w14:paraId="0179646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易燃化学品在储存过程中可能发生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事故的环节主要包括</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易燃化学品储存过程发生泄漏。因此本项目主要考虑的大气环境风险事故为易燃化学品发生泄漏事故及</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事故引起的火灾造成的次生污染事故。</w:t>
      </w:r>
    </w:p>
    <w:p w14:paraId="0DB77D6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根据以上分析，结合项目实际情况，确定项目大气环境风险事故情形为：</w:t>
      </w:r>
    </w:p>
    <w:p w14:paraId="5B73B239">
      <w:pPr>
        <w:ind w:firstLine="48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易燃化学品原料储存容器破损，造成易燃化学品</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w:t>
      </w:r>
    </w:p>
    <w:p w14:paraId="712D3243">
      <w:pPr>
        <w:ind w:firstLine="480"/>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后遇明火发生闪火，火灾事故产生CO、CO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等伴生/次生污染物。</w:t>
      </w:r>
    </w:p>
    <w:p w14:paraId="31D9FE1E">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②</w:t>
      </w:r>
      <w:r>
        <w:rPr>
          <w:rFonts w:hint="default" w:ascii="Times New Roman" w:hAnsi="Times New Roman" w:cs="Times New Roman"/>
          <w:color w:val="auto"/>
          <w:u w:val="none"/>
        </w:rPr>
        <w:t>厂区火灾事故风险分析</w:t>
      </w:r>
    </w:p>
    <w:p w14:paraId="6A28E96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大气环境影响主要是储存的</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易燃化学品泄漏，遇明火发生火灾及爆炸。</w:t>
      </w:r>
    </w:p>
    <w:p w14:paraId="2DADFB8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火灾时，</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充分燃烧，生成CO2和H2O，并产生大量的热急剧扩散，扩散半径可达100m，因此，火灾时对厂区内的生产厂区、办公区等有一定的影响。发生火灾时，由于空气供氧不足，产生的有害气体主要是CO。CO对人类的危害主要是与血红素作用生成羧基血红素，血红素与CO的结合能力较与O2的结合能力强200～300倍，从而使血液携带氧的能力降低，引起缺氧，症状有头痛、晕眩等，导致心脏易疲劳、心血管工作困难、直至死亡。由于CO密度和空气密度相当，其扩散较慢，且CO为无味气体，人畜不易察觉，因此，爆炸产生CO对环境的影响较大，可能对办公区等有一定的影响。</w:t>
      </w:r>
    </w:p>
    <w:p w14:paraId="2C63B345">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硫酸</w:t>
      </w:r>
      <w:r>
        <w:rPr>
          <w:rFonts w:hint="default" w:ascii="Times New Roman" w:hAnsi="Times New Roman" w:cs="Times New Roman"/>
          <w:color w:val="auto"/>
          <w:u w:val="none"/>
        </w:rPr>
        <w:t>泄漏挥发，吸入后对呼吸道有刺激性。可引起哮喘和肺嗜酸细胞增多症，可致支气管炎。对眼有刺激性。对厂区内及周边居民产生一定影响。</w:t>
      </w:r>
    </w:p>
    <w:p w14:paraId="429B5E8A">
      <w:pPr>
        <w:pStyle w:val="6"/>
        <w:ind w:firstLine="480"/>
        <w:rPr>
          <w:rFonts w:hint="default" w:ascii="Times New Roman" w:hAnsi="Times New Roman" w:cs="Times New Roman"/>
          <w:color w:val="auto"/>
          <w:u w:val="none"/>
        </w:rPr>
      </w:pPr>
      <w:bookmarkStart w:id="139" w:name="7.6.2_地表水环境风险事故情形设定"/>
      <w:bookmarkEnd w:id="139"/>
      <w:r>
        <w:rPr>
          <w:rFonts w:hint="default" w:ascii="Times New Roman" w:hAnsi="Times New Roman" w:cs="Times New Roman"/>
          <w:color w:val="auto"/>
          <w:u w:val="none"/>
        </w:rPr>
        <w:t>地表水环境风险事故情形设定</w:t>
      </w:r>
    </w:p>
    <w:p w14:paraId="2B54DB8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厂区内排水按照“清污分流、雨污分流、污污分流、分质处理、回水利用”的原则设计，其中生产废水管网采用明管架空方式。项目</w:t>
      </w:r>
      <w:r>
        <w:rPr>
          <w:rFonts w:hint="eastAsia" w:ascii="Times New Roman" w:hAnsi="Times New Roman" w:cs="Times New Roman"/>
          <w:color w:val="auto"/>
          <w:u w:val="none"/>
          <w:lang w:val="en-US" w:eastAsia="zh-CN"/>
        </w:rPr>
        <w:t>新建</w:t>
      </w:r>
      <w:r>
        <w:rPr>
          <w:rFonts w:hint="default" w:ascii="Times New Roman" w:hAnsi="Times New Roman" w:cs="Times New Roman"/>
          <w:color w:val="auto"/>
          <w:u w:val="none"/>
        </w:rPr>
        <w:t>环保水处理中心，其中设6套预处理系统和1套综合废水处理系统。各类废水通过各自收集管网分类收集至预处理系统，含重金属废水经预处理系统处理后回用，含油废水经隔油，含磷废水经化学沉淀预处理后与综合废水入综合废水处理站进一步处理后从总排口排放，经园区管网排入临港污水处理厂。本项目废水中污染物类型包括持久性污染物（重金属）、非持久性污染物（COD、氨氮、TP\TN）、酸碱三种污染物，水质较为复杂。一旦发生泄漏进入土壤或者水体，会改变土壤的理化性质，引起水生生物的死亡；若进入地下水中，会对地下水环境造成很大的破坏。</w:t>
      </w:r>
    </w:p>
    <w:p w14:paraId="02F8088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w:t>
      </w:r>
      <w:r>
        <w:rPr>
          <w:rFonts w:hint="eastAsia" w:ascii="Times New Roman" w:hAnsi="Times New Roman" w:cs="Times New Roman"/>
          <w:color w:val="auto"/>
          <w:u w:val="none"/>
          <w:lang w:val="en-US" w:eastAsia="zh-CN"/>
        </w:rPr>
        <w:t>新建</w:t>
      </w:r>
      <w:r>
        <w:rPr>
          <w:rFonts w:hint="default" w:ascii="Times New Roman" w:hAnsi="Times New Roman" w:cs="Times New Roman"/>
          <w:color w:val="auto"/>
          <w:u w:val="none"/>
        </w:rPr>
        <w:t>环保水处理中心，设计处理总规模为200m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一旦废水处理设施处理故障，将会造成高浓度化学需氧量、TP、铜、铬、镍等废水未经处理直接进入园区管网，排入临港污水处理厂，对临港污水处理厂污水处理厂造成不良冲击影响。为确保事故状态下生产废水外排不会对临港污水处理厂、长江造成影响，根据建设单位提供资料，厂区废水处理系统发生故障后，将及时进行故障排查和维修，若在17小时内未排除故障确保污水处理系统正常运行，将立即停产检修，修好后再投入生产，以确保项目生产废水达标排放。</w:t>
      </w:r>
      <w:r>
        <w:rPr>
          <w:rFonts w:hint="eastAsia" w:ascii="Times New Roman" w:hAnsi="Times New Roman" w:eastAsia="宋体"/>
          <w:lang w:val="en-US" w:eastAsia="zh-CN"/>
        </w:rPr>
        <w:t>本项目拟</w:t>
      </w:r>
      <w:r>
        <w:rPr>
          <w:rFonts w:hint="default" w:ascii="Times New Roman" w:hAnsi="Times New Roman" w:cs="Times New Roman"/>
          <w:color w:val="auto"/>
          <w:u w:val="none"/>
        </w:rPr>
        <w:t>在废水处理站设置1座</w:t>
      </w: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的事故池，用于收集事故废水，避免生产废水未经处理直接外排。</w:t>
      </w:r>
    </w:p>
    <w:p w14:paraId="5505EDD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（2）危化品仓库危化品泄漏事故环境风险分析</w:t>
      </w:r>
    </w:p>
    <w:p w14:paraId="16617DF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根据工程分析专章内容可知，生产厂房</w:t>
      </w:r>
      <w:r>
        <w:rPr>
          <w:rFonts w:hint="eastAsia" w:ascii="Times New Roman" w:hAnsi="Times New Roman" w:cs="Times New Roman"/>
          <w:color w:val="auto"/>
          <w:u w:val="none"/>
          <w:lang w:val="en-US" w:eastAsia="zh-CN"/>
        </w:rPr>
        <w:t>南侧</w:t>
      </w:r>
      <w:r>
        <w:rPr>
          <w:rFonts w:hint="default" w:ascii="Times New Roman" w:hAnsi="Times New Roman" w:cs="Times New Roman"/>
          <w:color w:val="auto"/>
          <w:u w:val="none"/>
        </w:rPr>
        <w:t>危化品仓库设置有</w:t>
      </w:r>
      <w:r>
        <w:rPr>
          <w:rFonts w:hint="eastAsia" w:ascii="Times New Roman" w:hAnsi="Times New Roman" w:cs="Times New Roman"/>
          <w:color w:val="auto"/>
          <w:u w:val="none"/>
          <w:lang w:val="en-US" w:eastAsia="zh-CN"/>
        </w:rPr>
        <w:t>储存区</w:t>
      </w:r>
      <w:r>
        <w:rPr>
          <w:rFonts w:hint="default" w:ascii="Times New Roman" w:hAnsi="Times New Roman" w:cs="Times New Roman"/>
          <w:color w:val="auto"/>
          <w:u w:val="none"/>
        </w:rPr>
        <w:t>。建设单位拟对厂内各危化品仓库采取防雨、防渗、防腐等措施，储罐并设置足够容量的围堰；各储罐破损后外流的液体可全部由围堰截流，不会进入污水管网或雨水管网；其他危险化学品设置设置有托盘、截流沟、事故池，进行截流，不会进入污水管网或雨水管网。在严格采取以上措施后，项目各储罐区危化品、其他危化品泄漏事故环境风险可在控制与接受范围内。</w:t>
      </w:r>
    </w:p>
    <w:p w14:paraId="1E15F62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（4）各类槽、管道泄漏事故环境风险分析</w:t>
      </w:r>
    </w:p>
    <w:p w14:paraId="4587910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工程分析可知，项目涉及阳极氧化线生产线涉及酸碱等腐蚀性原料。各生产线设备因维护不当导致出现老化、设备腐蚀穿孔或操作不当等情况致使各类槽或管道破损造成危险化学品泄漏或跑冒滴漏。泄漏物质主要包括酸性废液、碱性废液、含铬（铜）废液、含镍废液等。</w:t>
      </w:r>
    </w:p>
    <w:p w14:paraId="78FBA43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各生产设备槽液泄漏等会对周边环境造成严重的影响，具体表现在：强酸（硫酸）、强碱（氢氧化钠）以及酸碱性废液接触附近建筑物，会腐蚀建筑物而发生倒蹋事故；强酸、强碱或其废水进入受纳水体后，会使水中pH值严重超标，影响水体的水质和人们的正常生产、生活，并对水生物的生长繁殖造成影响。</w:t>
      </w:r>
    </w:p>
    <w:p w14:paraId="570D91A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当危化品泄漏，有毒物质进入人的机体后，可能造成中毒。含铜、镍、铬等重金属盐类废液、强酸若进入环境或生态系统后就会在土壤、水体中存留、积累和迁移，造成危害。</w:t>
      </w:r>
    </w:p>
    <w:p w14:paraId="6DAF0FC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生产车间内废水管道、含铬（铜）废液（水）、含镍废液（水）输送管道由于火灾、碰撞或废水管道疏于维护等情况导致生产废水或含铬（铜）废液（水）、含镍废液（水）的管道泄漏。生产车间内废水管道管材均为PVC材质，造成管道破损，从而发生废水泄漏。</w:t>
      </w:r>
    </w:p>
    <w:p w14:paraId="4FBA0BC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本项目从设计上实施优化布局，对各类涉水或液体生产区采取防腐、防渗措施，作业区位于</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F，发生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，经</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液引入重金属废水处理系统，如含镍、铬（铜）各类槽或管道出现泄漏事故，收集后进入重金属处理系统处理后回用，其他收集后进入综合废水处理系统。</w:t>
      </w:r>
    </w:p>
    <w:p w14:paraId="17C8688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企业废水管道均为地面管线，若出现泄漏（泄漏时间按30min计），泄漏的废水量约为60t，泄漏物可通过加水冲洗的方式将废水引流至污水处理站进行处理。</w:t>
      </w:r>
    </w:p>
    <w:p w14:paraId="3B16198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（3）危险废物</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事故环境风险分析</w:t>
      </w:r>
    </w:p>
    <w:p w14:paraId="0B83C2F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项目设置</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间危废暂存库，项目生产过程中产生大量多种危险废物，其中包含重金属危险废物、液态危险废物，在这些危险废物的收集、贮存、转移过程中，若上述包装、贮存设施在遭受不可抗力时，出现破损或变形造成各类废物泄漏，导致对周围环境造成影响。</w:t>
      </w:r>
    </w:p>
    <w:p w14:paraId="7DF7C8E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项目拟建设的危险废物暂存库严格按照《危险废物贮存污染控制标准》（GB18597-20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）中要求建设，采取“三防”措施，设置托盘；各类危废分类、分区暂存。在采取以上措施后，危险废物</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后可经收集池收集，对环境影响小。</w:t>
      </w:r>
    </w:p>
    <w:p w14:paraId="15501B9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（4）消防废水</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事故环境风险分析</w:t>
      </w:r>
    </w:p>
    <w:p w14:paraId="47269B9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后遇明火发生闪火，火灾事故后伴生/次生的消防废水进入事故水池。</w:t>
      </w:r>
    </w:p>
    <w:p w14:paraId="2105350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根据《化工建设项目环境保护设计规范》（GB50483-2009）中对事故应急池大小的规定：应急事故应急池容量应根据发生事故的设备容量、事故时消防用水量及可能进入应急事故应急的降水量等因素综合确定。</w:t>
      </w:r>
    </w:p>
    <w:p w14:paraId="1C88D08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w:t>
      </w:r>
      <w:r>
        <w:rPr>
          <w:rFonts w:hint="eastAsia" w:ascii="Times New Roman" w:hAnsi="Times New Roman" w:cs="Times New Roman"/>
          <w:color w:val="auto"/>
          <w:u w:val="none"/>
          <w:lang w:val="en-US" w:eastAsia="zh-CN"/>
        </w:rPr>
        <w:t>新建</w:t>
      </w:r>
      <w:r>
        <w:rPr>
          <w:rFonts w:hint="default" w:ascii="Times New Roman" w:hAnsi="Times New Roman" w:cs="Times New Roman"/>
          <w:color w:val="auto"/>
          <w:u w:val="none"/>
        </w:rPr>
        <w:t>应急事故池。事故池应设防渗、导流系统，事故情况下消防水、污废水等不能随意外排，事故池中的废水由提升泵提升至生产废水管道，经厂内污水处理系统处理后湖南城陵矶临港产业新区污水处理厂的纳管协议标准后经专用的排污管排入湖南城陵矶临港产业新区污水处理厂处理达《城镇污水处理厂污染物排放标准》（GB18918-2002）中一级A标准外排长江，不会对环境产生影响。</w:t>
      </w:r>
    </w:p>
    <w:p w14:paraId="431B917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综上所述，项目发生物料</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事故，落实一定污防措施的及采取应急措施的情况下不会对周围地表水体造成危险。</w:t>
      </w:r>
    </w:p>
    <w:p w14:paraId="2748D189">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地下水环境风险事故情形设定</w:t>
      </w:r>
    </w:p>
    <w:p w14:paraId="762F1E6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按照导则要求，本次地下水环境风险预测及评价应参照《环境影响评价技术导则 地下水环境》（HJ 610-2016）执行。</w:t>
      </w:r>
    </w:p>
    <w:p w14:paraId="4F3504A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分析，在正常情况下，项目废水采用清污分流、雨污分流、污污分流制，各类废水收集处理达标后排入临港污水处理厂，厂区均采取了严格的防渗、防溢流措施，不存在“跑、冒、滴、漏”等情况的发生，若运行、操作正常，项目不会对区域地下水环境造成不利影响。项目危险废物暂存间按《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的要求进行防腐防渗；危险化学品仓库和储罐区将严格按照有关规范要求采取防泄漏、防溢流、防腐蚀等措施，储罐区设围堰、危化品仓库其他危险化学品设置有托盘、截流沟、事故池，主要生产车间位于2F，地面采取防腐、防渗处理，从而正常工况下不会发生因化学品或污染物进入地下而污染地下水质的情况。</w:t>
      </w:r>
    </w:p>
    <w:p w14:paraId="5022FC2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地下水环境风险的最大可信事故为综合废水处理站发生泄漏事故对地下水有一定影响，但其影响处于可接受范围内。但相比正常工况下，仍然存在一定的污染风险。因此，项目厂区应设置地下水常规监测井，定时取样观测厂区地下水质量，以杜绝出现污水处理站出现长时间泄漏情景，做到早发现、早反应。故如能及时排查事故，并采取有效的控制和恢复措施，不会对区域地下水环境造成不良影响。</w:t>
      </w:r>
    </w:p>
    <w:p w14:paraId="6829410E">
      <w:pPr>
        <w:pStyle w:val="5"/>
        <w:rPr>
          <w:rFonts w:hint="default" w:ascii="Times New Roman" w:hAnsi="Times New Roman" w:cs="Times New Roman"/>
          <w:color w:val="auto"/>
          <w:u w:val="none"/>
        </w:rPr>
      </w:pPr>
      <w:bookmarkStart w:id="140" w:name="_bookmark39"/>
      <w:bookmarkEnd w:id="140"/>
      <w:bookmarkStart w:id="141" w:name="7.9_环境风险管理"/>
      <w:bookmarkEnd w:id="141"/>
      <w:bookmarkStart w:id="142" w:name="_bookmark38"/>
      <w:bookmarkEnd w:id="142"/>
      <w:bookmarkStart w:id="143" w:name="7.8_风险影响后果"/>
      <w:bookmarkEnd w:id="143"/>
      <w:r>
        <w:rPr>
          <w:rFonts w:hint="default" w:ascii="Times New Roman" w:hAnsi="Times New Roman" w:cs="Times New Roman"/>
          <w:color w:val="auto"/>
          <w:u w:val="none"/>
        </w:rPr>
        <w:t>环境风险管理</w:t>
      </w:r>
    </w:p>
    <w:p w14:paraId="45E1A006">
      <w:pPr>
        <w:pStyle w:val="6"/>
        <w:ind w:firstLine="480"/>
        <w:rPr>
          <w:rFonts w:hint="default" w:ascii="Times New Roman" w:hAnsi="Times New Roman" w:cs="Times New Roman"/>
          <w:color w:val="auto"/>
          <w:u w:val="none"/>
        </w:rPr>
      </w:pPr>
      <w:bookmarkStart w:id="144" w:name="7.9.1_环境风险管理原则"/>
      <w:bookmarkEnd w:id="144"/>
      <w:r>
        <w:rPr>
          <w:rFonts w:hint="default" w:ascii="Times New Roman" w:hAnsi="Times New Roman" w:cs="Times New Roman"/>
          <w:color w:val="auto"/>
          <w:u w:val="none"/>
        </w:rPr>
        <w:t>环境风险管理原则</w:t>
      </w:r>
    </w:p>
    <w:p w14:paraId="0261414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环境风险管理目标是采用最低合理可行原则管控环境风险。采取的环境风险防范措施应与社会经济技术发展水平相适应，运用科学技术手段和管理方法，对环境风险进行有效的预防、监控、响应。</w:t>
      </w:r>
    </w:p>
    <w:p w14:paraId="53913F8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同时建议建设单位针对涉及风险物质的储存场所进行安全评价，安全防护措施以安全评价结论为准，同时严格按照提出的防护措施进行实施，降低因安全事故造成的次生环境污染和危害。</w:t>
      </w:r>
    </w:p>
    <w:p w14:paraId="50167615">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大气环境风险防范措施</w:t>
      </w:r>
    </w:p>
    <w:p w14:paraId="155AFC7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本项目大气环境风险事故主要是</w:t>
      </w:r>
      <w:r>
        <w:rPr>
          <w:rFonts w:hint="eastAsia" w:ascii="Times New Roman" w:hAnsi="Times New Roman" w:cs="Times New Roman"/>
          <w:color w:val="auto"/>
          <w:u w:val="none"/>
          <w:lang w:val="en-US" w:eastAsia="zh-CN"/>
        </w:rPr>
        <w:t>硫酸</w:t>
      </w:r>
      <w:r>
        <w:rPr>
          <w:rFonts w:hint="default" w:ascii="Times New Roman" w:hAnsi="Times New Roman" w:cs="Times New Roman"/>
          <w:color w:val="auto"/>
          <w:u w:val="none"/>
        </w:rPr>
        <w:t>等物料</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事故及</w:t>
      </w:r>
      <w:r>
        <w:rPr>
          <w:rFonts w:hint="default" w:ascii="Times New Roman" w:hAnsi="Times New Roman" w:cs="Times New Roman"/>
          <w:color w:val="auto"/>
          <w:u w:val="none"/>
          <w:lang w:val="en-US" w:eastAsia="zh-CN"/>
        </w:rPr>
        <w:t>厂区</w:t>
      </w:r>
      <w:r>
        <w:rPr>
          <w:rFonts w:hint="default" w:ascii="Times New Roman" w:hAnsi="Times New Roman" w:cs="Times New Roman"/>
          <w:color w:val="auto"/>
          <w:u w:val="none"/>
        </w:rPr>
        <w:t>易燃化学品</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后遇明火发生闪火，火灾事故产生CO、CO2等伴生/次生污染物。</w:t>
      </w:r>
    </w:p>
    <w:p w14:paraId="03FB43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由此要做好一下预防：</w:t>
      </w:r>
    </w:p>
    <w:p w14:paraId="0BE9AC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（1）物料泄漏的预防</w:t>
      </w:r>
    </w:p>
    <w:p w14:paraId="50A7A37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①并保持周围消防通道的畅通。</w:t>
      </w:r>
    </w:p>
    <w:p w14:paraId="5EB31F0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②日常检查：定期对仓库、生产装置进行安全检查，排出环境风险隐患。</w:t>
      </w:r>
    </w:p>
    <w:p w14:paraId="68C7485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（2）生产车间环境风险的预防</w:t>
      </w:r>
    </w:p>
    <w:p w14:paraId="5F0F392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建设单位将采取所有可行的措施保护员工、居民及环境免受事故导致的环境危害。这些措施将贯彻到生产装置及其公用工程设施的设计、施工、运行及维护的全过程。</w:t>
      </w:r>
    </w:p>
    <w:p w14:paraId="6898BA3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①管理、控制及监督</w:t>
      </w:r>
    </w:p>
    <w:p w14:paraId="0E76B11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本项目涉及到的安全、健康、环境方面的设施将按照相关规范、标准进行。本建设项目将采用最佳的适用技术用于生产。设备管件、阀件和生产装置等将进行严格审查以确保满足相关规范、标准的要求。</w:t>
      </w:r>
    </w:p>
    <w:p w14:paraId="6E46258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设计、施工及开车前将进行综合分析，整个运行期定期进行综合性的自我审查及监督，建立有关的安全规定，确保装置在最佳状态下运行。</w:t>
      </w:r>
    </w:p>
    <w:p w14:paraId="1E8A7DF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②设计及施工</w:t>
      </w:r>
    </w:p>
    <w:p w14:paraId="7076E4D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总图布置将按照有关的安全规范，在保证足够的防火间距的情况下，合理用地。对于封闭建筑将设置良好的通风设备。生产车间外设防污沟及排水收集系统，做防腐防渗措施；危废暂存区设围堰。</w:t>
      </w:r>
    </w:p>
    <w:p w14:paraId="36BA59F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采用防火墙、消防水系统最大限度地减少火灾和泄漏对区域外的影响。在工艺装置区和仓库设置完整的消防水系统。中央控制室将设置特殊灭火系统。</w:t>
      </w:r>
    </w:p>
    <w:p w14:paraId="7C3E487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在工艺装置、储存和输送系统以及辅助设施中安装安全阀和防超压系统，按照有关标准、规定，保证在非正常情况下人员和设备的安全。</w:t>
      </w:r>
    </w:p>
    <w:p w14:paraId="6BE6618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③生产和维护</w:t>
      </w:r>
    </w:p>
    <w:p w14:paraId="731BB61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采取必要的预防及保护性措施如定期更换垫片、维护监测仪器及关键仪表等。进入工艺生产线的人员应遵守工艺规程并配备个人安全防护设施。在生产区、将设置足够的安全淋浴及洗眼设备。</w:t>
      </w:r>
    </w:p>
    <w:p w14:paraId="24807A3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强化工艺、安全、健康、环保等方面的人员培训要求。正确使用和妥善处置劳动保护用品。包括工作服、空气呼吸设备、便携式吸气设备及撤离车辆、防护眼镜、耳塞、手套等。</w:t>
      </w:r>
    </w:p>
    <w:p w14:paraId="46297AE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④一旦生产车间的反应容器或临时储存器发生泄漏，由于有工人在旁工作，工人可立即采取措施，使用木楔子将泄漏点堵死或用石棉布将泄漏点包裹起来，消除其影响。并对泄漏物质收集后委托有资质单位处理。</w:t>
      </w:r>
    </w:p>
    <w:p w14:paraId="2567735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⑤设备紧急泻压</w:t>
      </w:r>
    </w:p>
    <w:p w14:paraId="47AC202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该项目一般都是常压状态下工作，如有高压容器和临界管线系统都配有可以泻压的紧急泻压装置，保护性排气孔或没阻碍的大气排放孔。</w:t>
      </w:r>
    </w:p>
    <w:p w14:paraId="0FE858B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（4）各类废气事故排放风险防范措施</w:t>
      </w:r>
    </w:p>
    <w:p w14:paraId="2404CDD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项目主要工艺废气包括酸性废气共设置</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套废气处理设施。酸性</w:t>
      </w:r>
      <w:r>
        <w:rPr>
          <w:rFonts w:hint="eastAsia" w:ascii="Times New Roman" w:hAnsi="Times New Roman" w:cs="Times New Roman"/>
          <w:color w:val="auto"/>
          <w:u w:val="none"/>
          <w:lang w:val="en-US" w:eastAsia="zh-CN"/>
        </w:rPr>
        <w:t>及铬酸雾</w:t>
      </w:r>
      <w:r>
        <w:rPr>
          <w:rFonts w:hint="default" w:ascii="Times New Roman" w:hAnsi="Times New Roman" w:cs="Times New Roman"/>
          <w:color w:val="auto"/>
          <w:u w:val="none"/>
        </w:rPr>
        <w:t>废气采取“碱液喷淋”处理，建设单位拟采取以下风险防范措施：</w:t>
      </w:r>
    </w:p>
    <w:p w14:paraId="58B78B6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 各类废气防治设施建设过程中应选取正规厂家设备，保证设备合格；</w:t>
      </w:r>
    </w:p>
    <w:p w14:paraId="10D8C1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 引进技术先进、处理效果好的废气治理设备和设施，保证污染物达标排放。</w:t>
      </w:r>
    </w:p>
    <w:p w14:paraId="000629D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 加强废气环保设施的检查、维修，保证各类废气治理设施正常运营；</w:t>
      </w:r>
    </w:p>
    <w:p w14:paraId="3AA40A9E">
      <w:pPr>
        <w:pStyle w:val="6"/>
        <w:ind w:firstLine="480"/>
        <w:rPr>
          <w:rFonts w:hint="default" w:ascii="Times New Roman" w:hAnsi="Times New Roman" w:cs="Times New Roman"/>
          <w:color w:val="auto"/>
          <w:u w:val="none"/>
        </w:rPr>
      </w:pPr>
      <w:bookmarkStart w:id="145" w:name="7.9.3_地表水环境风险防范措施"/>
      <w:bookmarkEnd w:id="145"/>
      <w:r>
        <w:rPr>
          <w:rFonts w:hint="default" w:ascii="Times New Roman" w:hAnsi="Times New Roman" w:cs="Times New Roman"/>
          <w:color w:val="auto"/>
          <w:u w:val="none"/>
        </w:rPr>
        <w:t>地表水环境风险防范措施</w:t>
      </w:r>
    </w:p>
    <w:p w14:paraId="1F10BC0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（1）废水事故排放风险防范措施</w:t>
      </w:r>
    </w:p>
    <w:p w14:paraId="4DBA8C5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①工程措施</w:t>
      </w:r>
    </w:p>
    <w:p w14:paraId="7F69870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废水中CODcr、SS、氨氮以及重金属含量较高，若废水处理系统发生故障，致使废水泄漏进入外环境，将对区域地表水、地下水和土壤等环境造成较大危害。为降低项目废水处理系统发生环境风险概率，应采取如下防范措施：</w:t>
      </w:r>
    </w:p>
    <w:p w14:paraId="0CB73A5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 操作人员应定期对设备进行维护，及时调整运行参数，使设备处于最佳工况，确保处理效果。</w:t>
      </w:r>
    </w:p>
    <w:p w14:paraId="36C2776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 操作人员上岗前应进行严格的理论和实际操作培训，操作过程中要遵守操作规章制度。</w:t>
      </w:r>
    </w:p>
    <w:p w14:paraId="6058381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 为了保证事故状态下迅速恢复处理工程的正常运行，主要水工构筑物必须留有足够的缓冲余地，并配备相应的处理设备。</w:t>
      </w:r>
    </w:p>
    <w:p w14:paraId="30653B3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 废水处理站应采用双电源设置，关键设备一备一用，易损配件应备有备件，保证出现故障时能及时更换。</w:t>
      </w:r>
    </w:p>
    <w:p w14:paraId="332FA7E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 厂区</w:t>
      </w:r>
      <w:r>
        <w:rPr>
          <w:rFonts w:hint="eastAsia" w:ascii="Times New Roman" w:hAnsi="Times New Roman" w:cs="Times New Roman"/>
          <w:color w:val="auto"/>
          <w:u w:val="none"/>
          <w:lang w:val="en-US" w:eastAsia="zh-CN"/>
        </w:rPr>
        <w:t>设有</w:t>
      </w:r>
      <w:r>
        <w:rPr>
          <w:rFonts w:hint="default" w:ascii="Times New Roman" w:hAnsi="Times New Roman" w:cs="Times New Roman"/>
          <w:color w:val="auto"/>
          <w:u w:val="none"/>
        </w:rPr>
        <w:t>1座容积为</w:t>
      </w: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的事故应急池，当废水发生泄漏时，事故应急池可以存储</w:t>
      </w:r>
      <w:r>
        <w:rPr>
          <w:rFonts w:hint="eastAsia" w:ascii="Times New Roman" w:hAnsi="Times New Roman" w:cs="Times New Roman"/>
          <w:color w:val="auto"/>
          <w:u w:val="none"/>
          <w:lang w:val="en-US" w:eastAsia="zh-CN"/>
        </w:rPr>
        <w:t>本项目产生</w:t>
      </w:r>
      <w:r>
        <w:rPr>
          <w:rFonts w:hint="default" w:ascii="Times New Roman" w:hAnsi="Times New Roman" w:cs="Times New Roman"/>
          <w:color w:val="auto"/>
          <w:u w:val="none"/>
        </w:rPr>
        <w:t>的废水量，能降低废水泄漏风险；若在此时间内无法解决事故，则停产，杜绝废水事故排放。</w:t>
      </w:r>
    </w:p>
    <w:p w14:paraId="606DDF2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 严格执行地下水分区防渗要求，加强地下水环境监测管理，及时把握项目区周边地下水环境的动态变化。</w:t>
      </w:r>
    </w:p>
    <w:p w14:paraId="492867F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⑦ 对废水泄漏造成地下水污染的情况下，及时采取以下措施：</w:t>
      </w:r>
    </w:p>
    <w:p w14:paraId="4F29293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Ⅰ 一旦发生地下水污染事故，应立即启动应急预案。</w:t>
      </w:r>
    </w:p>
    <w:p w14:paraId="388A619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Ⅱ 查明并切断污染源。</w:t>
      </w:r>
    </w:p>
    <w:p w14:paraId="12FF16F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Ⅲ 立即启动应急抽水井。</w:t>
      </w:r>
    </w:p>
    <w:p w14:paraId="3C2318A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Ⅳ 进一步探明地下水污染深度、范围和污染程度。</w:t>
      </w:r>
    </w:p>
    <w:p w14:paraId="078C0E6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Ⅴ 依据探明的地下水污染情况和污染场地的岩性特征，结合已有应急井分布位置，合理布置新增抽水井的深度及间距。</w:t>
      </w:r>
    </w:p>
    <w:p w14:paraId="0331A25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Ⅵ 抽取被污染的地下水体，并依据各井孔出水情况进行调整。</w:t>
      </w:r>
    </w:p>
    <w:p w14:paraId="1B97688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Ⅶ 将抽取的地下水送工业废水系统处理，然后用于生产用水。</w:t>
      </w:r>
    </w:p>
    <w:p w14:paraId="73C6635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当地下水中的特征污染物浓度满足地下水功能区划的标准后，逐步停止井点抽水，并进行土壤修复治理工作。</w:t>
      </w:r>
    </w:p>
    <w:p w14:paraId="2C78FDD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②管理措施</w:t>
      </w:r>
    </w:p>
    <w:p w14:paraId="5D2E6A4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建立项目环境风险三级防控体系，三级防控体系为从污染源头、过程处理和最终排放有效防止</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物、消防水、污染雨水等扩散到外部环境时的收集、导流、拦截、降污能力。对于本项目，具体的三级防控体系为：</w:t>
      </w:r>
    </w:p>
    <w:p w14:paraId="4508398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一级防控体系必须建设为危险化学品仓库及危废间门口设不低于15cm的门槛及其配套设施（如防污沟等），生产车间四周设置防污沟，防止污染雨水和轻微事故泄漏造成的环境污染。</w:t>
      </w:r>
    </w:p>
    <w:p w14:paraId="64B70C3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二级防控体系必须建设事故导流导排系统及雨污排水系统切换阀，切断污染物与外部的通道，将污染控制在厂内，防止较大生产事故泄漏物料和污染消防水等造成的污染事故。</w:t>
      </w:r>
    </w:p>
    <w:p w14:paraId="196F0CD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事故导流导排管道（即事故污水和污染雨水收集系统）：本项目雨污水导排系统由生产车间四周的排水沟以及厂区的初期雨水管网及事故废水收集池组成。车间外外设置排水沟，厂区生产车间外围及仓库外围设置初期雨水管网。初期雨水通过厂区分布的雨水井将厂区的初期雨水用泵抽入污水处理站的调节池中进行储存，然后根据污水处理厂的剩余能力进行处理。</w:t>
      </w:r>
    </w:p>
    <w:p w14:paraId="6D8DE82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雨污排水系统切换阀：本环评建议在厂区总排口设置雨污阀门切换系统，正常情况下雨排水系统阀门关闭，污染雨水排入污水处理系统，无污染雨水切换入雨水排水系统。事故状态下可燃液体、有毒有害液体污染排水切换到应急事故池排水系统。切换阀宜设置在地面操作，切换时间按照《石油化工污水处理设计规范》（GB50747-2012）执行。</w:t>
      </w:r>
    </w:p>
    <w:p w14:paraId="147D384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三级防控体系必须建设末端应急事故水池及其配套设施，作为事故状态下储存与调控手段的三级预防控制措施，防止重大生产事故泄漏物料和污染消防水造成的环境污染。</w:t>
      </w:r>
    </w:p>
    <w:p w14:paraId="3348EC38">
      <w:pPr>
        <w:pStyle w:val="6"/>
        <w:ind w:firstLine="480"/>
        <w:rPr>
          <w:rFonts w:hint="default" w:ascii="Times New Roman" w:hAnsi="Times New Roman" w:cs="Times New Roman"/>
          <w:color w:val="auto"/>
          <w:u w:val="none"/>
        </w:rPr>
      </w:pPr>
      <w:bookmarkStart w:id="146" w:name="7.9.4_地下水风险防范措施"/>
      <w:bookmarkEnd w:id="146"/>
      <w:r>
        <w:rPr>
          <w:rFonts w:hint="default" w:ascii="Times New Roman" w:hAnsi="Times New Roman" w:cs="Times New Roman"/>
          <w:color w:val="auto"/>
          <w:u w:val="none"/>
        </w:rPr>
        <w:t>地下水风险防范措施</w:t>
      </w:r>
    </w:p>
    <w:p w14:paraId="3E85E44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为了最大限度地降低本项目对地下水的影响，本项目必须采取完善、有效的厂区防渗处理措施，力争厂区内无跑、冒、滴、漏现象发生。</w:t>
      </w:r>
    </w:p>
    <w:p w14:paraId="5A91473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针对上述污染源及污染途径，建议采取以下预防措施：</w:t>
      </w:r>
    </w:p>
    <w:p w14:paraId="4F32473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该项目重点污染区防渗措施为：重点防渗区包括2F阳极氧化生产车间、危废暂存间、危险化学品仓库、废水处理站和应急事故池等区域。</w:t>
      </w:r>
    </w:p>
    <w:p w14:paraId="471FBEC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重点防渗区铺砌地坪地基必须采用粘土材料，且厚度不得低于100cm。粘土材料的渗透系数≤10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cm/s，在无法满足100cm厚粘土基础垫层的情况下，可采用30cm厚普通粘土垫层，并加铺2mm厚高密度聚乙烯，或至少2mm厚的其它人工防渗材料，渗透系数≤10</w:t>
      </w:r>
      <w:r>
        <w:rPr>
          <w:rFonts w:hint="default" w:ascii="Times New Roman" w:hAnsi="Times New Roman" w:cs="Times New Roman"/>
          <w:color w:val="auto"/>
          <w:u w:val="none"/>
          <w:vertAlign w:val="superscript"/>
        </w:rPr>
        <w:t>-10</w:t>
      </w:r>
      <w:r>
        <w:rPr>
          <w:rFonts w:hint="default" w:ascii="Times New Roman" w:hAnsi="Times New Roman" w:cs="Times New Roman"/>
          <w:color w:val="auto"/>
          <w:u w:val="none"/>
        </w:rPr>
        <w:t>cm/s。重点防渗区除对地坪地基采取上述防渗措施外，进一步采取如下的措施：危险废物暂存间、生产废水处理站池壁及事故收集池采用防渗混凝土+HDPE膜（1.5mm厚、渗透系数不高于1.0×10</w:t>
      </w:r>
      <w:r>
        <w:rPr>
          <w:rFonts w:hint="default" w:ascii="Times New Roman" w:hAnsi="Times New Roman" w:cs="Times New Roman"/>
          <w:color w:val="auto"/>
          <w:u w:val="none"/>
          <w:vertAlign w:val="superscript"/>
        </w:rPr>
        <w:t>-11</w:t>
      </w:r>
      <w:r>
        <w:rPr>
          <w:rFonts w:hint="default" w:ascii="Times New Roman" w:hAnsi="Times New Roman" w:cs="Times New Roman"/>
          <w:color w:val="auto"/>
          <w:u w:val="none"/>
        </w:rPr>
        <w:t>cm/s的HDPE膜作为防渗层）。</w:t>
      </w:r>
    </w:p>
    <w:p w14:paraId="2579279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一般污染区防渗措施：一般防渗区包括除重点防渗区外的其余部分地面，包括一般固废暂存仓库地面，采用抗渗等级不低于P1级的抗渗混凝土（渗透系数约0.4×10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cm/s，厚度不低于20cm）硬化地面。</w:t>
      </w:r>
    </w:p>
    <w:p w14:paraId="70DFB6A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简单防渗区：包括厂区办公区等，不采取防渗措施。除此之外，工程仍需要采取如下防治措施：</w:t>
      </w:r>
    </w:p>
    <w:p w14:paraId="313C853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（1）实施清洁生产及各类废物循环利用的具体方案，减少污染物的排放量；防止污染物的跑冒漏滴，将污染物的</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环境风险事故降到最低限度；</w:t>
      </w:r>
    </w:p>
    <w:p w14:paraId="7DC8367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（2）对厂内排水系统和污水处理站池体及排放管道均做防渗处理；</w:t>
      </w:r>
    </w:p>
    <w:p w14:paraId="1EAEBA4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（3）定期进行检漏监测及检修。</w:t>
      </w:r>
    </w:p>
    <w:p w14:paraId="31034A8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（4）建立地下水风险事故应急响应预案，明确风险事故状态下应采取的封闭、截留等措施；</w:t>
      </w:r>
    </w:p>
    <w:p w14:paraId="2CE8821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（5）本项目一般固废临时贮存场所应符合《一般工业固体废物贮存和填埋污染控制标准》（GB 18599-2020）中有关规定。</w:t>
      </w:r>
    </w:p>
    <w:p w14:paraId="6DAD2A8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（6）本项目危废临时贮存场所应符合《危险废物贮存污染控制标准》（GB18597-20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）中的有关规定。</w:t>
      </w:r>
    </w:p>
    <w:p w14:paraId="68F6AEF4">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cs="Times New Roman"/>
          <w:b/>
          <w:bCs/>
          <w:color w:val="auto"/>
          <w:u w:val="none"/>
          <w:lang w:val="en-US" w:eastAsia="zh-CN"/>
        </w:rPr>
        <w:t xml:space="preserve">19  </w:t>
      </w:r>
      <w:r>
        <w:rPr>
          <w:rFonts w:hint="default" w:ascii="Times New Roman" w:hAnsi="Times New Roman" w:cs="Times New Roman"/>
          <w:b/>
          <w:bCs/>
          <w:color w:val="auto"/>
          <w:u w:val="none"/>
        </w:rPr>
        <w:t>项目地下水污染分区防治措施一览表</w:t>
      </w:r>
    </w:p>
    <w:tbl>
      <w:tblPr>
        <w:tblStyle w:val="30"/>
        <w:tblW w:w="5054"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02"/>
        <w:gridCol w:w="1542"/>
        <w:gridCol w:w="5882"/>
      </w:tblGrid>
      <w:tr w14:paraId="7CF77C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998" w:type="dxa"/>
            <w:tcBorders>
              <w:tl2br w:val="nil"/>
              <w:tr2bl w:val="nil"/>
            </w:tcBorders>
            <w:vAlign w:val="center"/>
          </w:tcPr>
          <w:p w14:paraId="654B06A4">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分区类别</w:t>
            </w:r>
          </w:p>
        </w:tc>
        <w:tc>
          <w:tcPr>
            <w:tcW w:w="1537" w:type="dxa"/>
            <w:tcBorders>
              <w:tl2br w:val="nil"/>
              <w:tr2bl w:val="nil"/>
            </w:tcBorders>
            <w:vAlign w:val="center"/>
          </w:tcPr>
          <w:p w14:paraId="18ACBEB5">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场所名称</w:t>
            </w:r>
          </w:p>
        </w:tc>
        <w:tc>
          <w:tcPr>
            <w:tcW w:w="5861" w:type="dxa"/>
            <w:tcBorders>
              <w:tl2br w:val="nil"/>
              <w:tr2bl w:val="nil"/>
            </w:tcBorders>
            <w:vAlign w:val="center"/>
          </w:tcPr>
          <w:p w14:paraId="3B9D192D">
            <w:pPr>
              <w:pStyle w:val="41"/>
              <w:adjustRightInd w:val="0"/>
              <w:snapToGrid w:val="0"/>
              <w:rPr>
                <w:rFonts w:hint="default" w:ascii="Times New Roman" w:hAnsi="Times New Roman" w:cs="Times New Roman"/>
                <w:b/>
                <w:bCs/>
                <w:color w:val="auto"/>
                <w:u w:val="none"/>
              </w:rPr>
            </w:pPr>
            <w:r>
              <w:rPr>
                <w:rFonts w:hint="default" w:ascii="Times New Roman" w:hAnsi="Times New Roman" w:cs="Times New Roman"/>
                <w:b/>
                <w:bCs/>
                <w:color w:val="auto"/>
                <w:u w:val="none"/>
              </w:rPr>
              <w:t>防渗要求</w:t>
            </w:r>
          </w:p>
        </w:tc>
      </w:tr>
      <w:tr w14:paraId="0467B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998" w:type="dxa"/>
            <w:vMerge w:val="restart"/>
            <w:tcBorders>
              <w:tl2br w:val="nil"/>
              <w:tr2bl w:val="nil"/>
            </w:tcBorders>
            <w:vAlign w:val="center"/>
          </w:tcPr>
          <w:p w14:paraId="4A0DC94C">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重点污染防治区</w:t>
            </w:r>
          </w:p>
        </w:tc>
        <w:tc>
          <w:tcPr>
            <w:tcW w:w="1537" w:type="dxa"/>
            <w:tcBorders>
              <w:tl2br w:val="nil"/>
              <w:tr2bl w:val="nil"/>
            </w:tcBorders>
            <w:vAlign w:val="center"/>
          </w:tcPr>
          <w:p w14:paraId="0343591C">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危废暂存间</w:t>
            </w:r>
          </w:p>
        </w:tc>
        <w:tc>
          <w:tcPr>
            <w:tcW w:w="5861" w:type="dxa"/>
            <w:vMerge w:val="restart"/>
            <w:tcBorders>
              <w:tl2br w:val="nil"/>
              <w:tr2bl w:val="nil"/>
            </w:tcBorders>
            <w:vAlign w:val="center"/>
          </w:tcPr>
          <w:p w14:paraId="004479D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地坪地基必须采用粘土材料，且厚度不得低于100cm。粘土材料的渗透系数≤10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cm/s，在无法满足100cm厚粘土基础垫层的情况下，可采用30cm厚普通粘土垫层，并加铺2毫米厚高密度聚乙烯，或至少2mm厚的其它人工防渗材料，渗透系数≤10</w:t>
            </w:r>
            <w:r>
              <w:rPr>
                <w:rFonts w:hint="default" w:ascii="Times New Roman" w:hAnsi="Times New Roman" w:cs="Times New Roman"/>
                <w:color w:val="auto"/>
                <w:u w:val="none"/>
                <w:vertAlign w:val="superscript"/>
              </w:rPr>
              <w:t>-10</w:t>
            </w:r>
            <w:r>
              <w:rPr>
                <w:rFonts w:hint="default" w:ascii="Times New Roman" w:hAnsi="Times New Roman" w:cs="Times New Roman"/>
                <w:color w:val="auto"/>
                <w:u w:val="none"/>
              </w:rPr>
              <w:t>cm/s。危险废物暂存间、生产废水处理站池壁及事故收集池采用防渗混凝土+HDPE膜（1.5mm厚、渗透系数不高于1.0×10</w:t>
            </w:r>
            <w:r>
              <w:rPr>
                <w:rFonts w:hint="default" w:ascii="Times New Roman" w:hAnsi="Times New Roman" w:cs="Times New Roman"/>
                <w:color w:val="auto"/>
                <w:u w:val="none"/>
                <w:vertAlign w:val="superscript"/>
              </w:rPr>
              <w:t>-11</w:t>
            </w:r>
            <w:r>
              <w:rPr>
                <w:rFonts w:hint="default" w:ascii="Times New Roman" w:hAnsi="Times New Roman" w:cs="Times New Roman"/>
                <w:color w:val="auto"/>
                <w:u w:val="none"/>
              </w:rPr>
              <w:t>cm/s的HDPE膜作为防渗层）</w:t>
            </w:r>
          </w:p>
        </w:tc>
      </w:tr>
      <w:tr w14:paraId="1E321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4" w:hRule="atLeast"/>
          <w:jc w:val="center"/>
        </w:trPr>
        <w:tc>
          <w:tcPr>
            <w:tcW w:w="998" w:type="dxa"/>
            <w:vMerge w:val="continue"/>
            <w:tcBorders>
              <w:tl2br w:val="nil"/>
              <w:tr2bl w:val="nil"/>
            </w:tcBorders>
            <w:vAlign w:val="center"/>
          </w:tcPr>
          <w:p w14:paraId="1B0A4C64">
            <w:pPr>
              <w:pStyle w:val="41"/>
              <w:adjustRightInd w:val="0"/>
              <w:snapToGrid w:val="0"/>
              <w:rPr>
                <w:rFonts w:hint="default" w:ascii="Times New Roman" w:hAnsi="Times New Roman" w:cs="Times New Roman"/>
                <w:color w:val="auto"/>
                <w:u w:val="none"/>
              </w:rPr>
            </w:pPr>
          </w:p>
        </w:tc>
        <w:tc>
          <w:tcPr>
            <w:tcW w:w="1537" w:type="dxa"/>
            <w:tcBorders>
              <w:tl2br w:val="nil"/>
              <w:tr2bl w:val="nil"/>
            </w:tcBorders>
            <w:vAlign w:val="center"/>
          </w:tcPr>
          <w:p w14:paraId="22CEF0A8">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危化品仓库</w:t>
            </w:r>
          </w:p>
        </w:tc>
        <w:tc>
          <w:tcPr>
            <w:tcW w:w="5861" w:type="dxa"/>
            <w:vMerge w:val="continue"/>
            <w:tcBorders>
              <w:tl2br w:val="nil"/>
              <w:tr2bl w:val="nil"/>
            </w:tcBorders>
            <w:vAlign w:val="center"/>
          </w:tcPr>
          <w:p w14:paraId="2A2964ED">
            <w:pPr>
              <w:pStyle w:val="41"/>
              <w:adjustRightInd w:val="0"/>
              <w:snapToGrid w:val="0"/>
              <w:rPr>
                <w:rFonts w:hint="default" w:ascii="Times New Roman" w:hAnsi="Times New Roman" w:cs="Times New Roman"/>
                <w:color w:val="auto"/>
                <w:u w:val="none"/>
              </w:rPr>
            </w:pPr>
          </w:p>
        </w:tc>
      </w:tr>
      <w:tr w14:paraId="3E5F97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3" w:hRule="atLeast"/>
          <w:jc w:val="center"/>
        </w:trPr>
        <w:tc>
          <w:tcPr>
            <w:tcW w:w="998" w:type="dxa"/>
            <w:vMerge w:val="continue"/>
            <w:tcBorders>
              <w:tl2br w:val="nil"/>
              <w:tr2bl w:val="nil"/>
            </w:tcBorders>
            <w:vAlign w:val="center"/>
          </w:tcPr>
          <w:p w14:paraId="354FCEF8">
            <w:pPr>
              <w:pStyle w:val="41"/>
              <w:adjustRightInd w:val="0"/>
              <w:snapToGrid w:val="0"/>
              <w:rPr>
                <w:rFonts w:hint="default" w:ascii="Times New Roman" w:hAnsi="Times New Roman" w:cs="Times New Roman"/>
                <w:color w:val="auto"/>
                <w:u w:val="none"/>
              </w:rPr>
            </w:pPr>
          </w:p>
        </w:tc>
        <w:tc>
          <w:tcPr>
            <w:tcW w:w="1537" w:type="dxa"/>
            <w:tcBorders>
              <w:tl2br w:val="nil"/>
              <w:tr2bl w:val="nil"/>
            </w:tcBorders>
            <w:vAlign w:val="center"/>
          </w:tcPr>
          <w:p w14:paraId="4D8F5C4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阳极氧化生产车间</w:t>
            </w:r>
          </w:p>
        </w:tc>
        <w:tc>
          <w:tcPr>
            <w:tcW w:w="5861" w:type="dxa"/>
            <w:vMerge w:val="continue"/>
            <w:tcBorders>
              <w:tl2br w:val="nil"/>
              <w:tr2bl w:val="nil"/>
            </w:tcBorders>
            <w:vAlign w:val="center"/>
          </w:tcPr>
          <w:p w14:paraId="03BC17FB">
            <w:pPr>
              <w:pStyle w:val="41"/>
              <w:adjustRightInd w:val="0"/>
              <w:snapToGrid w:val="0"/>
              <w:rPr>
                <w:rFonts w:hint="default" w:ascii="Times New Roman" w:hAnsi="Times New Roman" w:cs="Times New Roman"/>
                <w:color w:val="auto"/>
                <w:u w:val="none"/>
              </w:rPr>
            </w:pPr>
          </w:p>
        </w:tc>
      </w:tr>
      <w:tr w14:paraId="0FDD64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998" w:type="dxa"/>
            <w:vMerge w:val="continue"/>
            <w:tcBorders>
              <w:tl2br w:val="nil"/>
              <w:tr2bl w:val="nil"/>
            </w:tcBorders>
            <w:vAlign w:val="center"/>
          </w:tcPr>
          <w:p w14:paraId="1A99CE11">
            <w:pPr>
              <w:pStyle w:val="41"/>
              <w:adjustRightInd w:val="0"/>
              <w:snapToGrid w:val="0"/>
              <w:rPr>
                <w:rFonts w:hint="default" w:ascii="Times New Roman" w:hAnsi="Times New Roman" w:cs="Times New Roman"/>
                <w:color w:val="auto"/>
                <w:u w:val="none"/>
              </w:rPr>
            </w:pPr>
          </w:p>
        </w:tc>
        <w:tc>
          <w:tcPr>
            <w:tcW w:w="1537" w:type="dxa"/>
            <w:tcBorders>
              <w:tl2br w:val="nil"/>
              <w:tr2bl w:val="nil"/>
            </w:tcBorders>
            <w:vAlign w:val="center"/>
          </w:tcPr>
          <w:p w14:paraId="5A3B09C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污水处理站</w:t>
            </w:r>
          </w:p>
        </w:tc>
        <w:tc>
          <w:tcPr>
            <w:tcW w:w="5861" w:type="dxa"/>
            <w:vMerge w:val="continue"/>
            <w:tcBorders>
              <w:tl2br w:val="nil"/>
              <w:tr2bl w:val="nil"/>
            </w:tcBorders>
            <w:vAlign w:val="center"/>
          </w:tcPr>
          <w:p w14:paraId="27188C24">
            <w:pPr>
              <w:pStyle w:val="41"/>
              <w:adjustRightInd w:val="0"/>
              <w:snapToGrid w:val="0"/>
              <w:rPr>
                <w:rFonts w:hint="default" w:ascii="Times New Roman" w:hAnsi="Times New Roman" w:cs="Times New Roman"/>
                <w:color w:val="auto"/>
                <w:u w:val="none"/>
              </w:rPr>
            </w:pPr>
          </w:p>
        </w:tc>
      </w:tr>
      <w:tr w14:paraId="49A0F0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998" w:type="dxa"/>
            <w:vMerge w:val="continue"/>
            <w:tcBorders>
              <w:tl2br w:val="nil"/>
              <w:tr2bl w:val="nil"/>
            </w:tcBorders>
            <w:vAlign w:val="center"/>
          </w:tcPr>
          <w:p w14:paraId="0CB2409F">
            <w:pPr>
              <w:pStyle w:val="41"/>
              <w:adjustRightInd w:val="0"/>
              <w:snapToGrid w:val="0"/>
              <w:rPr>
                <w:rFonts w:hint="default" w:ascii="Times New Roman" w:hAnsi="Times New Roman" w:cs="Times New Roman"/>
                <w:color w:val="auto"/>
                <w:u w:val="none"/>
              </w:rPr>
            </w:pPr>
          </w:p>
        </w:tc>
        <w:tc>
          <w:tcPr>
            <w:tcW w:w="1537" w:type="dxa"/>
            <w:tcBorders>
              <w:tl2br w:val="nil"/>
              <w:tr2bl w:val="nil"/>
            </w:tcBorders>
            <w:vAlign w:val="center"/>
          </w:tcPr>
          <w:p w14:paraId="5FC7D408">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排水管网</w:t>
            </w:r>
          </w:p>
        </w:tc>
        <w:tc>
          <w:tcPr>
            <w:tcW w:w="5861" w:type="dxa"/>
            <w:tcBorders>
              <w:tl2br w:val="nil"/>
              <w:tr2bl w:val="nil"/>
            </w:tcBorders>
            <w:vAlign w:val="center"/>
          </w:tcPr>
          <w:p w14:paraId="536B4DA6">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沟渠用砖砌后再用水泥硬化防渗，加强巡检，定期监测排水管线密封性，杜绝污水渗漏</w:t>
            </w:r>
          </w:p>
        </w:tc>
      </w:tr>
      <w:tr w14:paraId="4CC69A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741" w:hRule="atLeast"/>
          <w:jc w:val="center"/>
        </w:trPr>
        <w:tc>
          <w:tcPr>
            <w:tcW w:w="998" w:type="dxa"/>
            <w:vMerge w:val="restart"/>
            <w:tcBorders>
              <w:tl2br w:val="nil"/>
              <w:tr2bl w:val="nil"/>
            </w:tcBorders>
            <w:vAlign w:val="center"/>
          </w:tcPr>
          <w:p w14:paraId="6C32A92D">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一般污染防治区</w:t>
            </w:r>
          </w:p>
        </w:tc>
        <w:tc>
          <w:tcPr>
            <w:tcW w:w="1537" w:type="dxa"/>
            <w:tcBorders>
              <w:tl2br w:val="nil"/>
              <w:tr2bl w:val="nil"/>
            </w:tcBorders>
            <w:vAlign w:val="center"/>
          </w:tcPr>
          <w:p w14:paraId="64346AEE">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一般固废暂存间</w:t>
            </w:r>
          </w:p>
        </w:tc>
        <w:tc>
          <w:tcPr>
            <w:tcW w:w="5861" w:type="dxa"/>
            <w:vMerge w:val="restart"/>
            <w:tcBorders>
              <w:tl2br w:val="nil"/>
              <w:tr2bl w:val="nil"/>
            </w:tcBorders>
            <w:vAlign w:val="center"/>
          </w:tcPr>
          <w:p w14:paraId="61C9DFD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采用抗渗等级不低于P1级的抗渗混凝土（渗透系数约0.4×10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cm/s，厚度不低于20cm）硬化地面。</w:t>
            </w:r>
          </w:p>
        </w:tc>
      </w:tr>
      <w:tr w14:paraId="0F452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998" w:type="dxa"/>
            <w:vMerge w:val="restart"/>
            <w:tcBorders>
              <w:tl2br w:val="nil"/>
              <w:tr2bl w:val="nil"/>
            </w:tcBorders>
            <w:vAlign w:val="center"/>
          </w:tcPr>
          <w:p w14:paraId="30DB7CFF">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简单防渗区</w:t>
            </w:r>
          </w:p>
        </w:tc>
        <w:tc>
          <w:tcPr>
            <w:tcW w:w="1537" w:type="dxa"/>
            <w:tcBorders>
              <w:tl2br w:val="nil"/>
              <w:tr2bl w:val="nil"/>
            </w:tcBorders>
            <w:vAlign w:val="center"/>
          </w:tcPr>
          <w:p w14:paraId="0782E088">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办公区</w:t>
            </w:r>
          </w:p>
        </w:tc>
        <w:tc>
          <w:tcPr>
            <w:tcW w:w="5861" w:type="dxa"/>
            <w:vMerge w:val="restart"/>
            <w:tcBorders>
              <w:tl2br w:val="nil"/>
              <w:tr2bl w:val="nil"/>
            </w:tcBorders>
            <w:vAlign w:val="center"/>
          </w:tcPr>
          <w:p w14:paraId="4F12F12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硬化措施</w:t>
            </w:r>
          </w:p>
        </w:tc>
      </w:tr>
      <w:tr w14:paraId="76EBA8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3" w:hRule="atLeast"/>
          <w:jc w:val="center"/>
        </w:trPr>
        <w:tc>
          <w:tcPr>
            <w:tcW w:w="998" w:type="dxa"/>
            <w:vMerge w:val="continue"/>
            <w:tcBorders>
              <w:tl2br w:val="nil"/>
              <w:tr2bl w:val="nil"/>
            </w:tcBorders>
            <w:vAlign w:val="center"/>
          </w:tcPr>
          <w:p w14:paraId="4252A474">
            <w:pPr>
              <w:pStyle w:val="41"/>
              <w:adjustRightInd w:val="0"/>
              <w:snapToGrid w:val="0"/>
              <w:rPr>
                <w:rFonts w:hint="default" w:ascii="Times New Roman" w:hAnsi="Times New Roman" w:cs="Times New Roman"/>
                <w:color w:val="auto"/>
                <w:u w:val="none"/>
              </w:rPr>
            </w:pPr>
          </w:p>
        </w:tc>
        <w:tc>
          <w:tcPr>
            <w:tcW w:w="1537" w:type="dxa"/>
            <w:tcBorders>
              <w:tl2br w:val="nil"/>
              <w:tr2bl w:val="nil"/>
            </w:tcBorders>
            <w:vAlign w:val="center"/>
          </w:tcPr>
          <w:p w14:paraId="5BE4BC0A">
            <w:pPr>
              <w:pStyle w:val="41"/>
              <w:adjustRightInd w:val="0"/>
              <w:snapToGrid w:val="0"/>
              <w:rPr>
                <w:rFonts w:hint="default" w:ascii="Times New Roman" w:hAnsi="Times New Roman" w:cs="Times New Roman"/>
                <w:color w:val="auto"/>
                <w:u w:val="none"/>
              </w:rPr>
            </w:pPr>
            <w:r>
              <w:rPr>
                <w:rFonts w:hint="default" w:ascii="Times New Roman" w:hAnsi="Times New Roman" w:cs="Times New Roman"/>
                <w:color w:val="auto"/>
                <w:u w:val="none"/>
              </w:rPr>
              <w:t>厂区道路</w:t>
            </w:r>
          </w:p>
        </w:tc>
        <w:tc>
          <w:tcPr>
            <w:tcW w:w="5861" w:type="dxa"/>
            <w:vMerge w:val="continue"/>
            <w:tcBorders>
              <w:tl2br w:val="nil"/>
              <w:tr2bl w:val="nil"/>
            </w:tcBorders>
            <w:vAlign w:val="center"/>
          </w:tcPr>
          <w:p w14:paraId="79F02734">
            <w:pPr>
              <w:pStyle w:val="41"/>
              <w:adjustRightInd w:val="0"/>
              <w:snapToGrid w:val="0"/>
              <w:rPr>
                <w:rFonts w:hint="default" w:ascii="Times New Roman" w:hAnsi="Times New Roman" w:cs="Times New Roman"/>
                <w:color w:val="auto"/>
                <w:u w:val="none"/>
              </w:rPr>
            </w:pPr>
          </w:p>
        </w:tc>
      </w:tr>
    </w:tbl>
    <w:p w14:paraId="4FFFE620">
      <w:pPr>
        <w:pStyle w:val="6"/>
        <w:ind w:firstLine="480"/>
        <w:rPr>
          <w:rFonts w:hint="default" w:ascii="Times New Roman" w:hAnsi="Times New Roman" w:cs="Times New Roman"/>
          <w:color w:val="auto"/>
          <w:u w:val="none"/>
        </w:rPr>
      </w:pPr>
      <w:r>
        <w:rPr>
          <w:rFonts w:hint="default" w:ascii="Times New Roman" w:hAnsi="Times New Roman" w:cs="Times New Roman"/>
          <w:color w:val="auto"/>
          <w:u w:val="none"/>
        </w:rPr>
        <w:t>危险化学品泄漏风险防范措施</w:t>
      </w:r>
    </w:p>
    <w:p w14:paraId="140E3ED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原辅材料使用情况可知，原料涉及强酸（硫酸）、强碱、铝中性脱脂剂、酸性脱脂剂、化抛添加剂、无氮中和剂、润滑油等多种危险化学品，均由有资质单位运输入厂，贮存于厂区危险化学品库。为降低危化品</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环境风险概率，应采取如下防范措施：</w:t>
      </w:r>
    </w:p>
    <w:p w14:paraId="023FE1C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（1）一般危化品泄漏风险防范措施</w:t>
      </w:r>
    </w:p>
    <w:p w14:paraId="36625A2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①生产厂房设置了储罐系统，其地面、墙角（至少10cm）等采取防腐、防渗措施；各危险化学品室内分区存放。</w:t>
      </w:r>
    </w:p>
    <w:p w14:paraId="191BFDB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②一般危化品周围地面采取硬化防渗措施及托盘、截流沟、事故池，危化品应配备必要的应急物资，确保一旦发生事故，应有充分的应急能力，以遏制事故的扩大，减少对环境可能带来的危害。</w:t>
      </w:r>
    </w:p>
    <w:p w14:paraId="6BE6BB2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③加强设备管理维护以及人员安全素质培训。</w:t>
      </w:r>
    </w:p>
    <w:p w14:paraId="3CA3E1C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④建设方应制定严格的操作规程，加强安全监督和管理，提高职工的安全意识和环保意识，保证生产系统的安全性，防止事故的发生。</w:t>
      </w:r>
    </w:p>
    <w:p w14:paraId="4DC5A17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⑤对危险化学品库管理工作人员必须进行专门培训，工作人员必须熟练掌握设备的操作流程，并具备一定的应急处置能力。</w:t>
      </w:r>
    </w:p>
    <w:p w14:paraId="296748F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⑥密闭操作，严防泄漏，工作场所全面通风，远离火种、热源，工作场所严禁吸烟。</w:t>
      </w:r>
    </w:p>
    <w:p w14:paraId="7392405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（2）硫酸泄漏风险防范措施</w:t>
      </w:r>
    </w:p>
    <w:p w14:paraId="55C1B8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①储罐区采取防腐、防渗设计建设，各类危化品分区存放。</w:t>
      </w:r>
    </w:p>
    <w:p w14:paraId="269FE42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②各储罐（容积3m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）设置防腐、防渗围堰，尺寸均为1.2m×1.2m×2.5m。</w:t>
      </w:r>
    </w:p>
    <w:p w14:paraId="30BA78F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③储罐区周围地面采取硬化防渗措施及围堰，储罐区应配备必要的应急物资，确保一旦发生事故，应有充分的应急能力，以遏制事故的扩大，减少对环境可能带来的危害</w:t>
      </w:r>
    </w:p>
    <w:p w14:paraId="6E750F7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④加强设备管理维护以及人员安全素质培训。</w:t>
      </w:r>
    </w:p>
    <w:p w14:paraId="08D6D4B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⑤建设方应制定严格的操作规程，加强安全监督和管理，提高职工的安全意识和环保意识，保证生产系统的安全性，防止事故的发生。</w:t>
      </w:r>
    </w:p>
    <w:p w14:paraId="1749915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⑥对危险化学品库管理工作人员必须进行专门培训，工作人员必须熟练掌握设备的操作流程，并具备一定的应急处置能力。</w:t>
      </w:r>
    </w:p>
    <w:p w14:paraId="03D6A94F">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环境风险应急预案</w:t>
      </w:r>
    </w:p>
    <w:p w14:paraId="411F03FE">
      <w:pPr>
        <w:pStyle w:val="6"/>
        <w:ind w:firstLine="480"/>
        <w:rPr>
          <w:rFonts w:hint="default" w:ascii="Times New Roman" w:hAnsi="Times New Roman" w:cs="Times New Roman"/>
          <w:color w:val="auto"/>
          <w:u w:val="none"/>
        </w:rPr>
      </w:pPr>
      <w:bookmarkStart w:id="147" w:name="7.10.1_本项目应急预案的编制"/>
      <w:bookmarkEnd w:id="147"/>
      <w:r>
        <w:rPr>
          <w:rFonts w:hint="default" w:ascii="Times New Roman" w:hAnsi="Times New Roman" w:cs="Times New Roman"/>
          <w:color w:val="auto"/>
          <w:u w:val="none"/>
        </w:rPr>
        <w:t>本项目应急预案的编制</w:t>
      </w:r>
    </w:p>
    <w:p w14:paraId="2324CF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（1）本项目应急预案主要内容</w:t>
      </w:r>
    </w:p>
    <w:p w14:paraId="2CCF8BD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①明确组织指挥机构，包括应急领导和指挥机构、日常管理机构的人员组成和人员的职责分工，并应建立通畅有效的通讯网络；</w:t>
      </w:r>
    </w:p>
    <w:p w14:paraId="075D64B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②预警和预防机制，建立突发事故预警制度，明确预警级别、预警方式；</w:t>
      </w:r>
    </w:p>
    <w:p w14:paraId="75F54DD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③制定突发事故的应急响应程序，包括事故的报警、应急反应等级的确定、应急反应启动、紧急救援行动的开展、事故调查以及事故索赔等应急环节；</w:t>
      </w:r>
    </w:p>
    <w:p w14:paraId="50A8119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④应急保障，包括应急反应设备、应急队伍、物资及后勤、经费保障等应急支援与装备保障，技术储备与保障，还应建立培训和演习的相关制度；</w:t>
      </w:r>
    </w:p>
    <w:p w14:paraId="4A163DA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⑤附图附件（应急通讯联络表、敏感资源分布、人员急救方式等）。</w:t>
      </w:r>
    </w:p>
    <w:p w14:paraId="5FE8E48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（2）应急预案的落实要点</w:t>
      </w:r>
    </w:p>
    <w:p w14:paraId="3FBBE35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①建立健全应急反应的组织指挥系统</w:t>
      </w:r>
    </w:p>
    <w:p w14:paraId="0F1F538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为确保应急反应的有序、高效，应根据项目自身特点建立应急反应的组织指挥系统，并明确不同级别污染事故应急组织指挥人员组成、人员职责及其有效联系方式。</w:t>
      </w:r>
    </w:p>
    <w:p w14:paraId="79C4F1F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②应急反应设施、设备的配备</w:t>
      </w:r>
    </w:p>
    <w:p w14:paraId="6D55135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配备能应对厂区发生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污染事故的应急设备、器材和设施。</w:t>
      </w:r>
    </w:p>
    <w:p w14:paraId="2EF6053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③应急防治队伍及演习</w:t>
      </w:r>
    </w:p>
    <w:p w14:paraId="3F391A3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除依靠当地环保管理机构的应急防治力量外，可考虑充分利用园区工作人员、消防人员共同参与形成应急防治队伍。对应急救援及清污队伍制订定期强化培训和演练计划，加强了解应急防治操作规程，掌握应急防治设备器材的操作使用，一旦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事故，应急队伍能迅速投入应急反应活动，从而增强应对突发性</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事故的处置能力。</w:t>
      </w:r>
    </w:p>
    <w:p w14:paraId="6C45F33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④应急通讯联络</w:t>
      </w:r>
    </w:p>
    <w:p w14:paraId="198501B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为确保工程运营期厂区突发性</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污染事故的报告、报警和通报，以及应急反应各种信息能及时、准确、可靠的传输，必须建立通畅有效、快速灵敏的报警系统和指挥通讯网络，包括湖南城陵矶临港产业新区管理部门应急反应指挥系统、周围附近企业的联络。</w:t>
      </w:r>
    </w:p>
    <w:p w14:paraId="5929F04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⑤与政府级相关应急预案的衔接</w:t>
      </w:r>
    </w:p>
    <w:p w14:paraId="62C1E00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预案的编制过程中应充分考虑与湖南省、岳阳市、湖南城陵矶临港产业新区各类事故应急预案的衔接，建立区域应急联动机制。</w:t>
      </w:r>
    </w:p>
    <w:p w14:paraId="1777D727">
      <w:pPr>
        <w:pStyle w:val="6"/>
        <w:ind w:firstLine="480"/>
        <w:rPr>
          <w:rFonts w:hint="default" w:ascii="Times New Roman" w:hAnsi="Times New Roman" w:cs="Times New Roman"/>
          <w:color w:val="auto"/>
          <w:u w:val="none"/>
        </w:rPr>
      </w:pPr>
      <w:bookmarkStart w:id="148" w:name="7.10.2_应急预案联动机制"/>
      <w:bookmarkEnd w:id="148"/>
      <w:r>
        <w:rPr>
          <w:rFonts w:hint="default" w:ascii="Times New Roman" w:hAnsi="Times New Roman" w:cs="Times New Roman"/>
          <w:color w:val="auto"/>
          <w:u w:val="none"/>
        </w:rPr>
        <w:t>应急预案联动机制</w:t>
      </w:r>
    </w:p>
    <w:p w14:paraId="125E5F5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本项目事故应急反应措施应在以下几个方面做好工作：</w:t>
      </w:r>
    </w:p>
    <w:p w14:paraId="5B9C9E4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①建立健全应急反应的组织指挥系统</w:t>
      </w:r>
    </w:p>
    <w:p w14:paraId="092B0C1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为确保应急反应的有序、高效，应根据项目自身特点建立应急反应的组织指挥系统，并明确不同级别污染事故应急组织指挥人员组成、人员职责及其有效联系方式。</w:t>
      </w:r>
    </w:p>
    <w:p w14:paraId="20D672F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②应急反应设施、设备的配备</w:t>
      </w:r>
    </w:p>
    <w:p w14:paraId="387B71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按照环保管理部门的要求，与园区区相关作业单位签订相关协议，保证应急资源的有效利用。</w:t>
      </w:r>
    </w:p>
    <w:p w14:paraId="4749A33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③应急防治队伍及演习</w:t>
      </w:r>
    </w:p>
    <w:p w14:paraId="2ACAD09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本项目的特点，为减少人员及日常开支，除充分依靠厂区现有的应急力量外，可考虑充分利用园区工作人员、消防人员共同参与形成应急防治队伍。对应急救援及清污队伍作定期强化培训和演练的计划，加强了解应急防治操作规程，掌握应急防治设备器材的操作使用，一旦发生应急事故，防治队伍能迅速投入防治活动，从而增强应付突发性事故的处置能力。</w:t>
      </w:r>
    </w:p>
    <w:p w14:paraId="32B39EA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④应急通信联络</w:t>
      </w:r>
    </w:p>
    <w:p w14:paraId="47FEA0F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为确保本工程运营期突发性</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污染事故的报告、报警和通报，以及应急反应各种信息能及时、准确、可靠的传输，必须建立通畅有效、快速灵敏的报警系统和指挥通讯网络，包括与环保管理部门应急反应指挥系统、周围附近企业的联络，因为往往在应急反应过程中，能否及时对事故进行通报是决定整个反应过程和消除污染效果成败的关键。</w:t>
      </w:r>
    </w:p>
    <w:p w14:paraId="553128D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⑤与各应急力量联动、应急资源共享</w:t>
      </w:r>
    </w:p>
    <w:p w14:paraId="5CE9C68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企业应急资源充分利用厂区已有应急资源，一旦本工程发生</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事故，应当优先调用就近应急资源对污染物进行处理，必要时应上报环保部门，由环保管理部门统一指挥应急行动。</w:t>
      </w:r>
    </w:p>
    <w:p w14:paraId="4C2089C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⑥与政府级相关应急预案的衔接</w:t>
      </w:r>
    </w:p>
    <w:p w14:paraId="1D0BE9E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本项目应急预案的编制过程中应充分考虑与临港新区事故应急预案的衔接，将本项目的</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应急反应体系纳入临港新区事故应急体系，建立区域应急联动机制。</w:t>
      </w:r>
    </w:p>
    <w:p w14:paraId="0949855A">
      <w:pPr>
        <w:pStyle w:val="5"/>
        <w:rPr>
          <w:rFonts w:hint="default" w:ascii="Times New Roman" w:hAnsi="Times New Roman" w:cs="Times New Roman"/>
          <w:color w:val="auto"/>
          <w:u w:val="none"/>
        </w:rPr>
      </w:pPr>
      <w:bookmarkStart w:id="149" w:name="_bookmark41"/>
      <w:bookmarkEnd w:id="149"/>
      <w:bookmarkStart w:id="150" w:name="7.11_风险评价小结"/>
      <w:bookmarkEnd w:id="150"/>
      <w:r>
        <w:rPr>
          <w:rFonts w:hint="default" w:ascii="Times New Roman" w:hAnsi="Times New Roman" w:cs="Times New Roman"/>
          <w:color w:val="auto"/>
          <w:u w:val="none"/>
        </w:rPr>
        <w:t>风险评价小结</w:t>
      </w:r>
    </w:p>
    <w:p w14:paraId="0BFF168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项目风险分析，本项目潜在的风险为化学品泄漏，进而导致的火灾或爆炸。企业应严格执行安全生产制度，严格管理，提高操作人员的素质和水平，同时制定有效的应急方案，使事故发生后对环境的影响减少到最低程度。项目风险事故</w:t>
      </w:r>
      <w:r>
        <w:rPr>
          <w:rFonts w:hint="eastAsia" w:ascii="Times New Roman" w:hAnsi="Times New Roman" w:cs="Times New Roman"/>
          <w:color w:val="auto"/>
          <w:u w:val="none"/>
          <w:lang w:val="en-US" w:eastAsia="zh-CN"/>
        </w:rPr>
        <w:t>硫酸</w:t>
      </w:r>
      <w:r>
        <w:rPr>
          <w:rFonts w:hint="eastAsia" w:ascii="Times New Roman" w:hAnsi="Times New Roman" w:cs="Times New Roman"/>
          <w:color w:val="auto"/>
          <w:u w:val="none"/>
          <w:lang w:eastAsia="zh-CN"/>
        </w:rPr>
        <w:t>泄漏</w:t>
      </w:r>
      <w:r>
        <w:rPr>
          <w:rFonts w:hint="default" w:ascii="Times New Roman" w:hAnsi="Times New Roman" w:cs="Times New Roman"/>
          <w:color w:val="auto"/>
          <w:u w:val="none"/>
        </w:rPr>
        <w:t>事故及</w:t>
      </w:r>
      <w:r>
        <w:rPr>
          <w:rFonts w:hint="default" w:ascii="Times New Roman" w:hAnsi="Times New Roman" w:cs="Times New Roman"/>
          <w:color w:val="auto"/>
          <w:u w:val="none"/>
          <w:lang w:val="en-US" w:eastAsia="zh-CN"/>
        </w:rPr>
        <w:t>易燃化学品</w:t>
      </w:r>
      <w:r>
        <w:rPr>
          <w:rFonts w:hint="default" w:ascii="Times New Roman" w:hAnsi="Times New Roman" w:cs="Times New Roman"/>
          <w:color w:val="auto"/>
          <w:u w:val="none"/>
        </w:rPr>
        <w:t>泄漏被点燃发生闪火事故，在环境中扩散影响范围较小，对环境影响可以接受。</w:t>
      </w:r>
    </w:p>
    <w:p w14:paraId="408AB88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因此，建设单位在按照本报告书的要求，做好各项风险的预防和应急措施的前提下，所产生的环境风险可以控制在可接受风险水平之内。</w:t>
      </w:r>
    </w:p>
    <w:p w14:paraId="521C17C0">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表6.3-</w:t>
      </w:r>
      <w:r>
        <w:rPr>
          <w:rFonts w:hint="eastAsia" w:cs="Times New Roman"/>
          <w:b/>
          <w:bCs/>
          <w:color w:val="auto"/>
          <w:u w:val="none"/>
          <w:lang w:val="en-US" w:eastAsia="zh-CN"/>
        </w:rPr>
        <w:t xml:space="preserve">20  </w:t>
      </w:r>
      <w:r>
        <w:rPr>
          <w:rFonts w:hint="default" w:ascii="Times New Roman" w:hAnsi="Times New Roman" w:cs="Times New Roman"/>
          <w:b/>
          <w:bCs/>
          <w:color w:val="auto"/>
          <w:u w:val="none"/>
        </w:rPr>
        <w:t>建设项目环境风险简单分析内容表</w:t>
      </w:r>
    </w:p>
    <w:tbl>
      <w:tblPr>
        <w:tblStyle w:val="30"/>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117"/>
        <w:gridCol w:w="1065"/>
        <w:gridCol w:w="1373"/>
        <w:gridCol w:w="1557"/>
        <w:gridCol w:w="448"/>
        <w:gridCol w:w="957"/>
      </w:tblGrid>
      <w:tr w14:paraId="18AC69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pct"/>
            <w:tcBorders>
              <w:tl2br w:val="nil"/>
              <w:tr2bl w:val="nil"/>
            </w:tcBorders>
            <w:vAlign w:val="center"/>
          </w:tcPr>
          <w:p w14:paraId="0950DBE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b/>
                <w:bCs/>
                <w:color w:val="auto"/>
                <w:sz w:val="21"/>
                <w:szCs w:val="21"/>
                <w:u w:val="none"/>
              </w:rPr>
            </w:pPr>
            <w:r>
              <w:rPr>
                <w:rFonts w:hint="default" w:ascii="Times New Roman" w:hAnsi="Times New Roman" w:cs="Times New Roman"/>
                <w:b/>
                <w:bCs/>
                <w:color w:val="auto"/>
                <w:sz w:val="21"/>
                <w:szCs w:val="21"/>
                <w:u w:val="none"/>
              </w:rPr>
              <w:t>建设项目名称</w:t>
            </w:r>
          </w:p>
        </w:tc>
        <w:tc>
          <w:tcPr>
            <w:tcW w:w="3169" w:type="pct"/>
            <w:gridSpan w:val="5"/>
            <w:tcBorders>
              <w:tl2br w:val="nil"/>
              <w:tr2bl w:val="nil"/>
            </w:tcBorders>
            <w:vAlign w:val="center"/>
          </w:tcPr>
          <w:p w14:paraId="72B7833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eastAsia" w:ascii="Times New Roman" w:hAnsi="Times New Roman" w:eastAsia="宋体" w:cs="Times New Roman"/>
                <w:b/>
                <w:bCs/>
                <w:color w:val="auto"/>
                <w:sz w:val="21"/>
                <w:szCs w:val="21"/>
                <w:u w:val="none"/>
                <w:lang w:eastAsia="zh-CN"/>
              </w:rPr>
            </w:pPr>
            <w:r>
              <w:rPr>
                <w:rFonts w:hint="eastAsia" w:cs="Times New Roman"/>
                <w:b/>
                <w:bCs/>
                <w:color w:val="auto"/>
                <w:sz w:val="21"/>
                <w:szCs w:val="21"/>
                <w:u w:val="none"/>
                <w:lang w:eastAsia="zh-CN"/>
              </w:rPr>
              <w:t>年产120万件铝合金零部件生产线项目</w:t>
            </w:r>
          </w:p>
        </w:tc>
      </w:tr>
      <w:tr w14:paraId="4774B5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pct"/>
            <w:tcBorders>
              <w:tl2br w:val="nil"/>
              <w:tr2bl w:val="nil"/>
            </w:tcBorders>
            <w:vAlign w:val="center"/>
          </w:tcPr>
          <w:p w14:paraId="3674351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建设地点</w:t>
            </w:r>
          </w:p>
        </w:tc>
        <w:tc>
          <w:tcPr>
            <w:tcW w:w="625" w:type="pct"/>
            <w:tcBorders>
              <w:tl2br w:val="nil"/>
              <w:tr2bl w:val="nil"/>
            </w:tcBorders>
            <w:vAlign w:val="center"/>
          </w:tcPr>
          <w:p w14:paraId="060ED993">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湖南省</w:t>
            </w:r>
          </w:p>
        </w:tc>
        <w:tc>
          <w:tcPr>
            <w:tcW w:w="806" w:type="pct"/>
            <w:tcBorders>
              <w:tl2br w:val="nil"/>
              <w:tr2bl w:val="nil"/>
            </w:tcBorders>
            <w:vAlign w:val="center"/>
          </w:tcPr>
          <w:p w14:paraId="12EFB46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岳阳市</w:t>
            </w:r>
          </w:p>
        </w:tc>
        <w:tc>
          <w:tcPr>
            <w:tcW w:w="914" w:type="pct"/>
            <w:tcBorders>
              <w:tl2br w:val="nil"/>
              <w:tr2bl w:val="nil"/>
            </w:tcBorders>
            <w:vAlign w:val="center"/>
          </w:tcPr>
          <w:p w14:paraId="0B3C7635">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临港高新技术产业开发区</w:t>
            </w:r>
          </w:p>
        </w:tc>
        <w:tc>
          <w:tcPr>
            <w:tcW w:w="263" w:type="pct"/>
            <w:tcBorders>
              <w:tl2br w:val="nil"/>
              <w:tr2bl w:val="nil"/>
            </w:tcBorders>
            <w:vAlign w:val="center"/>
          </w:tcPr>
          <w:p w14:paraId="76D966E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c>
          <w:tcPr>
            <w:tcW w:w="560" w:type="pct"/>
            <w:tcBorders>
              <w:tl2br w:val="nil"/>
              <w:tr2bl w:val="nil"/>
            </w:tcBorders>
            <w:vAlign w:val="center"/>
          </w:tcPr>
          <w:p w14:paraId="670490EC">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w:t>
            </w:r>
          </w:p>
        </w:tc>
      </w:tr>
      <w:tr w14:paraId="333524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pct"/>
            <w:tcBorders>
              <w:tl2br w:val="nil"/>
              <w:tr2bl w:val="nil"/>
            </w:tcBorders>
            <w:vAlign w:val="center"/>
          </w:tcPr>
          <w:p w14:paraId="783BF0C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地理坐标</w:t>
            </w:r>
          </w:p>
        </w:tc>
        <w:tc>
          <w:tcPr>
            <w:tcW w:w="625" w:type="pct"/>
            <w:tcBorders>
              <w:tl2br w:val="nil"/>
              <w:tr2bl w:val="nil"/>
            </w:tcBorders>
            <w:vAlign w:val="center"/>
          </w:tcPr>
          <w:p w14:paraId="4642F6C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经度</w:t>
            </w:r>
          </w:p>
        </w:tc>
        <w:tc>
          <w:tcPr>
            <w:tcW w:w="806" w:type="pct"/>
            <w:tcBorders>
              <w:tl2br w:val="nil"/>
              <w:tr2bl w:val="nil"/>
            </w:tcBorders>
            <w:vAlign w:val="center"/>
          </w:tcPr>
          <w:p w14:paraId="3BAFD5BB">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eastAsia="宋体" w:cs="Times New Roman"/>
                <w:color w:val="auto"/>
                <w:sz w:val="21"/>
                <w:szCs w:val="21"/>
                <w:u w:val="none"/>
                <w:lang w:val="en-US" w:eastAsia="zh-CN"/>
              </w:rPr>
            </w:pPr>
            <w:r>
              <w:rPr>
                <w:rFonts w:hint="eastAsia" w:eastAsia="宋体" w:cs="Times New Roman"/>
                <w:color w:val="auto"/>
                <w:sz w:val="21"/>
                <w:szCs w:val="21"/>
                <w:u w:val="none"/>
                <w:lang w:val="en-US" w:eastAsia="zh-CN"/>
              </w:rPr>
              <w:t>113.185449</w:t>
            </w:r>
          </w:p>
        </w:tc>
        <w:tc>
          <w:tcPr>
            <w:tcW w:w="914" w:type="pct"/>
            <w:tcBorders>
              <w:tl2br w:val="nil"/>
              <w:tr2bl w:val="nil"/>
            </w:tcBorders>
            <w:vAlign w:val="center"/>
          </w:tcPr>
          <w:p w14:paraId="52946F1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纬度</w:t>
            </w:r>
          </w:p>
        </w:tc>
        <w:tc>
          <w:tcPr>
            <w:tcW w:w="823" w:type="pct"/>
            <w:gridSpan w:val="2"/>
            <w:tcBorders>
              <w:tl2br w:val="nil"/>
              <w:tr2bl w:val="nil"/>
            </w:tcBorders>
            <w:vAlign w:val="center"/>
          </w:tcPr>
          <w:p w14:paraId="56E90E4E">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eastAsia="宋体" w:cs="Times New Roman"/>
                <w:color w:val="auto"/>
                <w:sz w:val="21"/>
                <w:szCs w:val="21"/>
                <w:u w:val="none"/>
                <w:lang w:val="en-US" w:eastAsia="zh-CN"/>
              </w:rPr>
            </w:pPr>
            <w:r>
              <w:rPr>
                <w:rFonts w:hint="eastAsia" w:eastAsia="宋体" w:cs="Times New Roman"/>
                <w:color w:val="auto"/>
                <w:sz w:val="21"/>
                <w:szCs w:val="21"/>
                <w:u w:val="none"/>
                <w:lang w:val="en-US" w:eastAsia="zh-CN"/>
              </w:rPr>
              <w:t>29.4618264</w:t>
            </w:r>
          </w:p>
        </w:tc>
      </w:tr>
      <w:tr w14:paraId="1E4362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pct"/>
            <w:tcBorders>
              <w:tl2br w:val="nil"/>
              <w:tr2bl w:val="nil"/>
            </w:tcBorders>
            <w:vAlign w:val="center"/>
          </w:tcPr>
          <w:p w14:paraId="43168B02">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主要危险物质及分布</w:t>
            </w:r>
          </w:p>
        </w:tc>
        <w:tc>
          <w:tcPr>
            <w:tcW w:w="3169" w:type="pct"/>
            <w:gridSpan w:val="5"/>
            <w:tcBorders>
              <w:tl2br w:val="nil"/>
              <w:tr2bl w:val="nil"/>
            </w:tcBorders>
            <w:vAlign w:val="center"/>
          </w:tcPr>
          <w:p w14:paraId="6E41893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项目主要危险物质为硫酸</w:t>
            </w:r>
            <w:r>
              <w:rPr>
                <w:rFonts w:hint="eastAsia" w:cs="Times New Roman"/>
                <w:color w:val="auto"/>
                <w:sz w:val="21"/>
                <w:szCs w:val="21"/>
                <w:u w:val="none"/>
                <w:lang w:eastAsia="zh-CN"/>
              </w:rPr>
              <w:t>、</w:t>
            </w:r>
            <w:r>
              <w:rPr>
                <w:rFonts w:hint="eastAsia" w:cs="Times New Roman"/>
                <w:color w:val="auto"/>
                <w:sz w:val="21"/>
                <w:szCs w:val="21"/>
                <w:u w:val="none"/>
                <w:lang w:val="en-US" w:eastAsia="zh-CN"/>
              </w:rPr>
              <w:t>硝酸</w:t>
            </w:r>
            <w:r>
              <w:rPr>
                <w:rFonts w:hint="default" w:ascii="Times New Roman" w:hAnsi="Times New Roman" w:cs="Times New Roman"/>
                <w:color w:val="auto"/>
                <w:sz w:val="21"/>
                <w:szCs w:val="21"/>
                <w:u w:val="none"/>
              </w:rPr>
              <w:t>、含铬染料、储存在危化品库；危废暂存于危废暂存间。</w:t>
            </w:r>
          </w:p>
        </w:tc>
      </w:tr>
      <w:tr w14:paraId="044FC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pct"/>
            <w:tcBorders>
              <w:tl2br w:val="nil"/>
              <w:tr2bl w:val="nil"/>
            </w:tcBorders>
            <w:vAlign w:val="center"/>
          </w:tcPr>
          <w:p w14:paraId="63911A0F">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环境影响途径及危害后果</w:t>
            </w:r>
          </w:p>
        </w:tc>
        <w:tc>
          <w:tcPr>
            <w:tcW w:w="3169" w:type="pct"/>
            <w:gridSpan w:val="5"/>
            <w:tcBorders>
              <w:tl2br w:val="nil"/>
              <w:tr2bl w:val="nil"/>
            </w:tcBorders>
            <w:vAlign w:val="center"/>
          </w:tcPr>
          <w:p w14:paraId="390989C8">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如发生</w:t>
            </w:r>
            <w:r>
              <w:rPr>
                <w:rFonts w:hint="eastAsia" w:cs="Times New Roman"/>
                <w:color w:val="auto"/>
                <w:sz w:val="21"/>
                <w:szCs w:val="21"/>
                <w:u w:val="none"/>
                <w:lang w:eastAsia="zh-CN"/>
              </w:rPr>
              <w:t>泄漏</w:t>
            </w:r>
            <w:r>
              <w:rPr>
                <w:rFonts w:hint="default" w:ascii="Times New Roman" w:hAnsi="Times New Roman" w:cs="Times New Roman"/>
                <w:color w:val="auto"/>
                <w:sz w:val="21"/>
                <w:szCs w:val="21"/>
                <w:u w:val="none"/>
              </w:rPr>
              <w:t>，危化品会顺着地面蔓延至排水沟，最终排入外环境；遇明火可导致火灾；废气处理设施失效导致废气污染周边环境、废水处理设施失效导致废水污染周边环境；</w:t>
            </w:r>
          </w:p>
        </w:tc>
      </w:tr>
      <w:tr w14:paraId="5F7208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30" w:type="pct"/>
            <w:tcBorders>
              <w:tl2br w:val="nil"/>
              <w:tr2bl w:val="nil"/>
            </w:tcBorders>
            <w:vAlign w:val="center"/>
          </w:tcPr>
          <w:p w14:paraId="06CD9C21">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风险防范措施及要求</w:t>
            </w:r>
          </w:p>
        </w:tc>
        <w:tc>
          <w:tcPr>
            <w:tcW w:w="3169" w:type="pct"/>
            <w:gridSpan w:val="5"/>
            <w:tcBorders>
              <w:tl2br w:val="nil"/>
              <w:tr2bl w:val="nil"/>
            </w:tcBorders>
            <w:vAlign w:val="center"/>
          </w:tcPr>
          <w:p w14:paraId="3EFAD5F7">
            <w:pPr>
              <w:pStyle w:val="41"/>
              <w:keepNext w:val="0"/>
              <w:keepLines w:val="0"/>
              <w:pageBreakBefore w:val="0"/>
              <w:widowControl/>
              <w:kinsoku/>
              <w:wordWrap/>
              <w:overflowPunct/>
              <w:topLinePunct w:val="0"/>
              <w:autoSpaceDE/>
              <w:autoSpaceDN/>
              <w:bidi w:val="0"/>
              <w:adjustRightInd/>
              <w:snapToGrid/>
              <w:spacing w:line="240" w:lineRule="auto"/>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1）认真执行《危险化学品装卸作业一般安全守则》，建立可操作的安全管理制度，有专职人员负责安全消防工作；2）配备消防设备和消防器材，一切消防器材不准动乱用，并要定期检查；3）各种设备要做到定员、定岗、定机管理，对有特殊要求的设备，操作人员必须经过岗位训，并持有操作证方可上岗；4）作业前，要检查确认所有设备设施及环境处于安全工作状态。发生火灾时用铁铲或水桶将砂子散开，覆盖火焰，使其熄灭；5）相关人员应认真巡视检查。严防跑、冒、滴、漏、凝管等情况发生；6）设置规范危化品仓库、危废暂存间；7）雨水排口设置切换阀。</w:t>
            </w:r>
          </w:p>
        </w:tc>
      </w:tr>
      <w:tr w14:paraId="7A95E5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14:paraId="258ABC34">
            <w:pPr>
              <w:pStyle w:val="41"/>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color w:val="auto"/>
                <w:sz w:val="21"/>
                <w:szCs w:val="21"/>
                <w:u w:val="none"/>
              </w:rPr>
            </w:pPr>
            <w:r>
              <w:rPr>
                <w:rFonts w:hint="default" w:ascii="Times New Roman" w:hAnsi="Times New Roman" w:cs="Times New Roman"/>
                <w:color w:val="auto"/>
                <w:sz w:val="21"/>
                <w:szCs w:val="21"/>
                <w:u w:val="none"/>
              </w:rPr>
              <w:t>填表说明（列出项目相关信息及评价说明）：①风险物质识别：依据《危险化学品名录》（2018版）、《建设项目环境风险评价技术导则》（HJ 169-2018）附录B.1中表1“物质危险性标准”、《企业突发环境事件风险分级方法》（HJ 941-2018）附录A中“化学物质及临界量清单”和《危险化学品重大危险源辨识》（GB 18218-2018）；②Q值：项目Q＜1。根据《建设项目环境风险评价技术导则》（HJ 169-2018）附录C.1.1中规定，当Q＜1时，该项目环境风险潜势为Ⅰ。</w:t>
            </w:r>
          </w:p>
        </w:tc>
      </w:tr>
    </w:tbl>
    <w:p w14:paraId="419C96BA">
      <w:pPr>
        <w:pStyle w:val="4"/>
        <w:ind w:left="0" w:leftChars="0" w:firstLineChars="0"/>
        <w:rPr>
          <w:rFonts w:hint="default" w:ascii="Times New Roman" w:hAnsi="Times New Roman" w:cs="Times New Roman"/>
          <w:color w:val="auto"/>
          <w:u w:val="none"/>
        </w:rPr>
      </w:pPr>
      <w:bookmarkStart w:id="151" w:name="_Toc17540"/>
      <w:r>
        <w:rPr>
          <w:rFonts w:hint="default" w:ascii="Times New Roman" w:hAnsi="Times New Roman" w:cs="Times New Roman"/>
          <w:color w:val="auto"/>
          <w:u w:val="none"/>
        </w:rPr>
        <w:t>总量控制指标</w:t>
      </w:r>
      <w:bookmarkEnd w:id="151"/>
    </w:p>
    <w:p w14:paraId="5C5D239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根据本项目产污环节，参照国家十三·五期间全国主要污染物排放总量控制计划，本项目外排污染物中涉及到国家“十三·五”总量控制指标范围内的污染物为COD、NH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-N、NO</w:t>
      </w:r>
      <w:r>
        <w:rPr>
          <w:rFonts w:hint="default" w:ascii="Times New Roman" w:hAnsi="Times New Roman" w:cs="Times New Roman"/>
          <w:color w:val="auto"/>
          <w:u w:val="none"/>
          <w:vertAlign w:val="subscript"/>
        </w:rPr>
        <w:t>X</w:t>
      </w:r>
      <w:r>
        <w:rPr>
          <w:rFonts w:hint="default" w:ascii="Times New Roman" w:hAnsi="Times New Roman" w:cs="Times New Roman"/>
          <w:color w:val="auto"/>
          <w:u w:val="none"/>
        </w:rPr>
        <w:t>、VOC</w:t>
      </w:r>
      <w:r>
        <w:rPr>
          <w:rFonts w:hint="default" w:ascii="Times New Roman" w:hAnsi="Times New Roman" w:cs="Times New Roman"/>
          <w:color w:val="auto"/>
          <w:u w:val="none"/>
          <w:vertAlign w:val="subscript"/>
        </w:rPr>
        <w:t>S</w:t>
      </w:r>
      <w:r>
        <w:rPr>
          <w:rFonts w:hint="default" w:ascii="Times New Roman" w:hAnsi="Times New Roman" w:cs="Times New Roman"/>
          <w:color w:val="auto"/>
          <w:u w:val="none"/>
        </w:rPr>
        <w:t>。</w:t>
      </w:r>
    </w:p>
    <w:p w14:paraId="0C8B50A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1、水污染物</w:t>
      </w:r>
    </w:p>
    <w:p w14:paraId="2E86969F">
      <w:pPr>
        <w:rPr>
          <w:rFonts w:hint="default" w:ascii="Times New Roman" w:hAnsi="Times New Roman" w:cs="Times New Roman"/>
          <w:color w:val="auto"/>
          <w:u w:val="none"/>
          <w:lang w:eastAsia="zh-CN"/>
        </w:rPr>
      </w:pPr>
      <w:r>
        <w:rPr>
          <w:rFonts w:hint="default" w:ascii="Times New Roman" w:hAnsi="Times New Roman" w:cs="Times New Roman"/>
          <w:color w:val="auto"/>
          <w:u w:val="none"/>
        </w:rPr>
        <w:t>本项目项目废水为生活污水和生产废水</w:t>
      </w:r>
      <w:r>
        <w:rPr>
          <w:rFonts w:hint="default" w:ascii="Times New Roman" w:hAnsi="Times New Roman" w:cs="Times New Roman"/>
          <w:color w:val="auto"/>
          <w:u w:val="none"/>
          <w:lang w:eastAsia="zh-CN"/>
        </w:rPr>
        <w:t>。</w:t>
      </w:r>
    </w:p>
    <w:p w14:paraId="6650D890">
      <w:pPr>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生活污水产生量为</w:t>
      </w:r>
      <w:r>
        <w:rPr>
          <w:rFonts w:hint="eastAsia" w:ascii="Times New Roman" w:hAnsi="Times New Roman" w:cs="Times New Roman"/>
          <w:color w:val="auto"/>
          <w:u w:val="none"/>
          <w:lang w:val="en-US" w:eastAsia="zh-CN"/>
        </w:rPr>
        <w:t>228</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/a，</w:t>
      </w:r>
      <w:r>
        <w:rPr>
          <w:rFonts w:hint="default" w:ascii="Times New Roman" w:hAnsi="Times New Roman" w:cs="Times New Roman"/>
          <w:color w:val="auto"/>
          <w:u w:val="none"/>
          <w:lang w:val="en-US" w:eastAsia="zh-CN"/>
        </w:rPr>
        <w:t>经化粪池处理达标后经厂区生活污水排放口（DW001）排入</w:t>
      </w:r>
      <w:r>
        <w:rPr>
          <w:rFonts w:hint="default" w:ascii="Times New Roman" w:hAnsi="Times New Roman" w:cs="Times New Roman"/>
          <w:color w:val="auto"/>
          <w:u w:val="none"/>
        </w:rPr>
        <w:t>市政污水管网排入城陵矶临港产业新区污水处理厂处理后，达标排放</w:t>
      </w:r>
      <w:r>
        <w:rPr>
          <w:rFonts w:hint="default" w:ascii="Times New Roman" w:hAnsi="Times New Roman" w:cs="Times New Roman"/>
          <w:color w:val="auto"/>
          <w:u w:val="none"/>
          <w:lang w:eastAsia="zh-CN"/>
        </w:rPr>
        <w:t>。</w:t>
      </w:r>
    </w:p>
    <w:p w14:paraId="2BF24AD3">
      <w:pPr>
        <w:ind w:firstLine="480"/>
        <w:rPr>
          <w:rFonts w:hint="default" w:ascii="Times New Roman" w:hAnsi="Times New Roman" w:cs="Times New Roman"/>
          <w:color w:val="auto"/>
          <w:u w:val="none"/>
        </w:rPr>
      </w:pPr>
      <w:r>
        <w:rPr>
          <w:rFonts w:hint="default" w:ascii="Times New Roman" w:hAnsi="Times New Roman" w:cs="Times New Roman"/>
          <w:color w:val="auto"/>
          <w:kern w:val="0"/>
          <w:u w:val="none"/>
        </w:rPr>
        <w:t>本项目外排废水生产废水量为</w:t>
      </w:r>
      <w:r>
        <w:rPr>
          <w:rFonts w:hint="eastAsia" w:ascii="Times New Roman" w:hAnsi="Times New Roman" w:cs="Times New Roman"/>
          <w:color w:val="auto"/>
          <w:kern w:val="0"/>
          <w:u w:val="none"/>
          <w:lang w:val="en-US" w:eastAsia="zh-CN"/>
        </w:rPr>
        <w:t>13515.914m</w:t>
      </w:r>
      <w:r>
        <w:rPr>
          <w:rFonts w:hint="default" w:ascii="Times New Roman" w:hAnsi="Times New Roman" w:cs="Times New Roman"/>
          <w:color w:val="auto"/>
          <w:kern w:val="0"/>
          <w:u w:val="none"/>
          <w:vertAlign w:val="superscript"/>
        </w:rPr>
        <w:t>3</w:t>
      </w:r>
      <w:r>
        <w:rPr>
          <w:rFonts w:hint="default" w:ascii="Times New Roman" w:hAnsi="Times New Roman" w:cs="Times New Roman"/>
          <w:color w:val="auto"/>
          <w:kern w:val="0"/>
          <w:u w:val="none"/>
        </w:rPr>
        <w:t>/a，污水处理站预处理后</w:t>
      </w:r>
      <w:r>
        <w:rPr>
          <w:rFonts w:hint="default" w:ascii="Times New Roman" w:hAnsi="Times New Roman" w:cs="Times New Roman"/>
          <w:color w:val="auto"/>
          <w:u w:val="none"/>
        </w:rPr>
        <w:t>经</w:t>
      </w:r>
      <w:r>
        <w:rPr>
          <w:rFonts w:hint="default" w:ascii="Times New Roman" w:hAnsi="Times New Roman" w:cs="Times New Roman"/>
          <w:color w:val="auto"/>
          <w:u w:val="none"/>
          <w:lang w:val="en-US" w:eastAsia="zh-CN"/>
        </w:rPr>
        <w:t>生产废水排放口（DW002）排入</w:t>
      </w:r>
      <w:r>
        <w:rPr>
          <w:rFonts w:hint="default" w:ascii="Times New Roman" w:hAnsi="Times New Roman" w:cs="Times New Roman"/>
          <w:color w:val="auto"/>
          <w:u w:val="none"/>
        </w:rPr>
        <w:t>市政污水管网排入城陵矶临港产业新区污水处理厂处理后，达标排放。</w:t>
      </w:r>
    </w:p>
    <w:p w14:paraId="651C9D72">
      <w:pPr>
        <w:rPr>
          <w:rFonts w:hint="default" w:ascii="Times New Roman" w:hAnsi="Times New Roman" w:eastAsia="宋体" w:cs="Times New Roman"/>
          <w:color w:val="auto"/>
          <w:szCs w:val="22"/>
          <w:highlight w:val="none"/>
          <w:u w:val="none"/>
          <w:lang w:val="en-US" w:eastAsia="zh-CN"/>
        </w:rPr>
      </w:pPr>
      <w:r>
        <w:rPr>
          <w:rFonts w:hint="default" w:ascii="Times New Roman" w:hAnsi="Times New Roman" w:cs="Times New Roman"/>
          <w:color w:val="auto"/>
          <w:szCs w:val="22"/>
          <w:highlight w:val="none"/>
          <w:u w:val="none"/>
        </w:rPr>
        <w:t>生活污水总量指标中COD、NH</w:t>
      </w:r>
      <w:r>
        <w:rPr>
          <w:rFonts w:hint="default" w:ascii="Times New Roman" w:hAnsi="Times New Roman" w:cs="Times New Roman"/>
          <w:color w:val="auto"/>
          <w:szCs w:val="22"/>
          <w:highlight w:val="none"/>
          <w:u w:val="none"/>
          <w:vertAlign w:val="subscript"/>
        </w:rPr>
        <w:t>3</w:t>
      </w:r>
      <w:r>
        <w:rPr>
          <w:rFonts w:hint="default" w:ascii="Times New Roman" w:hAnsi="Times New Roman" w:cs="Times New Roman"/>
          <w:color w:val="auto"/>
          <w:szCs w:val="22"/>
          <w:highlight w:val="none"/>
          <w:u w:val="none"/>
        </w:rPr>
        <w:t>-N分别为</w:t>
      </w:r>
      <w:r>
        <w:rPr>
          <w:rFonts w:hint="eastAsia" w:ascii="Times New Roman" w:hAnsi="Times New Roman" w:cs="Times New Roman"/>
          <w:color w:val="auto"/>
          <w:u w:val="none"/>
          <w:lang w:val="en-US" w:eastAsia="zh-CN"/>
        </w:rPr>
        <w:t>0.0114</w:t>
      </w:r>
      <w:r>
        <w:rPr>
          <w:rFonts w:hint="default" w:ascii="Times New Roman" w:hAnsi="Times New Roman" w:cs="Times New Roman"/>
          <w:color w:val="auto"/>
          <w:szCs w:val="22"/>
          <w:highlight w:val="none"/>
          <w:u w:val="none"/>
        </w:rPr>
        <w:t>t/a和</w:t>
      </w:r>
      <w:r>
        <w:rPr>
          <w:rFonts w:hint="eastAsia" w:ascii="Times New Roman" w:hAnsi="Times New Roman" w:cs="Times New Roman"/>
          <w:color w:val="auto"/>
          <w:szCs w:val="22"/>
          <w:highlight w:val="none"/>
          <w:u w:val="none"/>
          <w:lang w:val="en-US" w:eastAsia="zh-CN"/>
        </w:rPr>
        <w:t>0.00114</w:t>
      </w:r>
      <w:r>
        <w:rPr>
          <w:rFonts w:hint="default" w:ascii="Times New Roman" w:hAnsi="Times New Roman" w:cs="Times New Roman"/>
          <w:color w:val="auto"/>
          <w:szCs w:val="22"/>
          <w:highlight w:val="none"/>
          <w:u w:val="none"/>
        </w:rPr>
        <w:t>t/a；生产废水总量指标中COD、NH</w:t>
      </w:r>
      <w:r>
        <w:rPr>
          <w:rFonts w:hint="default" w:ascii="Times New Roman" w:hAnsi="Times New Roman" w:cs="Times New Roman"/>
          <w:color w:val="auto"/>
          <w:szCs w:val="22"/>
          <w:highlight w:val="none"/>
          <w:u w:val="none"/>
          <w:vertAlign w:val="subscript"/>
        </w:rPr>
        <w:t>3</w:t>
      </w:r>
      <w:r>
        <w:rPr>
          <w:rFonts w:hint="default" w:ascii="Times New Roman" w:hAnsi="Times New Roman" w:cs="Times New Roman"/>
          <w:color w:val="auto"/>
          <w:szCs w:val="22"/>
          <w:highlight w:val="none"/>
          <w:u w:val="none"/>
        </w:rPr>
        <w:t>-N分别为</w:t>
      </w:r>
      <w:r>
        <w:rPr>
          <w:rFonts w:hint="eastAsia" w:ascii="Times New Roman" w:hAnsi="Times New Roman" w:cs="Times New Roman"/>
          <w:color w:val="auto"/>
          <w:szCs w:val="22"/>
          <w:highlight w:val="none"/>
          <w:u w:val="none"/>
          <w:lang w:val="en-US" w:eastAsia="zh-CN"/>
        </w:rPr>
        <w:t>0.652</w:t>
      </w:r>
      <w:r>
        <w:rPr>
          <w:rFonts w:hint="default" w:ascii="Times New Roman" w:hAnsi="Times New Roman" w:cs="Times New Roman"/>
          <w:color w:val="auto"/>
          <w:szCs w:val="22"/>
          <w:highlight w:val="none"/>
          <w:u w:val="none"/>
        </w:rPr>
        <w:t>t/a和</w:t>
      </w:r>
      <w:r>
        <w:rPr>
          <w:rFonts w:hint="eastAsia" w:ascii="Times New Roman" w:hAnsi="Times New Roman" w:cs="Times New Roman"/>
          <w:color w:val="auto"/>
          <w:szCs w:val="22"/>
          <w:highlight w:val="none"/>
          <w:u w:val="none"/>
          <w:lang w:val="en-US" w:eastAsia="zh-CN"/>
        </w:rPr>
        <w:t>0.0652</w:t>
      </w:r>
      <w:r>
        <w:rPr>
          <w:rFonts w:hint="default" w:ascii="Times New Roman" w:hAnsi="Times New Roman" w:cs="Times New Roman"/>
          <w:color w:val="auto"/>
          <w:szCs w:val="22"/>
          <w:highlight w:val="none"/>
          <w:u w:val="none"/>
        </w:rPr>
        <w:t>t/a。</w:t>
      </w:r>
      <w:r>
        <w:rPr>
          <w:rFonts w:hint="default" w:ascii="Times New Roman" w:hAnsi="Times New Roman" w:cs="Times New Roman"/>
          <w:color w:val="auto"/>
          <w:szCs w:val="22"/>
          <w:highlight w:val="none"/>
          <w:u w:val="none"/>
          <w:lang w:val="en-US" w:eastAsia="zh-CN"/>
        </w:rPr>
        <w:t>生活污水总量控制指标纳入</w:t>
      </w:r>
      <w:r>
        <w:rPr>
          <w:rFonts w:hint="default" w:ascii="Times New Roman" w:hAnsi="Times New Roman" w:cs="Times New Roman"/>
          <w:color w:val="auto"/>
          <w:u w:val="none"/>
        </w:rPr>
        <w:t>城陵矶临港产业新区污水处理厂</w:t>
      </w:r>
      <w:r>
        <w:rPr>
          <w:rFonts w:hint="default" w:ascii="Times New Roman" w:hAnsi="Times New Roman" w:cs="Times New Roman"/>
          <w:color w:val="auto"/>
          <w:u w:val="none"/>
          <w:lang w:val="en-US" w:eastAsia="zh-CN"/>
        </w:rPr>
        <w:t>的总量控制指标，</w:t>
      </w:r>
      <w:r>
        <w:rPr>
          <w:rFonts w:hint="default" w:ascii="Times New Roman" w:hAnsi="Times New Roman" w:cs="Times New Roman"/>
          <w:color w:val="auto"/>
          <w:szCs w:val="22"/>
          <w:highlight w:val="none"/>
          <w:u w:val="none"/>
          <w:lang w:val="en-US" w:eastAsia="zh-CN"/>
        </w:rPr>
        <w:t>本环评建议总量控制指标为</w:t>
      </w:r>
      <w:r>
        <w:rPr>
          <w:rFonts w:hint="default" w:ascii="Times New Roman" w:hAnsi="Times New Roman" w:cs="Times New Roman"/>
          <w:color w:val="auto"/>
          <w:szCs w:val="22"/>
          <w:highlight w:val="none"/>
          <w:u w:val="none"/>
        </w:rPr>
        <w:t>生产废水总量指标</w:t>
      </w:r>
      <w:r>
        <w:rPr>
          <w:rFonts w:hint="default" w:ascii="Times New Roman" w:hAnsi="Times New Roman" w:cs="Times New Roman"/>
          <w:color w:val="auto"/>
          <w:szCs w:val="22"/>
          <w:highlight w:val="none"/>
          <w:u w:val="none"/>
          <w:lang w:eastAsia="zh-CN"/>
        </w:rPr>
        <w:t>，</w:t>
      </w:r>
      <w:r>
        <w:rPr>
          <w:rFonts w:hint="default" w:ascii="Times New Roman" w:hAnsi="Times New Roman" w:cs="Times New Roman"/>
          <w:color w:val="auto"/>
          <w:szCs w:val="22"/>
          <w:highlight w:val="none"/>
          <w:u w:val="none"/>
          <w:lang w:val="en-US" w:eastAsia="zh-CN"/>
        </w:rPr>
        <w:t>其总量指标为</w:t>
      </w:r>
      <w:r>
        <w:rPr>
          <w:rFonts w:hint="default" w:ascii="Times New Roman" w:hAnsi="Times New Roman" w:cs="Times New Roman"/>
          <w:color w:val="auto"/>
          <w:szCs w:val="22"/>
          <w:highlight w:val="none"/>
          <w:u w:val="none"/>
        </w:rPr>
        <w:t>COD</w:t>
      </w:r>
      <w:r>
        <w:rPr>
          <w:rFonts w:hint="default" w:ascii="Times New Roman" w:hAnsi="Times New Roman" w:cs="Times New Roman"/>
          <w:color w:val="auto"/>
          <w:szCs w:val="22"/>
          <w:highlight w:val="none"/>
          <w:u w:val="none"/>
          <w:lang w:eastAsia="zh-CN"/>
        </w:rPr>
        <w:t>：</w:t>
      </w:r>
      <w:r>
        <w:rPr>
          <w:rFonts w:hint="eastAsia" w:ascii="Times New Roman" w:hAnsi="Times New Roman" w:cs="Times New Roman"/>
          <w:color w:val="auto"/>
          <w:szCs w:val="22"/>
          <w:highlight w:val="none"/>
          <w:u w:val="none"/>
          <w:lang w:val="en-US" w:eastAsia="zh-CN"/>
        </w:rPr>
        <w:t>0.67</w:t>
      </w:r>
      <w:r>
        <w:rPr>
          <w:rFonts w:hint="default" w:ascii="Times New Roman" w:hAnsi="Times New Roman" w:cs="Times New Roman"/>
          <w:color w:val="auto"/>
          <w:szCs w:val="22"/>
          <w:highlight w:val="none"/>
          <w:u w:val="none"/>
        </w:rPr>
        <w:t>t/a、NH</w:t>
      </w:r>
      <w:r>
        <w:rPr>
          <w:rFonts w:hint="default" w:ascii="Times New Roman" w:hAnsi="Times New Roman" w:cs="Times New Roman"/>
          <w:color w:val="auto"/>
          <w:szCs w:val="22"/>
          <w:highlight w:val="none"/>
          <w:u w:val="none"/>
          <w:vertAlign w:val="subscript"/>
        </w:rPr>
        <w:t>3</w:t>
      </w:r>
      <w:r>
        <w:rPr>
          <w:rFonts w:hint="default" w:ascii="Times New Roman" w:hAnsi="Times New Roman" w:cs="Times New Roman"/>
          <w:color w:val="auto"/>
          <w:szCs w:val="22"/>
          <w:highlight w:val="none"/>
          <w:u w:val="none"/>
        </w:rPr>
        <w:t>-N</w:t>
      </w:r>
      <w:r>
        <w:rPr>
          <w:rFonts w:hint="default" w:ascii="Times New Roman" w:hAnsi="Times New Roman" w:cs="Times New Roman"/>
          <w:color w:val="auto"/>
          <w:szCs w:val="22"/>
          <w:highlight w:val="none"/>
          <w:u w:val="none"/>
          <w:lang w:eastAsia="zh-CN"/>
        </w:rPr>
        <w:t>：</w:t>
      </w:r>
      <w:r>
        <w:rPr>
          <w:rFonts w:hint="eastAsia" w:ascii="Times New Roman" w:hAnsi="Times New Roman" w:cs="Times New Roman"/>
          <w:color w:val="auto"/>
          <w:szCs w:val="22"/>
          <w:highlight w:val="none"/>
          <w:u w:val="none"/>
          <w:lang w:val="en-US" w:eastAsia="zh-CN"/>
        </w:rPr>
        <w:t>0.07</w:t>
      </w:r>
      <w:r>
        <w:rPr>
          <w:rFonts w:hint="default" w:ascii="Times New Roman" w:hAnsi="Times New Roman" w:cs="Times New Roman"/>
          <w:color w:val="auto"/>
          <w:szCs w:val="22"/>
          <w:highlight w:val="none"/>
          <w:u w:val="none"/>
        </w:rPr>
        <w:t>t/a。</w:t>
      </w:r>
    </w:p>
    <w:p w14:paraId="3DC750E0">
      <w:pPr>
        <w:ind w:firstLine="480"/>
        <w:rPr>
          <w:rFonts w:hint="default" w:ascii="Times New Roman" w:hAnsi="Times New Roman" w:cs="Times New Roman"/>
          <w:color w:val="auto"/>
          <w:u w:val="none"/>
        </w:rPr>
      </w:pPr>
      <w:r>
        <w:rPr>
          <w:rFonts w:hint="eastAsia" w:ascii="Times New Roman" w:hAnsi="Times New Roman" w:cs="Times New Roman"/>
          <w:color w:val="auto"/>
          <w:u w:val="none"/>
        </w:rPr>
        <w:t>2</w:t>
      </w:r>
      <w:r>
        <w:rPr>
          <w:rFonts w:hint="default" w:ascii="Times New Roman" w:hAnsi="Times New Roman" w:cs="Times New Roman"/>
          <w:color w:val="auto"/>
          <w:u w:val="none"/>
        </w:rPr>
        <w:t>、大气污染物</w:t>
      </w:r>
    </w:p>
    <w:p w14:paraId="1B119825">
      <w:pPr>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本项目大气污染物总量控制指标为氮氧化物</w:t>
      </w:r>
      <w:r>
        <w:rPr>
          <w:rFonts w:hint="eastAsia" w:ascii="Times New Roman" w:hAnsi="Times New Roman" w:cs="Times New Roman"/>
          <w:color w:val="auto"/>
          <w:u w:val="none"/>
          <w:lang w:val="en-US" w:eastAsia="zh-CN"/>
        </w:rPr>
        <w:t>有组织排放量为0.214519</w:t>
      </w:r>
      <w:r>
        <w:rPr>
          <w:rFonts w:hint="default" w:ascii="Times New Roman" w:hAnsi="Times New Roman" w:cs="Times New Roman"/>
          <w:color w:val="auto"/>
          <w:u w:val="none"/>
        </w:rPr>
        <w:t>t/a，无组织排放量为</w:t>
      </w:r>
      <w:r>
        <w:rPr>
          <w:rFonts w:hint="eastAsia" w:ascii="Times New Roman" w:hAnsi="Times New Roman" w:cs="Times New Roman"/>
          <w:color w:val="auto"/>
          <w:u w:val="none"/>
          <w:lang w:val="en-US" w:eastAsia="zh-CN"/>
        </w:rPr>
        <w:t>0.07527</w:t>
      </w:r>
      <w:r>
        <w:rPr>
          <w:rFonts w:hint="default" w:ascii="Times New Roman" w:hAnsi="Times New Roman" w:cs="Times New Roman"/>
          <w:color w:val="auto"/>
          <w:u w:val="none"/>
        </w:rPr>
        <w:t>t/a</w:t>
      </w:r>
      <w:r>
        <w:rPr>
          <w:rFonts w:hint="eastAsia" w:ascii="Times New Roman" w:hAnsi="Times New Roman" w:cs="Times New Roman"/>
          <w:color w:val="auto"/>
          <w:u w:val="none"/>
          <w:lang w:eastAsia="zh-CN"/>
        </w:rPr>
        <w:t>。</w:t>
      </w:r>
    </w:p>
    <w:p w14:paraId="038420CA">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表6.4-1  总量控制指标汇总表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60"/>
        <w:gridCol w:w="1899"/>
        <w:gridCol w:w="2113"/>
        <w:gridCol w:w="2824"/>
      </w:tblGrid>
      <w:tr w14:paraId="614162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726" w:type="dxa"/>
            <w:vAlign w:val="center"/>
          </w:tcPr>
          <w:p w14:paraId="0831C33A">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序号</w:t>
            </w:r>
          </w:p>
        </w:tc>
        <w:tc>
          <w:tcPr>
            <w:tcW w:w="960" w:type="dxa"/>
            <w:vAlign w:val="center"/>
          </w:tcPr>
          <w:p w14:paraId="4F7FBF5C">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污染物</w:t>
            </w:r>
          </w:p>
        </w:tc>
        <w:tc>
          <w:tcPr>
            <w:tcW w:w="1899" w:type="dxa"/>
            <w:vAlign w:val="center"/>
          </w:tcPr>
          <w:p w14:paraId="4687AF63">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有组织排放量/(t/a)</w:t>
            </w:r>
          </w:p>
        </w:tc>
        <w:tc>
          <w:tcPr>
            <w:tcW w:w="2113" w:type="dxa"/>
            <w:vAlign w:val="center"/>
          </w:tcPr>
          <w:p w14:paraId="0530F666">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无组织排放量/(t/a)</w:t>
            </w:r>
          </w:p>
        </w:tc>
        <w:tc>
          <w:tcPr>
            <w:tcW w:w="2824" w:type="dxa"/>
            <w:vAlign w:val="center"/>
          </w:tcPr>
          <w:p w14:paraId="1A4E923E">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合计/(t/a)</w:t>
            </w:r>
          </w:p>
        </w:tc>
      </w:tr>
      <w:tr w14:paraId="549D3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4AAD27FE">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1</w:t>
            </w:r>
          </w:p>
        </w:tc>
        <w:tc>
          <w:tcPr>
            <w:tcW w:w="960" w:type="dxa"/>
            <w:vAlign w:val="center"/>
          </w:tcPr>
          <w:p w14:paraId="6578CEBA">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COD</w:t>
            </w:r>
          </w:p>
        </w:tc>
        <w:tc>
          <w:tcPr>
            <w:tcW w:w="1899" w:type="dxa"/>
            <w:vAlign w:val="center"/>
          </w:tcPr>
          <w:p w14:paraId="56D409C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2113" w:type="dxa"/>
            <w:vAlign w:val="center"/>
          </w:tcPr>
          <w:p w14:paraId="67529F3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2824" w:type="dxa"/>
            <w:vAlign w:val="center"/>
          </w:tcPr>
          <w:p w14:paraId="7E0C95ED">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0.67</w:t>
            </w:r>
          </w:p>
        </w:tc>
      </w:tr>
      <w:tr w14:paraId="5CD01B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3F87BEF1">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2</w:t>
            </w:r>
          </w:p>
        </w:tc>
        <w:tc>
          <w:tcPr>
            <w:tcW w:w="960" w:type="dxa"/>
            <w:vAlign w:val="center"/>
          </w:tcPr>
          <w:p w14:paraId="65D7CEC8">
            <w:pPr>
              <w:pStyle w:val="41"/>
              <w:rPr>
                <w:rFonts w:hint="default" w:ascii="Times New Roman" w:hAnsi="Times New Roman" w:cs="Times New Roman"/>
                <w:color w:val="auto"/>
                <w:u w:val="none"/>
              </w:rPr>
            </w:pPr>
            <w:r>
              <w:rPr>
                <w:rFonts w:hint="default" w:ascii="Times New Roman" w:hAnsi="Times New Roman" w:cs="Times New Roman"/>
                <w:color w:val="auto"/>
                <w:u w:val="none"/>
              </w:rPr>
              <w:t>氨氮</w:t>
            </w:r>
          </w:p>
        </w:tc>
        <w:tc>
          <w:tcPr>
            <w:tcW w:w="1899" w:type="dxa"/>
            <w:vAlign w:val="center"/>
          </w:tcPr>
          <w:p w14:paraId="2CC3D59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2113" w:type="dxa"/>
            <w:vAlign w:val="center"/>
          </w:tcPr>
          <w:p w14:paraId="59645FC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2824" w:type="dxa"/>
            <w:vAlign w:val="center"/>
          </w:tcPr>
          <w:p w14:paraId="15E65101">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0.07</w:t>
            </w:r>
          </w:p>
        </w:tc>
      </w:tr>
      <w:tr w14:paraId="19390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6" w:type="dxa"/>
            <w:vAlign w:val="center"/>
          </w:tcPr>
          <w:p w14:paraId="25342134">
            <w:pPr>
              <w:pStyle w:val="41"/>
              <w:rPr>
                <w:rFonts w:hint="default" w:cs="Times New Roman"/>
                <w:color w:val="auto"/>
                <w:kern w:val="2"/>
                <w:u w:val="none"/>
                <w:lang w:val="en-US" w:eastAsia="zh-CN"/>
              </w:rPr>
            </w:pPr>
            <w:r>
              <w:rPr>
                <w:rFonts w:hint="eastAsia" w:cs="Times New Roman"/>
                <w:color w:val="auto"/>
                <w:kern w:val="2"/>
                <w:u w:val="none"/>
                <w:lang w:val="en-US" w:eastAsia="zh-CN"/>
              </w:rPr>
              <w:t>3</w:t>
            </w:r>
          </w:p>
        </w:tc>
        <w:tc>
          <w:tcPr>
            <w:tcW w:w="960" w:type="dxa"/>
            <w:vAlign w:val="center"/>
          </w:tcPr>
          <w:p w14:paraId="01409D29">
            <w:pPr>
              <w:pStyle w:val="41"/>
              <w:rPr>
                <w:rFonts w:hint="default" w:ascii="Times New Roman" w:hAnsi="Times New Roman" w:cs="Times New Roman"/>
                <w:color w:val="auto"/>
                <w:u w:val="none"/>
              </w:rPr>
            </w:pPr>
            <w:r>
              <w:rPr>
                <w:kern w:val="2"/>
              </w:rPr>
              <w:t>NO</w:t>
            </w:r>
            <w:r>
              <w:rPr>
                <w:kern w:val="2"/>
                <w:vertAlign w:val="subscript"/>
              </w:rPr>
              <w:t>X</w:t>
            </w:r>
          </w:p>
        </w:tc>
        <w:tc>
          <w:tcPr>
            <w:tcW w:w="1899" w:type="dxa"/>
            <w:vAlign w:val="center"/>
          </w:tcPr>
          <w:p w14:paraId="44644174">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0.214519</w:t>
            </w:r>
          </w:p>
        </w:tc>
        <w:tc>
          <w:tcPr>
            <w:tcW w:w="2113" w:type="dxa"/>
            <w:vAlign w:val="center"/>
          </w:tcPr>
          <w:p w14:paraId="38A575AA">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0.07527</w:t>
            </w:r>
          </w:p>
        </w:tc>
        <w:tc>
          <w:tcPr>
            <w:tcW w:w="2824" w:type="dxa"/>
            <w:vAlign w:val="center"/>
          </w:tcPr>
          <w:p w14:paraId="52E84010">
            <w:pPr>
              <w:pStyle w:val="41"/>
              <w:rPr>
                <w:rFonts w:hint="default" w:cs="Times New Roman"/>
                <w:color w:val="auto"/>
                <w:kern w:val="2"/>
                <w:u w:val="none"/>
                <w:lang w:val="en-US" w:eastAsia="zh-CN"/>
              </w:rPr>
            </w:pPr>
            <w:r>
              <w:rPr>
                <w:rFonts w:hint="eastAsia" w:cs="Times New Roman"/>
                <w:color w:val="auto"/>
                <w:kern w:val="2"/>
                <w:u w:val="none"/>
                <w:lang w:val="en-US" w:eastAsia="zh-CN"/>
              </w:rPr>
              <w:t>0.29</w:t>
            </w:r>
          </w:p>
        </w:tc>
      </w:tr>
    </w:tbl>
    <w:p w14:paraId="41BFA8E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具体总量控制指标由按岳阳市生态环境部门要求核定和购买。</w:t>
      </w:r>
    </w:p>
    <w:p w14:paraId="29565958">
      <w:pPr>
        <w:pStyle w:val="2"/>
        <w:ind w:left="0" w:leftChars="0" w:firstLineChars="0"/>
        <w:rPr>
          <w:rFonts w:hint="default" w:ascii="Times New Roman" w:hAnsi="Times New Roman" w:cs="Times New Roman"/>
          <w:color w:val="auto"/>
          <w:u w:val="none"/>
        </w:rPr>
      </w:pPr>
      <w:bookmarkStart w:id="152" w:name="_Toc23697"/>
      <w:r>
        <w:rPr>
          <w:rFonts w:hint="default" w:ascii="Times New Roman" w:hAnsi="Times New Roman" w:cs="Times New Roman"/>
          <w:color w:val="auto"/>
          <w:u w:val="none"/>
        </w:rPr>
        <w:t>污染防治措施及可行性分析</w:t>
      </w:r>
      <w:bookmarkEnd w:id="135"/>
      <w:bookmarkEnd w:id="152"/>
    </w:p>
    <w:p w14:paraId="6F136CB1">
      <w:pPr>
        <w:pStyle w:val="4"/>
        <w:ind w:left="0" w:leftChars="0" w:firstLineChars="0"/>
        <w:rPr>
          <w:rFonts w:hint="default" w:ascii="Times New Roman" w:hAnsi="Times New Roman" w:cs="Times New Roman"/>
          <w:color w:val="auto"/>
          <w:u w:val="none"/>
        </w:rPr>
      </w:pPr>
      <w:bookmarkStart w:id="153" w:name="_Toc29250"/>
      <w:bookmarkStart w:id="154" w:name="_Toc22730"/>
      <w:r>
        <w:rPr>
          <w:rFonts w:hint="default" w:ascii="Times New Roman" w:hAnsi="Times New Roman" w:cs="Times New Roman"/>
          <w:color w:val="auto"/>
          <w:u w:val="none"/>
        </w:rPr>
        <w:t>施工期环境保护措施可行性分析</w:t>
      </w:r>
      <w:bookmarkEnd w:id="153"/>
      <w:bookmarkEnd w:id="154"/>
    </w:p>
    <w:p w14:paraId="33F9430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w:t>
      </w:r>
      <w:r>
        <w:rPr>
          <w:rFonts w:hint="eastAsia" w:ascii="Times New Roman" w:hAnsi="Times New Roman" w:cs="Times New Roman"/>
          <w:color w:val="auto"/>
          <w:u w:val="none"/>
          <w:lang w:val="en-US" w:eastAsia="zh-CN"/>
        </w:rPr>
        <w:t>租赁</w:t>
      </w:r>
      <w:r>
        <w:rPr>
          <w:rFonts w:hint="default" w:ascii="Times New Roman" w:hAnsi="Times New Roman" w:cs="Times New Roman"/>
          <w:color w:val="auto"/>
          <w:u w:val="none"/>
        </w:rPr>
        <w:t>已建成建筑，施工期主要是环境影响是地坑开挖和建设、设备安装及附属工程的建设、设备调试阶段产生的一些施工粉尘以及施工噪声和少量土石方弃方影响。施工期噪声主要来源于施工机械，其噪声源强在80~90dB(A)左右，由于本项目施工作业主要在室内进行，施工设备噪声对外环境的影响经采用相应的减振降噪措施及厂房隔声后对外环境影响很小。由于工程量较少，工期较短，因此该项目施工过程产生的废气和粉尘、废水、固废产生量较少，对周边环境影响很小。</w:t>
      </w:r>
    </w:p>
    <w:p w14:paraId="31630AF7">
      <w:pPr>
        <w:ind w:firstLine="480"/>
        <w:rPr>
          <w:rFonts w:hint="default" w:ascii="Times New Roman" w:hAnsi="Times New Roman" w:cs="Times New Roman"/>
          <w:color w:val="auto"/>
          <w:u w:val="none"/>
        </w:rPr>
      </w:pPr>
      <w:bookmarkStart w:id="155" w:name="_Toc18877"/>
      <w:bookmarkStart w:id="156" w:name="_Toc7226"/>
      <w:r>
        <w:rPr>
          <w:rFonts w:hint="default" w:ascii="Times New Roman" w:hAnsi="Times New Roman" w:cs="Times New Roman"/>
          <w:color w:val="auto"/>
          <w:u w:val="none"/>
        </w:rPr>
        <w:t>为将项目施工期对外环境的影响降至最低，</w:t>
      </w:r>
      <w:bookmarkStart w:id="157" w:name="_Toc15821"/>
      <w:r>
        <w:rPr>
          <w:rFonts w:hint="default" w:ascii="Times New Roman" w:hAnsi="Times New Roman" w:cs="Times New Roman"/>
          <w:color w:val="auto"/>
          <w:u w:val="none"/>
        </w:rPr>
        <w:t>环评要求的减缓及防治措施如下：</w:t>
      </w:r>
      <w:bookmarkEnd w:id="155"/>
      <w:bookmarkEnd w:id="156"/>
      <w:bookmarkEnd w:id="157"/>
    </w:p>
    <w:p w14:paraId="27ADF849">
      <w:pPr>
        <w:ind w:firstLine="480"/>
        <w:rPr>
          <w:rFonts w:hint="default" w:ascii="Times New Roman" w:hAnsi="Times New Roman" w:cs="Times New Roman"/>
          <w:color w:val="auto"/>
          <w:u w:val="none"/>
        </w:rPr>
      </w:pPr>
      <w:bookmarkStart w:id="158" w:name="_Toc310"/>
      <w:bookmarkStart w:id="159" w:name="_Toc21947"/>
      <w:bookmarkStart w:id="160" w:name="_Toc9340"/>
      <w:r>
        <w:rPr>
          <w:rFonts w:hint="default" w:ascii="Times New Roman" w:hAnsi="Times New Roman" w:cs="Times New Roman"/>
          <w:color w:val="auto"/>
          <w:u w:val="none"/>
        </w:rPr>
        <w:t>（1）</w:t>
      </w:r>
      <w:bookmarkEnd w:id="158"/>
      <w:bookmarkEnd w:id="159"/>
      <w:bookmarkEnd w:id="160"/>
      <w:bookmarkStart w:id="161" w:name="_Toc30071"/>
      <w:bookmarkStart w:id="162" w:name="_Toc14916"/>
      <w:bookmarkStart w:id="163" w:name="_Toc11326"/>
      <w:r>
        <w:rPr>
          <w:rFonts w:hint="default" w:ascii="Times New Roman" w:hAnsi="Times New Roman" w:cs="Times New Roman"/>
          <w:color w:val="auto"/>
          <w:u w:val="none"/>
        </w:rPr>
        <w:t>加强施工机械的维护和保养，避免由于设备性能差而导致机械噪声增大的现象发生。</w:t>
      </w:r>
    </w:p>
    <w:p w14:paraId="387616C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 （2）设备选型时，在满足施工需要的前提条件下，尽可能选取噪声低、振动小、能耗小的先进设备。 </w:t>
      </w:r>
      <w:bookmarkEnd w:id="161"/>
      <w:bookmarkEnd w:id="162"/>
      <w:bookmarkEnd w:id="163"/>
    </w:p>
    <w:p w14:paraId="5C8508FD">
      <w:pPr>
        <w:ind w:firstLine="480"/>
        <w:rPr>
          <w:rFonts w:hint="default" w:ascii="Times New Roman" w:hAnsi="Times New Roman" w:cs="Times New Roman"/>
          <w:color w:val="auto"/>
          <w:u w:val="none"/>
        </w:rPr>
      </w:pPr>
      <w:bookmarkStart w:id="164" w:name="_Toc29388"/>
      <w:bookmarkStart w:id="165" w:name="_Toc2127"/>
      <w:bookmarkStart w:id="166" w:name="_Toc29165"/>
      <w:r>
        <w:rPr>
          <w:rFonts w:hint="default" w:ascii="Times New Roman" w:hAnsi="Times New Roman" w:cs="Times New Roman"/>
          <w:color w:val="auto"/>
          <w:u w:val="none"/>
        </w:rPr>
        <w:t>（3）运输材料与设备的车辆在城区行使时，实行禁鸣。</w:t>
      </w:r>
      <w:bookmarkEnd w:id="164"/>
      <w:bookmarkEnd w:id="165"/>
      <w:bookmarkEnd w:id="166"/>
    </w:p>
    <w:p w14:paraId="2061B4A9">
      <w:pPr>
        <w:ind w:firstLine="480"/>
        <w:rPr>
          <w:rFonts w:hint="default" w:ascii="Times New Roman" w:hAnsi="Times New Roman" w:cs="Times New Roman"/>
          <w:color w:val="auto"/>
          <w:u w:val="none"/>
        </w:rPr>
      </w:pPr>
      <w:bookmarkStart w:id="167" w:name="_Toc4576"/>
      <w:bookmarkStart w:id="168" w:name="_Toc11180"/>
      <w:bookmarkStart w:id="169" w:name="_Toc26699"/>
      <w:r>
        <w:rPr>
          <w:rFonts w:hint="default" w:ascii="Times New Roman" w:hAnsi="Times New Roman" w:cs="Times New Roman"/>
          <w:color w:val="auto"/>
          <w:u w:val="none"/>
        </w:rPr>
        <w:t>上述措施在一定程度上控制了施工噪声的污染，同时措施可行，对周边环境影响很小。</w:t>
      </w:r>
      <w:bookmarkEnd w:id="167"/>
      <w:bookmarkEnd w:id="168"/>
      <w:bookmarkEnd w:id="169"/>
    </w:p>
    <w:p w14:paraId="0F92950A">
      <w:pPr>
        <w:pStyle w:val="4"/>
        <w:ind w:left="0" w:leftChars="0" w:firstLineChars="0"/>
        <w:rPr>
          <w:rFonts w:hint="default" w:ascii="Times New Roman" w:hAnsi="Times New Roman" w:cs="Times New Roman"/>
          <w:color w:val="auto"/>
          <w:u w:val="none"/>
        </w:rPr>
      </w:pPr>
      <w:bookmarkStart w:id="170" w:name="_Toc3389"/>
      <w:bookmarkStart w:id="171" w:name="_Toc2545"/>
      <w:r>
        <w:rPr>
          <w:rFonts w:hint="default" w:ascii="Times New Roman" w:hAnsi="Times New Roman" w:cs="Times New Roman"/>
          <w:color w:val="auto"/>
          <w:u w:val="none"/>
        </w:rPr>
        <w:t>营运期大气环境污染防治措施及可行性</w:t>
      </w:r>
      <w:bookmarkEnd w:id="170"/>
      <w:bookmarkEnd w:id="171"/>
    </w:p>
    <w:p w14:paraId="4E39CFBC">
      <w:pPr>
        <w:ind w:firstLine="480"/>
        <w:rPr>
          <w:rFonts w:hint="default" w:ascii="Times New Roman" w:hAnsi="Times New Roman" w:cs="Times New Roman"/>
          <w:color w:val="auto"/>
          <w:u w:val="none"/>
        </w:rPr>
      </w:pPr>
      <w:bookmarkStart w:id="172" w:name="OLE_LINK525"/>
      <w:bookmarkStart w:id="173" w:name="OLE_LINK526"/>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1</w:t>
      </w:r>
      <w:r>
        <w:rPr>
          <w:rFonts w:hint="default" w:ascii="Times New Roman" w:hAnsi="Times New Roman" w:cs="Times New Roman"/>
          <w:color w:val="auto"/>
          <w:u w:val="none"/>
        </w:rPr>
        <w:t>）酸性废气处理</w:t>
      </w:r>
    </w:p>
    <w:p w14:paraId="7F8D00B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本项目碱性喷淋塔共计</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套，采用两级碱性喷淋塔处理后排放。</w:t>
      </w:r>
    </w:p>
    <w:p w14:paraId="203C559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碱性喷淋塔：当含有有害成分的废气被风机送入塔内，然后穿过几层填料层，每一层填料层中会放置大量填料球。喷淋塔内的上部设有喷淋系统，它的布水器不断的向填料的表面喷水，使填料的表面湿润，并形成不断流动的液膜。有害废气会在填料层中，与液体形成气液两相逆流流动，有害污染物不断的溶于碱性溶液中，使其在气体中的浓度越来越低，直至达标，最后经过喷淋塔的除雾层去除水汽后排放。 </w:t>
      </w:r>
    </w:p>
    <w:p w14:paraId="1D90B8EB">
      <w:pPr>
        <w:pStyle w:val="38"/>
        <w:rPr>
          <w:rFonts w:hint="default" w:ascii="Times New Roman" w:hAnsi="Times New Roman" w:cs="Times New Roman"/>
          <w:b/>
          <w:bCs/>
          <w:color w:val="auto"/>
          <w:u w:val="none"/>
        </w:rPr>
      </w:pPr>
      <w:r>
        <w:rPr>
          <w:rFonts w:hint="default" w:ascii="Times New Roman" w:hAnsi="Times New Roman" w:cs="Times New Roman"/>
          <w:color w:val="auto"/>
          <w:u w:val="none"/>
        </w:rPr>
        <w:drawing>
          <wp:inline distT="0" distB="0" distL="114300" distR="114300">
            <wp:extent cx="5266690" cy="4075430"/>
            <wp:effectExtent l="0" t="0" r="10160" b="1270"/>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49"/>
                    <a:stretch>
                      <a:fillRect/>
                    </a:stretch>
                  </pic:blipFill>
                  <pic:spPr>
                    <a:xfrm>
                      <a:off x="0" y="0"/>
                      <a:ext cx="5266690" cy="4075430"/>
                    </a:xfrm>
                    <a:prstGeom prst="rect">
                      <a:avLst/>
                    </a:prstGeom>
                    <a:noFill/>
                    <a:ln>
                      <a:noFill/>
                    </a:ln>
                  </pic:spPr>
                </pic:pic>
              </a:graphicData>
            </a:graphic>
          </wp:inline>
        </w:drawing>
      </w:r>
      <w:r>
        <w:rPr>
          <w:rFonts w:hint="default" w:ascii="Times New Roman" w:hAnsi="Times New Roman" w:cs="Times New Roman"/>
          <w:b/>
          <w:bCs/>
          <w:color w:val="auto"/>
          <w:u w:val="none"/>
        </w:rPr>
        <w:t>图7.2-</w:t>
      </w:r>
      <w:r>
        <w:rPr>
          <w:rFonts w:hint="eastAsia" w:cs="Times New Roman"/>
          <w:b/>
          <w:bCs/>
          <w:color w:val="auto"/>
          <w:u w:val="none"/>
          <w:lang w:val="en-US" w:eastAsia="zh-CN"/>
        </w:rPr>
        <w:t>1</w:t>
      </w:r>
      <w:r>
        <w:rPr>
          <w:rFonts w:hint="default" w:ascii="Times New Roman" w:hAnsi="Times New Roman" w:cs="Times New Roman"/>
          <w:b/>
          <w:bCs/>
          <w:color w:val="auto"/>
          <w:u w:val="none"/>
        </w:rPr>
        <w:t xml:space="preserve"> 碱液喷淋塔装置图</w:t>
      </w:r>
    </w:p>
    <w:p w14:paraId="00423B8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根据《污染源源强核算技术指南 电镀》（HJ984-2018）中附录 F 中的电镀废气污染治理技术及效果，可知喷淋塔具有良好的去除效果。</w:t>
      </w:r>
    </w:p>
    <w:p w14:paraId="55C0501F">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 7.2-1 电镀废气污染治理技术及效果</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15"/>
        <w:gridCol w:w="2162"/>
        <w:gridCol w:w="1907"/>
        <w:gridCol w:w="3149"/>
      </w:tblGrid>
      <w:tr w14:paraId="088CB5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12" w:hRule="atLeast"/>
          <w:jc w:val="center"/>
        </w:trPr>
        <w:tc>
          <w:tcPr>
            <w:tcW w:w="669" w:type="pct"/>
            <w:tcBorders>
              <w:tl2br w:val="nil"/>
              <w:tr2bl w:val="nil"/>
            </w:tcBorders>
            <w:vAlign w:val="center"/>
          </w:tcPr>
          <w:p w14:paraId="22690E3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297" w:type="pct"/>
            <w:tcBorders>
              <w:tl2br w:val="nil"/>
              <w:tr2bl w:val="nil"/>
            </w:tcBorders>
            <w:vAlign w:val="center"/>
          </w:tcPr>
          <w:p w14:paraId="3AAF93D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废气种类</w:t>
            </w:r>
          </w:p>
        </w:tc>
        <w:tc>
          <w:tcPr>
            <w:tcW w:w="1144" w:type="pct"/>
            <w:tcBorders>
              <w:tl2br w:val="nil"/>
              <w:tr2bl w:val="nil"/>
            </w:tcBorders>
            <w:vAlign w:val="center"/>
          </w:tcPr>
          <w:p w14:paraId="068A983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治理技术</w:t>
            </w:r>
          </w:p>
        </w:tc>
        <w:tc>
          <w:tcPr>
            <w:tcW w:w="1888" w:type="pct"/>
            <w:tcBorders>
              <w:tl2br w:val="nil"/>
              <w:tr2bl w:val="nil"/>
            </w:tcBorders>
            <w:vAlign w:val="center"/>
          </w:tcPr>
          <w:p w14:paraId="0D0BBD3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去除效率参考值</w:t>
            </w:r>
          </w:p>
        </w:tc>
      </w:tr>
      <w:tr w14:paraId="790CDE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669" w:type="pct"/>
            <w:tcBorders>
              <w:tl2br w:val="nil"/>
              <w:tr2bl w:val="nil"/>
            </w:tcBorders>
            <w:vAlign w:val="center"/>
          </w:tcPr>
          <w:p w14:paraId="5216DFAC">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297" w:type="pct"/>
            <w:tcBorders>
              <w:tl2br w:val="nil"/>
              <w:tr2bl w:val="nil"/>
            </w:tcBorders>
            <w:vAlign w:val="center"/>
          </w:tcPr>
          <w:p w14:paraId="2A5E37E5">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硫酸雾</w:t>
            </w:r>
            <w:r>
              <w:rPr>
                <w:rFonts w:hint="eastAsia" w:cs="Times New Roman"/>
                <w:color w:val="auto"/>
                <w:u w:val="none"/>
                <w:lang w:eastAsia="zh-CN"/>
              </w:rPr>
              <w:t>、</w:t>
            </w:r>
            <w:r>
              <w:rPr>
                <w:rFonts w:hint="eastAsia" w:cs="Times New Roman"/>
                <w:color w:val="auto"/>
                <w:u w:val="none"/>
                <w:lang w:val="en-US" w:eastAsia="zh-CN"/>
              </w:rPr>
              <w:t>氮氧化物</w:t>
            </w:r>
          </w:p>
        </w:tc>
        <w:tc>
          <w:tcPr>
            <w:tcW w:w="1144" w:type="pct"/>
            <w:tcBorders>
              <w:tl2br w:val="nil"/>
              <w:tr2bl w:val="nil"/>
            </w:tcBorders>
            <w:vAlign w:val="center"/>
          </w:tcPr>
          <w:p w14:paraId="05D9D8FE">
            <w:pPr>
              <w:pStyle w:val="41"/>
              <w:rPr>
                <w:rFonts w:hint="default" w:ascii="Times New Roman" w:hAnsi="Times New Roman" w:cs="Times New Roman"/>
                <w:color w:val="auto"/>
                <w:u w:val="none"/>
              </w:rPr>
            </w:pPr>
            <w:r>
              <w:rPr>
                <w:rFonts w:hint="default" w:ascii="Times New Roman" w:hAnsi="Times New Roman" w:cs="Times New Roman"/>
                <w:color w:val="auto"/>
                <w:u w:val="none"/>
              </w:rPr>
              <w:t>两级喷淋塔中和法</w:t>
            </w:r>
          </w:p>
        </w:tc>
        <w:tc>
          <w:tcPr>
            <w:tcW w:w="1888" w:type="pct"/>
            <w:tcBorders>
              <w:tl2br w:val="nil"/>
              <w:tr2bl w:val="nil"/>
            </w:tcBorders>
            <w:vAlign w:val="center"/>
          </w:tcPr>
          <w:p w14:paraId="08EE4914">
            <w:pPr>
              <w:pStyle w:val="41"/>
              <w:rPr>
                <w:rFonts w:hint="default" w:ascii="Times New Roman" w:hAnsi="Times New Roman" w:cs="Times New Roman"/>
                <w:color w:val="auto"/>
                <w:u w:val="none"/>
              </w:rPr>
            </w:pPr>
            <w:r>
              <w:rPr>
                <w:rFonts w:hint="default" w:ascii="Times New Roman" w:hAnsi="Times New Roman" w:cs="Times New Roman"/>
                <w:color w:val="auto"/>
                <w:u w:val="none"/>
              </w:rPr>
              <w:t>氢氧化钠溶液中和硫酸废气，去除率≥90%</w:t>
            </w:r>
          </w:p>
        </w:tc>
      </w:tr>
      <w:tr w14:paraId="180A63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669" w:type="pct"/>
            <w:tcBorders>
              <w:tl2br w:val="nil"/>
              <w:tr2bl w:val="nil"/>
            </w:tcBorders>
            <w:vAlign w:val="center"/>
          </w:tcPr>
          <w:p w14:paraId="1271CB06">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1297" w:type="pct"/>
            <w:tcBorders>
              <w:tl2br w:val="nil"/>
              <w:tr2bl w:val="nil"/>
            </w:tcBorders>
            <w:vAlign w:val="center"/>
          </w:tcPr>
          <w:p w14:paraId="5FFF08F0">
            <w:pPr>
              <w:pStyle w:val="41"/>
              <w:rPr>
                <w:rFonts w:hint="default" w:ascii="Times New Roman" w:hAnsi="Times New Roman" w:cs="Times New Roman"/>
                <w:color w:val="auto"/>
                <w:u w:val="none"/>
              </w:rPr>
            </w:pPr>
            <w:r>
              <w:rPr>
                <w:rFonts w:hint="eastAsia" w:cs="Times New Roman"/>
                <w:color w:val="auto"/>
                <w:u w:val="none"/>
                <w:lang w:val="en-US" w:eastAsia="zh-CN"/>
              </w:rPr>
              <w:t>铬酸雾</w:t>
            </w:r>
          </w:p>
        </w:tc>
        <w:tc>
          <w:tcPr>
            <w:tcW w:w="1144" w:type="pct"/>
            <w:tcBorders>
              <w:tl2br w:val="nil"/>
              <w:tr2bl w:val="nil"/>
            </w:tcBorders>
            <w:vAlign w:val="center"/>
          </w:tcPr>
          <w:p w14:paraId="71C7F4D6">
            <w:pPr>
              <w:pStyle w:val="41"/>
              <w:rPr>
                <w:rFonts w:hint="default" w:ascii="Times New Roman" w:hAnsi="Times New Roman" w:cs="Times New Roman"/>
                <w:color w:val="auto"/>
                <w:u w:val="none"/>
              </w:rPr>
            </w:pPr>
            <w:r>
              <w:rPr>
                <w:rFonts w:hint="default" w:ascii="Times New Roman" w:hAnsi="Times New Roman" w:cs="Times New Roman"/>
                <w:color w:val="auto"/>
                <w:u w:val="none"/>
              </w:rPr>
              <w:t>两级喷淋塔中和法</w:t>
            </w:r>
          </w:p>
        </w:tc>
        <w:tc>
          <w:tcPr>
            <w:tcW w:w="1888" w:type="pct"/>
            <w:tcBorders>
              <w:tl2br w:val="nil"/>
              <w:tr2bl w:val="nil"/>
            </w:tcBorders>
            <w:vAlign w:val="center"/>
          </w:tcPr>
          <w:p w14:paraId="1D687908">
            <w:pPr>
              <w:pStyle w:val="41"/>
              <w:rPr>
                <w:rFonts w:hint="default" w:ascii="Times New Roman" w:hAnsi="Times New Roman" w:cs="Times New Roman"/>
                <w:color w:val="auto"/>
                <w:u w:val="none"/>
              </w:rPr>
            </w:pPr>
            <w:r>
              <w:rPr>
                <w:rFonts w:hint="default" w:ascii="Times New Roman" w:hAnsi="Times New Roman" w:cs="Times New Roman"/>
                <w:color w:val="auto"/>
                <w:u w:val="none"/>
              </w:rPr>
              <w:t>氢氧化钠溶液中和</w:t>
            </w:r>
            <w:r>
              <w:rPr>
                <w:rFonts w:hint="eastAsia" w:cs="Times New Roman"/>
                <w:color w:val="auto"/>
                <w:u w:val="none"/>
                <w:lang w:val="en-US" w:eastAsia="zh-CN"/>
              </w:rPr>
              <w:t>铬酸</w:t>
            </w:r>
            <w:r>
              <w:rPr>
                <w:rFonts w:hint="default" w:ascii="Times New Roman" w:hAnsi="Times New Roman" w:cs="Times New Roman"/>
                <w:color w:val="auto"/>
                <w:u w:val="none"/>
              </w:rPr>
              <w:t>废气，去除率≥90%</w:t>
            </w:r>
          </w:p>
        </w:tc>
      </w:tr>
    </w:tbl>
    <w:p w14:paraId="33E1FC2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根据《排污许可证申请与核发技术规范 电镀工业》（HJ855—2017），电镀废气治理可行技术如下：</w:t>
      </w:r>
    </w:p>
    <w:p w14:paraId="2955DC12">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 7.2-2 电镀废气污染治理技术及效果</w:t>
      </w:r>
    </w:p>
    <w:tbl>
      <w:tblPr>
        <w:tblStyle w:val="30"/>
        <w:tblW w:w="501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34"/>
        <w:gridCol w:w="2389"/>
        <w:gridCol w:w="2456"/>
        <w:gridCol w:w="2184"/>
      </w:tblGrid>
      <w:tr w14:paraId="59CB6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97" w:type="pct"/>
            <w:tcBorders>
              <w:tl2br w:val="nil"/>
              <w:tr2bl w:val="nil"/>
            </w:tcBorders>
            <w:vAlign w:val="center"/>
          </w:tcPr>
          <w:p w14:paraId="44A90E9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1428" w:type="pct"/>
            <w:tcBorders>
              <w:tl2br w:val="nil"/>
              <w:tr2bl w:val="nil"/>
            </w:tcBorders>
            <w:vAlign w:val="center"/>
          </w:tcPr>
          <w:p w14:paraId="07E012B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废气种类</w:t>
            </w:r>
          </w:p>
        </w:tc>
        <w:tc>
          <w:tcPr>
            <w:tcW w:w="1468" w:type="pct"/>
            <w:tcBorders>
              <w:tl2br w:val="nil"/>
              <w:tr2bl w:val="nil"/>
            </w:tcBorders>
            <w:vAlign w:val="center"/>
          </w:tcPr>
          <w:p w14:paraId="69511F0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污染因子</w:t>
            </w:r>
          </w:p>
        </w:tc>
        <w:tc>
          <w:tcPr>
            <w:tcW w:w="1305" w:type="pct"/>
            <w:tcBorders>
              <w:tl2br w:val="nil"/>
              <w:tr2bl w:val="nil"/>
            </w:tcBorders>
            <w:vAlign w:val="center"/>
          </w:tcPr>
          <w:p w14:paraId="0F99702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治理技术</w:t>
            </w:r>
          </w:p>
        </w:tc>
      </w:tr>
      <w:tr w14:paraId="49613C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797" w:type="pct"/>
            <w:tcBorders>
              <w:tl2br w:val="nil"/>
              <w:tr2bl w:val="nil"/>
            </w:tcBorders>
            <w:vAlign w:val="center"/>
          </w:tcPr>
          <w:p w14:paraId="7C014E6B">
            <w:pPr>
              <w:pStyle w:val="41"/>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1428" w:type="pct"/>
            <w:tcBorders>
              <w:tl2br w:val="nil"/>
              <w:tr2bl w:val="nil"/>
            </w:tcBorders>
            <w:vAlign w:val="center"/>
          </w:tcPr>
          <w:p w14:paraId="234A0039">
            <w:pPr>
              <w:pStyle w:val="41"/>
              <w:rPr>
                <w:rFonts w:hint="default" w:ascii="Times New Roman" w:hAnsi="Times New Roman" w:cs="Times New Roman"/>
                <w:color w:val="auto"/>
                <w:u w:val="none"/>
              </w:rPr>
            </w:pPr>
            <w:r>
              <w:rPr>
                <w:rFonts w:hint="default" w:ascii="Times New Roman" w:hAnsi="Times New Roman" w:cs="Times New Roman"/>
                <w:color w:val="auto"/>
                <w:u w:val="none"/>
              </w:rPr>
              <w:t>酸碱废气</w:t>
            </w:r>
          </w:p>
        </w:tc>
        <w:tc>
          <w:tcPr>
            <w:tcW w:w="1468" w:type="pct"/>
            <w:tcBorders>
              <w:tl2br w:val="nil"/>
              <w:tr2bl w:val="nil"/>
            </w:tcBorders>
            <w:vAlign w:val="center"/>
          </w:tcPr>
          <w:p w14:paraId="2106F0E7">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硫酸雾</w:t>
            </w:r>
            <w:r>
              <w:rPr>
                <w:rFonts w:hint="eastAsia" w:cs="Times New Roman"/>
                <w:color w:val="auto"/>
                <w:u w:val="none"/>
                <w:lang w:eastAsia="zh-CN"/>
              </w:rPr>
              <w:t>、</w:t>
            </w:r>
            <w:r>
              <w:rPr>
                <w:rFonts w:hint="eastAsia" w:cs="Times New Roman"/>
                <w:color w:val="auto"/>
                <w:u w:val="none"/>
                <w:lang w:val="en-US" w:eastAsia="zh-CN"/>
              </w:rPr>
              <w:t>氮氧化物</w:t>
            </w:r>
          </w:p>
        </w:tc>
        <w:tc>
          <w:tcPr>
            <w:tcW w:w="1305" w:type="pct"/>
            <w:tcBorders>
              <w:tl2br w:val="nil"/>
              <w:tr2bl w:val="nil"/>
            </w:tcBorders>
            <w:vAlign w:val="center"/>
          </w:tcPr>
          <w:p w14:paraId="259E264D">
            <w:pPr>
              <w:pStyle w:val="41"/>
              <w:rPr>
                <w:rFonts w:hint="default" w:ascii="Times New Roman" w:hAnsi="Times New Roman" w:cs="Times New Roman"/>
                <w:color w:val="auto"/>
                <w:u w:val="none"/>
              </w:rPr>
            </w:pPr>
            <w:r>
              <w:rPr>
                <w:rFonts w:hint="default" w:ascii="Times New Roman" w:hAnsi="Times New Roman" w:cs="Times New Roman"/>
                <w:color w:val="auto"/>
                <w:u w:val="none"/>
              </w:rPr>
              <w:t>喷淋塔中和法</w:t>
            </w:r>
          </w:p>
        </w:tc>
      </w:tr>
      <w:tr w14:paraId="065F65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797" w:type="pct"/>
            <w:tcBorders>
              <w:tl2br w:val="nil"/>
              <w:tr2bl w:val="nil"/>
            </w:tcBorders>
            <w:vAlign w:val="center"/>
          </w:tcPr>
          <w:p w14:paraId="2152F1FE">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2</w:t>
            </w:r>
          </w:p>
        </w:tc>
        <w:tc>
          <w:tcPr>
            <w:tcW w:w="1428" w:type="pct"/>
            <w:tcBorders>
              <w:tl2br w:val="nil"/>
              <w:tr2bl w:val="nil"/>
            </w:tcBorders>
            <w:vAlign w:val="center"/>
          </w:tcPr>
          <w:p w14:paraId="2C885C78">
            <w:pPr>
              <w:pStyle w:val="41"/>
              <w:rPr>
                <w:rFonts w:hint="default" w:ascii="Times New Roman" w:hAnsi="Times New Roman" w:cs="Times New Roman"/>
                <w:color w:val="auto"/>
                <w:u w:val="none"/>
              </w:rPr>
            </w:pPr>
            <w:r>
              <w:rPr>
                <w:rFonts w:hint="default" w:ascii="Times New Roman" w:hAnsi="Times New Roman" w:cs="Times New Roman"/>
                <w:color w:val="auto"/>
                <w:u w:val="none"/>
              </w:rPr>
              <w:t>铬酸盐封闭</w:t>
            </w:r>
          </w:p>
        </w:tc>
        <w:tc>
          <w:tcPr>
            <w:tcW w:w="1468" w:type="pct"/>
            <w:tcBorders>
              <w:tl2br w:val="nil"/>
              <w:tr2bl w:val="nil"/>
            </w:tcBorders>
            <w:vAlign w:val="center"/>
          </w:tcPr>
          <w:p w14:paraId="4A8BCF64">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铬酸雾</w:t>
            </w:r>
          </w:p>
        </w:tc>
        <w:tc>
          <w:tcPr>
            <w:tcW w:w="1305" w:type="pct"/>
            <w:tcBorders>
              <w:tl2br w:val="nil"/>
              <w:tr2bl w:val="nil"/>
            </w:tcBorders>
            <w:vAlign w:val="center"/>
          </w:tcPr>
          <w:p w14:paraId="3EF35B08">
            <w:pPr>
              <w:pStyle w:val="41"/>
              <w:rPr>
                <w:rFonts w:hint="default" w:ascii="Times New Roman" w:hAnsi="Times New Roman" w:cs="Times New Roman"/>
                <w:color w:val="auto"/>
                <w:u w:val="none"/>
              </w:rPr>
            </w:pPr>
            <w:r>
              <w:rPr>
                <w:rFonts w:hint="default" w:ascii="Times New Roman" w:hAnsi="Times New Roman" w:cs="Times New Roman"/>
                <w:color w:val="auto"/>
                <w:u w:val="none"/>
              </w:rPr>
              <w:t>喷淋塔中和法</w:t>
            </w:r>
          </w:p>
        </w:tc>
      </w:tr>
    </w:tbl>
    <w:p w14:paraId="0B62C0A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因此，本项目酸性废气经碱性喷淋塔处理后能达标排放。</w:t>
      </w:r>
    </w:p>
    <w:p w14:paraId="0237631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 xml:space="preserve">）排气筒设置合理性分析 </w:t>
      </w:r>
    </w:p>
    <w:p w14:paraId="13DD9EE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建设项目排气筒设置情况详见下表。 </w:t>
      </w:r>
    </w:p>
    <w:p w14:paraId="5E8A0E5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 7.2-3  建设项目有组织废气处理措施一览表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25"/>
        <w:gridCol w:w="1131"/>
        <w:gridCol w:w="1431"/>
        <w:gridCol w:w="1284"/>
        <w:gridCol w:w="1166"/>
        <w:gridCol w:w="1098"/>
        <w:gridCol w:w="1098"/>
      </w:tblGrid>
      <w:tr w14:paraId="073FC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75" w:type="pct"/>
            <w:tcBorders>
              <w:tl2br w:val="nil"/>
              <w:tr2bl w:val="nil"/>
            </w:tcBorders>
            <w:vAlign w:val="center"/>
          </w:tcPr>
          <w:p w14:paraId="01E34F6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排气筒编号</w:t>
            </w:r>
          </w:p>
        </w:tc>
        <w:tc>
          <w:tcPr>
            <w:tcW w:w="678" w:type="pct"/>
            <w:tcBorders>
              <w:tl2br w:val="nil"/>
              <w:tr2bl w:val="nil"/>
            </w:tcBorders>
            <w:vAlign w:val="center"/>
          </w:tcPr>
          <w:p w14:paraId="4265EB8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产污环节</w:t>
            </w:r>
          </w:p>
        </w:tc>
        <w:tc>
          <w:tcPr>
            <w:tcW w:w="858" w:type="pct"/>
            <w:tcBorders>
              <w:tl2br w:val="nil"/>
              <w:tr2bl w:val="nil"/>
            </w:tcBorders>
            <w:vAlign w:val="center"/>
          </w:tcPr>
          <w:p w14:paraId="36EEB02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770" w:type="pct"/>
            <w:tcBorders>
              <w:tl2br w:val="nil"/>
              <w:tr2bl w:val="nil"/>
            </w:tcBorders>
            <w:vAlign w:val="center"/>
          </w:tcPr>
          <w:p w14:paraId="33C1EE9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废气量万m</w:t>
            </w:r>
            <w:r>
              <w:rPr>
                <w:rFonts w:hint="default" w:ascii="Times New Roman" w:hAnsi="Times New Roman" w:cs="Times New Roman"/>
                <w:b/>
                <w:bCs/>
                <w:color w:val="auto"/>
                <w:u w:val="none"/>
                <w:vertAlign w:val="superscript"/>
              </w:rPr>
              <w:t>3</w:t>
            </w:r>
            <w:r>
              <w:rPr>
                <w:rFonts w:hint="default" w:ascii="Times New Roman" w:hAnsi="Times New Roman" w:cs="Times New Roman"/>
                <w:b/>
                <w:bCs/>
                <w:color w:val="auto"/>
                <w:u w:val="none"/>
              </w:rPr>
              <w:t>/h</w:t>
            </w:r>
          </w:p>
        </w:tc>
        <w:tc>
          <w:tcPr>
            <w:tcW w:w="699" w:type="pct"/>
            <w:tcBorders>
              <w:tl2br w:val="nil"/>
              <w:tr2bl w:val="nil"/>
            </w:tcBorders>
            <w:vAlign w:val="center"/>
          </w:tcPr>
          <w:p w14:paraId="45CDF53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高度(m)</w:t>
            </w:r>
          </w:p>
        </w:tc>
        <w:tc>
          <w:tcPr>
            <w:tcW w:w="658" w:type="pct"/>
            <w:tcBorders>
              <w:tl2br w:val="nil"/>
              <w:tr2bl w:val="nil"/>
            </w:tcBorders>
            <w:vAlign w:val="center"/>
          </w:tcPr>
          <w:p w14:paraId="1897C7E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内径(m)</w:t>
            </w:r>
          </w:p>
        </w:tc>
        <w:tc>
          <w:tcPr>
            <w:tcW w:w="658" w:type="pct"/>
            <w:tcBorders>
              <w:tl2br w:val="nil"/>
              <w:tr2bl w:val="nil"/>
            </w:tcBorders>
            <w:vAlign w:val="center"/>
          </w:tcPr>
          <w:p w14:paraId="234A1719">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出口风速（m/s）</w:t>
            </w:r>
          </w:p>
        </w:tc>
      </w:tr>
      <w:tr w14:paraId="7223B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675" w:type="pct"/>
            <w:tcBorders>
              <w:tl2br w:val="nil"/>
              <w:tr2bl w:val="nil"/>
            </w:tcBorders>
            <w:vAlign w:val="center"/>
          </w:tcPr>
          <w:p w14:paraId="0A9C411B">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DA0</w:t>
            </w:r>
            <w:r>
              <w:rPr>
                <w:rFonts w:hint="eastAsia" w:cs="Times New Roman"/>
                <w:color w:val="auto"/>
                <w:u w:val="none"/>
                <w:lang w:val="en-US" w:eastAsia="zh-CN"/>
              </w:rPr>
              <w:t>01</w:t>
            </w:r>
          </w:p>
        </w:tc>
        <w:tc>
          <w:tcPr>
            <w:tcW w:w="678" w:type="pct"/>
            <w:tcBorders>
              <w:tl2br w:val="nil"/>
              <w:tr2bl w:val="nil"/>
            </w:tcBorders>
            <w:vAlign w:val="center"/>
          </w:tcPr>
          <w:p w14:paraId="5C97A92B">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阳极氧化线</w:t>
            </w:r>
          </w:p>
        </w:tc>
        <w:tc>
          <w:tcPr>
            <w:tcW w:w="858" w:type="pct"/>
            <w:tcBorders>
              <w:tl2br w:val="nil"/>
              <w:tr2bl w:val="nil"/>
            </w:tcBorders>
            <w:vAlign w:val="center"/>
          </w:tcPr>
          <w:p w14:paraId="10989221">
            <w:pPr>
              <w:pStyle w:val="41"/>
              <w:rPr>
                <w:rFonts w:hint="default" w:ascii="Times New Roman" w:hAnsi="Times New Roman" w:eastAsia="宋体" w:cs="Times New Roman"/>
                <w:color w:val="auto"/>
                <w:u w:val="none"/>
                <w:lang w:val="en-US" w:eastAsia="zh-CN"/>
              </w:rPr>
            </w:pPr>
            <w:r>
              <w:rPr>
                <w:rFonts w:hint="default" w:ascii="Times New Roman" w:hAnsi="Times New Roman" w:cs="Times New Roman"/>
                <w:color w:val="auto"/>
                <w:u w:val="none"/>
              </w:rPr>
              <w:t>硫酸雾</w:t>
            </w:r>
            <w:r>
              <w:rPr>
                <w:rFonts w:hint="eastAsia" w:cs="Times New Roman"/>
                <w:color w:val="auto"/>
                <w:u w:val="none"/>
                <w:lang w:eastAsia="zh-CN"/>
              </w:rPr>
              <w:t>、</w:t>
            </w:r>
            <w:r>
              <w:rPr>
                <w:rFonts w:hint="eastAsia" w:cs="Times New Roman"/>
                <w:color w:val="auto"/>
                <w:u w:val="none"/>
                <w:lang w:val="en-US" w:eastAsia="zh-CN"/>
              </w:rPr>
              <w:t>氮氧化物</w:t>
            </w:r>
          </w:p>
        </w:tc>
        <w:tc>
          <w:tcPr>
            <w:tcW w:w="770" w:type="pct"/>
            <w:tcBorders>
              <w:tl2br w:val="nil"/>
              <w:tr2bl w:val="nil"/>
            </w:tcBorders>
            <w:vAlign w:val="center"/>
          </w:tcPr>
          <w:p w14:paraId="25634042">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2</w:t>
            </w:r>
          </w:p>
        </w:tc>
        <w:tc>
          <w:tcPr>
            <w:tcW w:w="699" w:type="pct"/>
            <w:tcBorders>
              <w:tl2br w:val="nil"/>
              <w:tr2bl w:val="nil"/>
            </w:tcBorders>
            <w:vAlign w:val="center"/>
          </w:tcPr>
          <w:p w14:paraId="02AC3F61">
            <w:pPr>
              <w:pStyle w:val="41"/>
              <w:rPr>
                <w:rFonts w:hint="default" w:ascii="Times New Roman" w:hAnsi="Times New Roman" w:cs="Times New Roman"/>
                <w:color w:val="auto"/>
                <w:u w:val="none"/>
              </w:rPr>
            </w:pPr>
            <w:r>
              <w:rPr>
                <w:rFonts w:hint="default" w:ascii="Times New Roman" w:hAnsi="Times New Roman" w:cs="Times New Roman"/>
                <w:color w:val="auto"/>
                <w:u w:val="none"/>
              </w:rPr>
              <w:t>25.5</w:t>
            </w:r>
          </w:p>
        </w:tc>
        <w:tc>
          <w:tcPr>
            <w:tcW w:w="658" w:type="pct"/>
            <w:tcBorders>
              <w:tl2br w:val="nil"/>
              <w:tr2bl w:val="nil"/>
            </w:tcBorders>
            <w:vAlign w:val="center"/>
          </w:tcPr>
          <w:p w14:paraId="4F96E6A9">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0.8</w:t>
            </w:r>
          </w:p>
        </w:tc>
        <w:tc>
          <w:tcPr>
            <w:tcW w:w="658" w:type="pct"/>
            <w:tcBorders>
              <w:tl2br w:val="nil"/>
              <w:tr2bl w:val="nil"/>
            </w:tcBorders>
            <w:vAlign w:val="center"/>
          </w:tcPr>
          <w:p w14:paraId="61133972">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11.05</w:t>
            </w:r>
          </w:p>
        </w:tc>
      </w:tr>
      <w:tr w14:paraId="575E0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675" w:type="pct"/>
            <w:tcBorders>
              <w:tl2br w:val="nil"/>
              <w:tr2bl w:val="nil"/>
            </w:tcBorders>
            <w:vAlign w:val="center"/>
          </w:tcPr>
          <w:p w14:paraId="6F328BF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DA002</w:t>
            </w:r>
          </w:p>
        </w:tc>
        <w:tc>
          <w:tcPr>
            <w:tcW w:w="678" w:type="pct"/>
            <w:tcBorders>
              <w:tl2br w:val="nil"/>
              <w:tr2bl w:val="nil"/>
            </w:tcBorders>
            <w:vAlign w:val="center"/>
          </w:tcPr>
          <w:p w14:paraId="7ECC1C74">
            <w:pPr>
              <w:pStyle w:val="41"/>
              <w:rPr>
                <w:rFonts w:hint="default" w:ascii="Times New Roman" w:hAnsi="Times New Roman" w:cs="Times New Roman"/>
                <w:color w:val="auto"/>
                <w:u w:val="none"/>
              </w:rPr>
            </w:pPr>
            <w:r>
              <w:rPr>
                <w:rFonts w:hint="default" w:ascii="Times New Roman" w:hAnsi="Times New Roman" w:cs="Times New Roman"/>
                <w:color w:val="auto"/>
                <w:u w:val="none"/>
              </w:rPr>
              <w:t>铬酸盐封闭</w:t>
            </w:r>
          </w:p>
        </w:tc>
        <w:tc>
          <w:tcPr>
            <w:tcW w:w="858" w:type="pct"/>
            <w:tcBorders>
              <w:tl2br w:val="nil"/>
              <w:tr2bl w:val="nil"/>
            </w:tcBorders>
            <w:vAlign w:val="center"/>
          </w:tcPr>
          <w:p w14:paraId="6D283CFE">
            <w:pPr>
              <w:pStyle w:val="41"/>
              <w:rPr>
                <w:rFonts w:hint="default" w:ascii="Times New Roman" w:hAnsi="Times New Roman" w:cs="Times New Roman"/>
                <w:color w:val="auto"/>
                <w:u w:val="none"/>
              </w:rPr>
            </w:pPr>
            <w:r>
              <w:rPr>
                <w:rFonts w:hint="eastAsia" w:cs="Times New Roman"/>
                <w:color w:val="auto"/>
                <w:u w:val="none"/>
                <w:lang w:val="en-US" w:eastAsia="zh-CN"/>
              </w:rPr>
              <w:t>铬酸雾</w:t>
            </w:r>
          </w:p>
        </w:tc>
        <w:tc>
          <w:tcPr>
            <w:tcW w:w="770" w:type="pct"/>
            <w:tcBorders>
              <w:tl2br w:val="nil"/>
              <w:tr2bl w:val="nil"/>
            </w:tcBorders>
            <w:vAlign w:val="center"/>
          </w:tcPr>
          <w:p w14:paraId="2D36EF7B">
            <w:pPr>
              <w:pStyle w:val="41"/>
              <w:rPr>
                <w:rFonts w:hint="default" w:cs="Times New Roman"/>
                <w:color w:val="auto"/>
                <w:u w:val="none"/>
                <w:lang w:val="en-US" w:eastAsia="zh-CN"/>
              </w:rPr>
            </w:pPr>
            <w:r>
              <w:rPr>
                <w:rFonts w:hint="eastAsia" w:cs="Times New Roman"/>
                <w:color w:val="auto"/>
                <w:u w:val="none"/>
                <w:lang w:val="en-US" w:eastAsia="zh-CN"/>
              </w:rPr>
              <w:t>3</w:t>
            </w:r>
          </w:p>
        </w:tc>
        <w:tc>
          <w:tcPr>
            <w:tcW w:w="699" w:type="pct"/>
            <w:tcBorders>
              <w:tl2br w:val="nil"/>
              <w:tr2bl w:val="nil"/>
            </w:tcBorders>
            <w:vAlign w:val="center"/>
          </w:tcPr>
          <w:p w14:paraId="51D8FEB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25.5</w:t>
            </w:r>
          </w:p>
        </w:tc>
        <w:tc>
          <w:tcPr>
            <w:tcW w:w="658" w:type="pct"/>
            <w:tcBorders>
              <w:tl2br w:val="nil"/>
              <w:tr2bl w:val="nil"/>
            </w:tcBorders>
            <w:vAlign w:val="center"/>
          </w:tcPr>
          <w:p w14:paraId="6DB0D7D5">
            <w:pPr>
              <w:pStyle w:val="41"/>
              <w:rPr>
                <w:rFonts w:hint="default" w:cs="Times New Roman"/>
                <w:color w:val="auto"/>
                <w:u w:val="none"/>
                <w:lang w:val="en-US" w:eastAsia="zh-CN"/>
              </w:rPr>
            </w:pPr>
            <w:r>
              <w:rPr>
                <w:rFonts w:hint="eastAsia" w:cs="Times New Roman"/>
                <w:color w:val="auto"/>
                <w:u w:val="none"/>
                <w:lang w:val="en-US" w:eastAsia="zh-CN"/>
              </w:rPr>
              <w:t>0.8</w:t>
            </w:r>
          </w:p>
        </w:tc>
        <w:tc>
          <w:tcPr>
            <w:tcW w:w="658" w:type="pct"/>
            <w:tcBorders>
              <w:tl2br w:val="nil"/>
              <w:tr2bl w:val="nil"/>
            </w:tcBorders>
            <w:vAlign w:val="center"/>
          </w:tcPr>
          <w:p w14:paraId="48872A1E">
            <w:pPr>
              <w:pStyle w:val="41"/>
              <w:rPr>
                <w:rFonts w:hint="default" w:cs="Times New Roman"/>
                <w:color w:val="auto"/>
                <w:u w:val="none"/>
                <w:lang w:val="en-US" w:eastAsia="zh-CN"/>
              </w:rPr>
            </w:pPr>
            <w:r>
              <w:rPr>
                <w:rFonts w:hint="eastAsia" w:cs="Times New Roman"/>
                <w:color w:val="auto"/>
                <w:u w:val="none"/>
                <w:lang w:val="en-US" w:eastAsia="zh-CN"/>
              </w:rPr>
              <w:t>16.58</w:t>
            </w:r>
          </w:p>
        </w:tc>
      </w:tr>
    </w:tbl>
    <w:p w14:paraId="1D6806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电镀污染物排放标准》（GB21900-2008）规定“4.2.5产生空气污染物的生产工艺装置必须设立局部气体收集系统和集中净化处理装置，净化后的气体由排气简排放。排气简高度不低于15m，排放含氰化氢气体的排气简高度不低于25m。目前项目周围200m范围内最高的建筑低于50m，排气筒DA00</w:t>
      </w:r>
      <w:r>
        <w:rPr>
          <w:rFonts w:hint="eastAsia" w:ascii="Times New Roman" w:hAnsi="Times New Roman" w:cs="Times New Roman"/>
          <w:color w:val="auto"/>
          <w:u w:val="none"/>
          <w:lang w:val="en-US" w:eastAsia="zh-CN"/>
        </w:rPr>
        <w:t>1。DA002</w:t>
      </w:r>
      <w:r>
        <w:rPr>
          <w:rFonts w:hint="default" w:ascii="Times New Roman" w:hAnsi="Times New Roman" w:cs="Times New Roman"/>
          <w:color w:val="auto"/>
          <w:u w:val="none"/>
        </w:rPr>
        <w:t>设置高度为25.5m，应按排放浓度限值的50%执行。”</w:t>
      </w:r>
    </w:p>
    <w:p w14:paraId="644DEF2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综上分析，DA0</w:t>
      </w:r>
      <w:r>
        <w:rPr>
          <w:rFonts w:hint="eastAsia" w:ascii="Times New Roman" w:hAnsi="Times New Roman" w:cs="Times New Roman"/>
          <w:color w:val="auto"/>
          <w:u w:val="none"/>
          <w:lang w:val="en-US" w:eastAsia="zh-CN"/>
        </w:rPr>
        <w:t>01</w:t>
      </w:r>
      <w:r>
        <w:rPr>
          <w:rFonts w:hint="default" w:ascii="Times New Roman" w:hAnsi="Times New Roman" w:cs="Times New Roman"/>
          <w:color w:val="auto"/>
          <w:u w:val="none"/>
        </w:rPr>
        <w:t>硫酸雾</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氮氧化物及DA002铬酸雾</w:t>
      </w:r>
      <w:r>
        <w:rPr>
          <w:rFonts w:hint="default" w:ascii="Times New Roman" w:hAnsi="Times New Roman" w:cs="Times New Roman"/>
          <w:color w:val="auto"/>
          <w:u w:val="none"/>
        </w:rPr>
        <w:t>满足《电镀污染物排放标准》（GB21900-2008）的要求。建设项目排气筒设置合理，技术可行。</w:t>
      </w:r>
    </w:p>
    <w:bookmarkEnd w:id="172"/>
    <w:bookmarkEnd w:id="173"/>
    <w:p w14:paraId="25A6096E">
      <w:pPr>
        <w:pStyle w:val="4"/>
        <w:ind w:left="0" w:leftChars="0" w:firstLineChars="0"/>
        <w:rPr>
          <w:rFonts w:hint="default" w:ascii="Times New Roman" w:hAnsi="Times New Roman" w:cs="Times New Roman"/>
          <w:color w:val="auto"/>
          <w:u w:val="none"/>
        </w:rPr>
      </w:pPr>
      <w:bookmarkStart w:id="174" w:name="_Toc27707"/>
      <w:bookmarkStart w:id="175" w:name="_Toc6224"/>
      <w:r>
        <w:rPr>
          <w:rFonts w:hint="default" w:ascii="Times New Roman" w:hAnsi="Times New Roman" w:cs="Times New Roman"/>
          <w:color w:val="auto"/>
          <w:u w:val="none"/>
        </w:rPr>
        <w:t>营运期地表水环境污染防治措施及可行性分析</w:t>
      </w:r>
      <w:bookmarkEnd w:id="174"/>
      <w:bookmarkEnd w:id="175"/>
    </w:p>
    <w:p w14:paraId="6B1A6C3C">
      <w:pPr>
        <w:autoSpaceDE w:val="0"/>
        <w:autoSpaceDN w:val="0"/>
        <w:adjustRightInd w:val="0"/>
        <w:ind w:firstLine="424" w:firstLineChars="177"/>
        <w:jc w:val="left"/>
        <w:rPr>
          <w:rFonts w:hint="default" w:ascii="Times New Roman" w:hAnsi="Times New Roman" w:cs="Times New Roman"/>
          <w:color w:val="auto"/>
          <w:u w:val="none"/>
        </w:rPr>
      </w:pPr>
      <w:bookmarkStart w:id="176" w:name="_Toc13784"/>
      <w:r>
        <w:rPr>
          <w:rFonts w:hint="default" w:ascii="Times New Roman" w:hAnsi="Times New Roman" w:cs="Times New Roman"/>
          <w:color w:val="auto"/>
          <w:u w:val="none"/>
        </w:rPr>
        <w:t>（1）项目废水种类</w:t>
      </w:r>
    </w:p>
    <w:p w14:paraId="2ACBD657">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本项目废水包括生产废水及生活污水。生产废水有含镍废水、含镍废液、含铬废水、含磷废水、含油废液、碱废液及综合废水等。</w:t>
      </w:r>
    </w:p>
    <w:p w14:paraId="28B51AB9">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（2）废水处理基本原则</w:t>
      </w:r>
    </w:p>
    <w:p w14:paraId="36458B05">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项目生产厂区配套设有铝阳极氧化线，铝阳极氧化线适用于《电镀污染物排放标准》（GB 21900-2008）适用范围，因此项目废水处理参照电镀相关要求：</w:t>
      </w:r>
    </w:p>
    <w:p w14:paraId="11A71767">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①企业废水必须全部纳管；建设统一、集中的废水处理设施，废水按照不同污染物分质分流，含一类重金属污染的废水经单独处理达标后方能与综合废水合并处理。</w:t>
      </w:r>
    </w:p>
    <w:p w14:paraId="76435B87">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②废水处理工艺应严格按照《电镀废水治理工程技术规范》（HJ2002-20101） 选取，必须要有重金属离子、化学需氧量及氨氮的达标工序。含镍、铬废水宜采用化学沉淀、离子交换等技术；COD</w:t>
      </w:r>
      <w:r>
        <w:rPr>
          <w:rFonts w:hint="default" w:ascii="Times New Roman" w:hAnsi="Times New Roman" w:cs="Times New Roman"/>
          <w:color w:val="auto"/>
          <w:u w:val="none"/>
          <w:vertAlign w:val="subscript"/>
        </w:rPr>
        <w:t>cr</w:t>
      </w:r>
      <w:r>
        <w:rPr>
          <w:rFonts w:hint="default" w:ascii="Times New Roman" w:hAnsi="Times New Roman" w:cs="Times New Roman"/>
          <w:color w:val="auto"/>
          <w:u w:val="none"/>
        </w:rPr>
        <w:t>、石油类、总磷、氨氮与总氮等污染物，宜采用生物处理达标后排放。废水深度处理及回用宜采用砂滤、活性炭吸附、离子交换、膜处理等技术。</w:t>
      </w:r>
    </w:p>
    <w:p w14:paraId="512A492E">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③废水处理站需安装流量计，pH值调节应采用pH计连锁自动投加。</w:t>
      </w:r>
    </w:p>
    <w:p w14:paraId="14FA9869">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（2）本项目废水处理方式</w:t>
      </w:r>
    </w:p>
    <w:p w14:paraId="7F33F741">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生活污水：经化粪池处理后，通过生活污水排放口（DW001）进入市政污水管网。</w:t>
      </w:r>
    </w:p>
    <w:p w14:paraId="2EFE7FBA">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根据设计，本项目运行过程产生的生产废水根据废水性质按含油废液、含镍废液、含镍废水、含铬废水、含磷废水（液）、碱废液、综合废水、酸雾吸收废水、纯水制备废水等进行分类收集处理。</w:t>
      </w:r>
    </w:p>
    <w:p w14:paraId="351194CC">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各类废水处理方式如下：</w:t>
      </w:r>
    </w:p>
    <w:p w14:paraId="5A7B4251">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含镍废水：中和预处理后接入多级膜系统浓缩与纯化，水进行回用，浓缩液至高浓度含镍废水池再处理，高浓度含镍废水处理系统采用沉淀处理+蒸发结晶处理工艺。</w:t>
      </w:r>
    </w:p>
    <w:p w14:paraId="750B323A">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含镍废液：先进行沉淀处理，处理后水接入蒸发结晶系统，实现含镍废水零排放。</w:t>
      </w:r>
    </w:p>
    <w:p w14:paraId="715CD173">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含铬废水：中和预处理后接入多级膜系统浓缩与纯化，水进行回用，浓缩液至高浓度含铬废水池，高浓度含铬废水处理系统采用沉淀处理+蒸发结晶处理工艺。</w:t>
      </w:r>
    </w:p>
    <w:p w14:paraId="1FA785E6">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含磷废水：采用蒸发浓缩工艺，冷凝水至化抛后道水洗槽，浓缩液委外处理。</w:t>
      </w:r>
    </w:p>
    <w:p w14:paraId="3B235898">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含油废液：隔油后，进入</w:t>
      </w:r>
      <w:r>
        <w:rPr>
          <w:rFonts w:hint="eastAsia" w:ascii="Times New Roman" w:hAnsi="Times New Roman" w:cs="Times New Roman"/>
          <w:color w:val="auto"/>
          <w:u w:val="none"/>
          <w:lang w:val="en-US" w:eastAsia="zh-CN"/>
        </w:rPr>
        <w:t>废水处理站</w:t>
      </w:r>
      <w:r>
        <w:rPr>
          <w:rFonts w:hint="default" w:ascii="Times New Roman" w:hAnsi="Times New Roman" w:cs="Times New Roman"/>
          <w:color w:val="auto"/>
          <w:u w:val="none"/>
        </w:rPr>
        <w:t>。</w:t>
      </w:r>
    </w:p>
    <w:p w14:paraId="6E07F2B3">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碱废液：中和后，进入</w:t>
      </w:r>
      <w:r>
        <w:rPr>
          <w:rFonts w:hint="default" w:ascii="Times New Roman" w:hAnsi="Times New Roman" w:cs="Times New Roman"/>
          <w:color w:val="auto"/>
          <w:u w:val="none"/>
          <w:lang w:val="en-US" w:eastAsia="zh-CN"/>
        </w:rPr>
        <w:t>废水处理站</w:t>
      </w:r>
      <w:r>
        <w:rPr>
          <w:rFonts w:hint="default" w:ascii="Times New Roman" w:hAnsi="Times New Roman" w:cs="Times New Roman"/>
          <w:color w:val="auto"/>
          <w:u w:val="none"/>
        </w:rPr>
        <w:t>。</w:t>
      </w:r>
    </w:p>
    <w:p w14:paraId="2185402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综合废水：</w:t>
      </w:r>
      <w:r>
        <w:rPr>
          <w:rFonts w:hint="eastAsia" w:ascii="Times New Roman" w:hAnsi="Times New Roman" w:cs="Times New Roman"/>
          <w:color w:val="auto"/>
          <w:u w:val="none"/>
          <w:lang w:val="en-US" w:eastAsia="zh-CN"/>
        </w:rPr>
        <w:t>排入本项目废水处理站</w:t>
      </w:r>
      <w:r>
        <w:rPr>
          <w:rFonts w:hint="default" w:ascii="Times New Roman" w:hAnsi="Times New Roman" w:cs="Times New Roman"/>
          <w:color w:val="auto"/>
          <w:u w:val="none"/>
        </w:rPr>
        <w:t>，通过生产废水排放口（DW002）进入市政污水官网。</w:t>
      </w:r>
    </w:p>
    <w:p w14:paraId="0F59AE96">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（3）废水处理措施可行性分析</w:t>
      </w:r>
    </w:p>
    <w:p w14:paraId="6229B093">
      <w:pPr>
        <w:autoSpaceDE w:val="0"/>
        <w:autoSpaceDN w:val="0"/>
        <w:adjustRightInd w:val="0"/>
        <w:ind w:firstLine="424" w:firstLineChars="177"/>
        <w:rPr>
          <w:rFonts w:hint="default" w:ascii="Times New Roman" w:hAnsi="Times New Roman" w:cs="Times New Roman"/>
          <w:color w:val="auto"/>
          <w:u w:val="none"/>
        </w:rPr>
      </w:pPr>
      <w:r>
        <w:rPr>
          <w:rFonts w:hint="default" w:ascii="Times New Roman" w:hAnsi="Times New Roman" w:cs="Times New Roman"/>
          <w:color w:val="auto"/>
          <w:u w:val="none"/>
        </w:rPr>
        <w:t>①生活污水</w:t>
      </w:r>
    </w:p>
    <w:p w14:paraId="0E553435">
      <w:pPr>
        <w:autoSpaceDE w:val="0"/>
        <w:autoSpaceDN w:val="0"/>
        <w:adjustRightInd w:val="0"/>
        <w:ind w:firstLine="424" w:firstLineChars="177"/>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生活污水</w:t>
      </w:r>
      <w:r>
        <w:rPr>
          <w:rFonts w:hint="default" w:ascii="Times New Roman" w:hAnsi="Times New Roman" w:cs="Times New Roman"/>
          <w:color w:val="auto"/>
          <w:u w:val="none"/>
        </w:rPr>
        <w:t>经化粪池预处理后排入市政污水管网，生活污水COD、BOD</w:t>
      </w:r>
      <w:r>
        <w:rPr>
          <w:rFonts w:hint="default" w:ascii="Times New Roman" w:hAnsi="Times New Roman" w:cs="Times New Roman"/>
          <w:color w:val="auto"/>
          <w:u w:val="none"/>
          <w:vertAlign w:val="subscript"/>
        </w:rPr>
        <w:t>5</w:t>
      </w:r>
      <w:r>
        <w:rPr>
          <w:rFonts w:hint="default" w:ascii="Times New Roman" w:hAnsi="Times New Roman" w:cs="Times New Roman"/>
          <w:color w:val="auto"/>
          <w:u w:val="none"/>
        </w:rPr>
        <w:t>、SS、氨氮、总磷及动植物油都不高，经化粪池处理后能达到</w:t>
      </w:r>
      <w:r>
        <w:rPr>
          <w:rFonts w:hint="default" w:ascii="Times New Roman" w:hAnsi="Times New Roman" w:cs="Times New Roman"/>
          <w:color w:val="auto"/>
          <w:kern w:val="0"/>
          <w:u w:val="none"/>
        </w:rPr>
        <w:t>《污水综合排放标准》(GB8978-1996)三级标准和城陵矶临港产业新区污水处理厂的纳管协议标准</w:t>
      </w:r>
      <w:r>
        <w:rPr>
          <w:rFonts w:hint="default" w:ascii="Times New Roman" w:hAnsi="Times New Roman" w:cs="Times New Roman"/>
          <w:color w:val="auto"/>
          <w:kern w:val="0"/>
          <w:u w:val="none"/>
          <w:lang w:val="en-US" w:eastAsia="zh-CN"/>
        </w:rPr>
        <w:t>要求</w:t>
      </w:r>
      <w:r>
        <w:rPr>
          <w:rFonts w:hint="default" w:ascii="Times New Roman" w:hAnsi="Times New Roman" w:cs="Times New Roman"/>
          <w:color w:val="auto"/>
          <w:u w:val="none"/>
        </w:rPr>
        <w:t>。</w:t>
      </w:r>
    </w:p>
    <w:p w14:paraId="6286C3CE">
      <w:pPr>
        <w:bidi w:val="0"/>
        <w:rPr>
          <w:rFonts w:hint="default" w:ascii="Times New Roman" w:hAnsi="Times New Roman" w:cs="Times New Roman"/>
          <w:color w:val="auto"/>
          <w:u w:val="none"/>
        </w:rPr>
      </w:pPr>
    </w:p>
    <w:p w14:paraId="65B793E9">
      <w:pPr>
        <w:bidi w:val="0"/>
        <w:rPr>
          <w:rFonts w:hint="default" w:ascii="Times New Roman" w:hAnsi="Times New Roman" w:cs="Times New Roman"/>
          <w:color w:val="auto"/>
          <w:u w:val="none"/>
        </w:rPr>
      </w:pPr>
    </w:p>
    <w:p w14:paraId="0CF98F93">
      <w:pPr>
        <w:bidi w:val="0"/>
        <w:rPr>
          <w:rFonts w:hint="default" w:ascii="Times New Roman" w:hAnsi="Times New Roman" w:cs="Times New Roman"/>
          <w:color w:val="auto"/>
          <w:u w:val="none"/>
        </w:rPr>
      </w:pPr>
    </w:p>
    <w:p w14:paraId="56687D16">
      <w:pPr>
        <w:bidi w:val="0"/>
        <w:rPr>
          <w:rFonts w:hint="default" w:ascii="Times New Roman" w:hAnsi="Times New Roman" w:cs="Times New Roman"/>
          <w:color w:val="auto"/>
          <w:u w:val="none"/>
        </w:rPr>
      </w:pPr>
    </w:p>
    <w:p w14:paraId="07978506">
      <w:pPr>
        <w:bidi w:val="0"/>
        <w:rPr>
          <w:rFonts w:hint="default" w:ascii="Times New Roman" w:hAnsi="Times New Roman" w:cs="Times New Roman"/>
          <w:color w:val="auto"/>
          <w:u w:val="none"/>
        </w:rPr>
      </w:pPr>
    </w:p>
    <w:p w14:paraId="1BF0D73B">
      <w:pPr>
        <w:bidi w:val="0"/>
        <w:rPr>
          <w:rFonts w:hint="default" w:ascii="Times New Roman" w:hAnsi="Times New Roman" w:cs="Times New Roman"/>
          <w:color w:val="auto"/>
          <w:u w:val="none"/>
        </w:rPr>
      </w:pPr>
      <w:r>
        <w:rPr>
          <w:rFonts w:hint="default" w:ascii="Times New Roman" w:hAnsi="Times New Roman" w:cs="Times New Roman"/>
          <w:color w:val="auto"/>
          <w:u w:val="none"/>
        </w:rPr>
        <w:t>②含镍废液</w:t>
      </w:r>
    </w:p>
    <w:p w14:paraId="62DABA2C">
      <w:pPr>
        <w:bidi w:val="0"/>
        <w:jc w:val="center"/>
        <w:rPr>
          <w:rFonts w:hint="default" w:ascii="Times New Roman" w:hAnsi="Times New Roman" w:cs="Times New Roman"/>
          <w:color w:val="auto"/>
          <w:u w:val="none"/>
        </w:rPr>
      </w:pPr>
      <w:r>
        <w:rPr>
          <w:sz w:val="24"/>
        </w:rPr>
        <mc:AlternateContent>
          <mc:Choice Requires="wps">
            <w:drawing>
              <wp:anchor distT="0" distB="0" distL="114300" distR="114300" simplePos="0" relativeHeight="251832320" behindDoc="0" locked="0" layoutInCell="1" allowOverlap="1">
                <wp:simplePos x="0" y="0"/>
                <wp:positionH relativeFrom="column">
                  <wp:posOffset>3183890</wp:posOffset>
                </wp:positionH>
                <wp:positionV relativeFrom="paragraph">
                  <wp:posOffset>320675</wp:posOffset>
                </wp:positionV>
                <wp:extent cx="1325245" cy="518795"/>
                <wp:effectExtent l="4445" t="4445" r="22860" b="10160"/>
                <wp:wrapNone/>
                <wp:docPr id="471" name="文本框 471"/>
                <wp:cNvGraphicFramePr/>
                <a:graphic xmlns:a="http://schemas.openxmlformats.org/drawingml/2006/main">
                  <a:graphicData uri="http://schemas.microsoft.com/office/word/2010/wordprocessingShape">
                    <wps:wsp>
                      <wps:cNvSpPr txBox="1"/>
                      <wps:spPr>
                        <a:xfrm>
                          <a:off x="0" y="0"/>
                          <a:ext cx="1325245" cy="51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0E6AE8A">
                            <w:pPr>
                              <w:ind w:left="0" w:leftChars="0" w:firstLine="0" w:firstLineChars="0"/>
                              <w:jc w:val="center"/>
                              <w:rPr>
                                <w:rFonts w:hint="default" w:eastAsia="宋体"/>
                                <w:lang w:val="en-US" w:eastAsia="zh-CN"/>
                              </w:rPr>
                            </w:pPr>
                            <w:r>
                              <w:rPr>
                                <w:rFonts w:hint="eastAsia"/>
                                <w:lang w:val="en-US" w:eastAsia="zh-CN"/>
                              </w:rPr>
                              <w:t>含铬废水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0.7pt;margin-top:25.25pt;height:40.85pt;width:104.35pt;z-index:251832320;mso-width-relative:page;mso-height-relative:page;" fillcolor="#FFFFFF [3201]" filled="t" stroked="t" coordsize="21600,21600" o:gfxdata="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PxoPrW&#10;AAAACgEAAA8AAAAAAAAAAQAgAAAAIgAAAGRycy9kb3ducmV2LnhtbFBLAQIUABQAAAAIAIdO4kAi&#10;WbtDWwIAALsEAAAOAAAAAAAAAAEAIAAAACUBAABkcnMvZTJvRG9jLnhtbFBLBQYAAAAABgAGAFkB&#10;AADyBQAAAAA=&#10;">
                <v:fill on="t" focussize="0,0"/>
                <v:stroke weight="0.5pt" color="#000000 [3204]" joinstyle="round"/>
                <v:imagedata o:title=""/>
                <o:lock v:ext="edit" aspectratio="f"/>
                <v:textbox>
                  <w:txbxContent>
                    <w:p w14:paraId="30E6AE8A">
                      <w:pPr>
                        <w:ind w:left="0" w:leftChars="0" w:firstLine="0" w:firstLineChars="0"/>
                        <w:jc w:val="center"/>
                        <w:rPr>
                          <w:rFonts w:hint="default" w:eastAsia="宋体"/>
                          <w:lang w:val="en-US" w:eastAsia="zh-CN"/>
                        </w:rPr>
                      </w:pPr>
                      <w:r>
                        <w:rPr>
                          <w:rFonts w:hint="eastAsia"/>
                          <w:lang w:val="en-US" w:eastAsia="zh-CN"/>
                        </w:rPr>
                        <w:t>含铬废水</w:t>
                      </w:r>
                    </w:p>
                  </w:txbxContent>
                </v:textbox>
              </v:shape>
            </w:pict>
          </mc:Fallback>
        </mc:AlternateContent>
      </w:r>
      <w:r>
        <w:drawing>
          <wp:anchor distT="0" distB="0" distL="114300" distR="114300" simplePos="0" relativeHeight="251833344" behindDoc="0" locked="0" layoutInCell="1" allowOverlap="1">
            <wp:simplePos x="0" y="0"/>
            <wp:positionH relativeFrom="column">
              <wp:posOffset>3948430</wp:posOffset>
            </wp:positionH>
            <wp:positionV relativeFrom="paragraph">
              <wp:posOffset>854075</wp:posOffset>
            </wp:positionV>
            <wp:extent cx="704850" cy="497840"/>
            <wp:effectExtent l="0" t="0" r="0" b="16510"/>
            <wp:wrapNone/>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50"/>
                    <a:stretch>
                      <a:fillRect/>
                    </a:stretch>
                  </pic:blipFill>
                  <pic:spPr>
                    <a:xfrm>
                      <a:off x="0" y="0"/>
                      <a:ext cx="704850" cy="497840"/>
                    </a:xfrm>
                    <a:prstGeom prst="rect">
                      <a:avLst/>
                    </a:prstGeom>
                    <a:noFill/>
                    <a:ln>
                      <a:noFill/>
                    </a:ln>
                  </pic:spPr>
                </pic:pic>
              </a:graphicData>
            </a:graphic>
          </wp:anchor>
        </w:drawing>
      </w:r>
      <w:r>
        <w:rPr>
          <w:rFonts w:hint="default" w:ascii="Times New Roman" w:hAnsi="Times New Roman" w:eastAsia="宋体" w:cs="Times New Roman"/>
          <w:color w:val="FF0000"/>
          <w:u w:val="none"/>
        </w:rPr>
        <w:drawing>
          <wp:inline distT="0" distB="0" distL="114300" distR="114300">
            <wp:extent cx="5271770" cy="6403975"/>
            <wp:effectExtent l="0" t="0" r="5080" b="15875"/>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51"/>
                    <a:stretch>
                      <a:fillRect/>
                    </a:stretch>
                  </pic:blipFill>
                  <pic:spPr>
                    <a:xfrm>
                      <a:off x="0" y="0"/>
                      <a:ext cx="5271770" cy="6403975"/>
                    </a:xfrm>
                    <a:prstGeom prst="rect">
                      <a:avLst/>
                    </a:prstGeom>
                  </pic:spPr>
                </pic:pic>
              </a:graphicData>
            </a:graphic>
          </wp:inline>
        </w:drawing>
      </w:r>
      <w:r>
        <w:rPr>
          <w:rFonts w:hint="default" w:ascii="Times New Roman" w:hAnsi="Times New Roman" w:cs="Times New Roman"/>
          <w:b/>
          <w:bCs/>
          <w:color w:val="auto"/>
          <w:u w:val="none"/>
        </w:rPr>
        <w:t>图7.3-1  含镍/铬废液处理工艺流程图</w:t>
      </w:r>
    </w:p>
    <w:p w14:paraId="702C0783">
      <w:pPr>
        <w:bidi w:val="0"/>
        <w:jc w:val="center"/>
        <w:rPr>
          <w:rFonts w:hint="default" w:ascii="Times New Roman" w:hAnsi="Times New Roman" w:cs="Times New Roman"/>
          <w:color w:val="auto"/>
          <w:u w:val="none"/>
        </w:rPr>
      </w:pPr>
      <w:r>
        <w:rPr>
          <w:rFonts w:hint="default" w:ascii="Times New Roman" w:hAnsi="Times New Roman" w:cs="Times New Roman"/>
          <w:color w:val="auto"/>
          <w:u w:val="none"/>
        </w:rPr>
        <w:t>注：含铬、含镍废液处理系统的预处理出水分批次进入蒸发器进行蒸发处理。</w:t>
      </w:r>
    </w:p>
    <w:p w14:paraId="76486E2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含镍废液经过提升泵泵入到废水站镍高浓度槽内，然后进行混凝絮凝反应，反应后的水流入沉淀池，在沉淀池进行固液分离，上清液进入蒸发原水槽，污泥排入镍污泥池进行处理。</w:t>
      </w:r>
    </w:p>
    <w:p w14:paraId="15DF4B4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含铬</w:t>
      </w:r>
      <w:r>
        <w:rPr>
          <w:rFonts w:hint="eastAsia" w:ascii="Times New Roman" w:hAnsi="Times New Roman" w:cs="Times New Roman"/>
          <w:color w:val="auto"/>
          <w:u w:val="none"/>
          <w:lang w:val="en-US" w:eastAsia="zh-CN"/>
        </w:rPr>
        <w:t>废水</w:t>
      </w:r>
      <w:r>
        <w:rPr>
          <w:rFonts w:hint="default" w:ascii="Times New Roman" w:hAnsi="Times New Roman" w:cs="Times New Roman"/>
          <w:color w:val="auto"/>
          <w:u w:val="none"/>
        </w:rPr>
        <w:t>经过提升泵泵入到废水站铬高浓度槽内，首先进行还原，然后进行混凝絮凝反应，反应后的水流入沉淀池，在沉淀池进行固液分离，上清液进入蒸发原水槽，污泥排入铬污泥池进行处理。</w:t>
      </w:r>
    </w:p>
    <w:p w14:paraId="4EE6BC7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含镍</w:t>
      </w:r>
      <w:r>
        <w:rPr>
          <w:rFonts w:hint="default" w:ascii="Times New Roman" w:hAnsi="Times New Roman" w:cs="Times New Roman"/>
          <w:color w:val="auto"/>
          <w:u w:val="none"/>
          <w:lang w:val="en-US" w:eastAsia="zh-CN"/>
        </w:rPr>
        <w:t>浓液</w:t>
      </w:r>
      <w:r>
        <w:rPr>
          <w:rFonts w:hint="default"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357.8</w:t>
      </w:r>
      <w:r>
        <w:rPr>
          <w:rFonts w:hint="default" w:ascii="Times New Roman" w:hAnsi="Times New Roman" w:cs="Times New Roman"/>
          <w:color w:val="auto"/>
          <w:u w:val="none"/>
          <w:lang w:val="en-US" w:eastAsia="zh-CN"/>
        </w:rPr>
        <w:t>t/d</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的沉淀出水在MEE蒸发浓缩设备中蒸发浓缩，冷凝水至回用水箱，用于阳极氧化用水，浓水槽液经过离心机固液分离，结晶盐定期委外处理。</w:t>
      </w:r>
    </w:p>
    <w:p w14:paraId="4B3DF49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③含镍废水</w:t>
      </w:r>
    </w:p>
    <w:p w14:paraId="516C73A9">
      <w:pPr>
        <w:ind w:left="0" w:leftChars="0" w:firstLine="0" w:firstLineChars="0"/>
        <w:rPr>
          <w:rFonts w:hint="default" w:ascii="Times New Roman" w:hAnsi="Times New Roman" w:cs="Times New Roman"/>
          <w:color w:val="FF0000"/>
          <w:u w:val="none"/>
        </w:rPr>
      </w:pPr>
      <w:r>
        <w:rPr>
          <w:rFonts w:hint="default" w:ascii="Times New Roman" w:hAnsi="Times New Roman" w:cs="Times New Roman"/>
          <w:color w:val="FF0000"/>
          <w:u w:val="none"/>
        </w:rPr>
        <w:drawing>
          <wp:inline distT="0" distB="0" distL="114300" distR="114300">
            <wp:extent cx="5269230" cy="6464935"/>
            <wp:effectExtent l="0" t="0" r="7620" b="12065"/>
            <wp:docPr id="21" name="图片 2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2"/>
                    <pic:cNvPicPr>
                      <a:picLocks noChangeAspect="1"/>
                    </pic:cNvPicPr>
                  </pic:nvPicPr>
                  <pic:blipFill>
                    <a:blip r:embed="rId52"/>
                    <a:srcRect t="2647" b="1601"/>
                    <a:stretch>
                      <a:fillRect/>
                    </a:stretch>
                  </pic:blipFill>
                  <pic:spPr>
                    <a:xfrm>
                      <a:off x="0" y="0"/>
                      <a:ext cx="5269230" cy="6464935"/>
                    </a:xfrm>
                    <a:prstGeom prst="rect">
                      <a:avLst/>
                    </a:prstGeom>
                  </pic:spPr>
                </pic:pic>
              </a:graphicData>
            </a:graphic>
          </wp:inline>
        </w:drawing>
      </w:r>
    </w:p>
    <w:p w14:paraId="75492635">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图7.3-2  含镍废水处理工艺流程图</w:t>
      </w:r>
    </w:p>
    <w:p w14:paraId="39F1071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含镍清洗水首先收集到含镍废水中转池，通过中转池的泵泵入废水站镍洗水槽。</w:t>
      </w:r>
    </w:p>
    <w:p w14:paraId="015A432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镍废水首先泵入pH调节池，加入氢氧化钠对废水的pH进行调整，然后进入混凝池和絮凝池，通过投加PAC和PAM，进行混凝絮凝反应，反应后的水流入沉淀池，通过沉淀池的固液分离作用进行固液分离，上清液进入清水池，污泥排入含镍污泥处理系统。</w:t>
      </w:r>
    </w:p>
    <w:p w14:paraId="71B1B31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清水池中的废水通过泵输送至砂滤超滤系统截留大部分悬浮物质，超滤出水收集至超滤产水池。</w:t>
      </w:r>
    </w:p>
    <w:p w14:paraId="4AA37E58">
      <w:pPr>
        <w:ind w:firstLine="480"/>
        <w:rPr>
          <w:rFonts w:hint="default" w:ascii="Times New Roman" w:hAnsi="Times New Roman" w:cs="Times New Roman"/>
          <w:color w:val="auto"/>
          <w:u w:val="none"/>
          <w:lang w:val="en-US" w:eastAsia="zh-CN"/>
        </w:rPr>
      </w:pPr>
      <w:r>
        <w:rPr>
          <w:rFonts w:hint="default" w:ascii="Times New Roman" w:hAnsi="Times New Roman" w:cs="Times New Roman"/>
          <w:color w:val="auto"/>
          <w:u w:val="none"/>
        </w:rPr>
        <w:t>超滤产水进行二级反渗透膜浓缩，二级反渗透产水回用，浓缩液进入含镍废液处理系统进一步处理</w:t>
      </w:r>
      <w:r>
        <w:rPr>
          <w:rFonts w:hint="default" w:ascii="Times New Roman" w:hAnsi="Times New Roman" w:cs="Times New Roman"/>
          <w:color w:val="auto"/>
          <w:u w:val="none"/>
          <w:lang w:val="en-US" w:eastAsia="zh-CN"/>
        </w:rPr>
        <w:t>。</w:t>
      </w:r>
    </w:p>
    <w:p w14:paraId="7EFEFBBA">
      <w:pPr>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⑤含磷废水</w:t>
      </w:r>
      <w:r>
        <w:rPr>
          <w:rFonts w:hint="default" w:ascii="Times New Roman" w:hAnsi="Times New Roman" w:cs="Times New Roman"/>
          <w:color w:val="auto"/>
          <w:u w:val="none"/>
        </w:rPr>
        <w:drawing>
          <wp:inline distT="0" distB="0" distL="114300" distR="114300">
            <wp:extent cx="5265420" cy="4170680"/>
            <wp:effectExtent l="0" t="0" r="11430" b="127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
                    <pic:cNvPicPr>
                      <a:picLocks noChangeAspect="1"/>
                    </pic:cNvPicPr>
                  </pic:nvPicPr>
                  <pic:blipFill>
                    <a:blip r:embed="rId53"/>
                    <a:srcRect t="10396"/>
                    <a:stretch>
                      <a:fillRect/>
                    </a:stretch>
                  </pic:blipFill>
                  <pic:spPr>
                    <a:xfrm>
                      <a:off x="0" y="0"/>
                      <a:ext cx="5265420" cy="4170680"/>
                    </a:xfrm>
                    <a:prstGeom prst="rect">
                      <a:avLst/>
                    </a:prstGeom>
                  </pic:spPr>
                </pic:pic>
              </a:graphicData>
            </a:graphic>
          </wp:inline>
        </w:drawing>
      </w:r>
    </w:p>
    <w:p w14:paraId="03073C76">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图7.3-4  含磷废水处理工艺流程图</w:t>
      </w:r>
    </w:p>
    <w:p w14:paraId="5E5D65C1">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化抛含磷第一道水洗水经蒸发，冷凝水至化抛含磷水洗水处理系统，浓缩液委外处理。</w:t>
      </w:r>
    </w:p>
    <w:p w14:paraId="26DEA00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含磷后道水洗水流入pH调节池，通过投加石灰和氢氧化钠，对废水的pH进行调整，同时石灰中的钙离子和磷反应，之后进入混凝池和絮凝池，通过投加PAC和PAM，进行混凝絮凝反应，反应后的水进入沉淀系统，通过沉淀池的固液分离作用进行固液分离，上清液进入pH回调池进行pH调整，污泥排入综合污泥处理系统进行处理。</w:t>
      </w:r>
    </w:p>
    <w:p w14:paraId="07D62DD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⑥一般综合废水</w:t>
      </w:r>
    </w:p>
    <w:p w14:paraId="49D5E412">
      <w:pPr>
        <w:ind w:firstLine="480"/>
        <w:rPr>
          <w:rFonts w:hint="eastAsia"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本项目一般综合废水依托易亲工业科技（岳阳）有限公司污水处理站进行处理，易亲工业科技（岳阳）有限公司</w:t>
      </w:r>
      <w:r>
        <w:rPr>
          <w:rFonts w:hint="default" w:ascii="Times New Roman" w:hAnsi="Times New Roman" w:cs="Times New Roman"/>
          <w:color w:val="auto"/>
          <w:u w:val="none"/>
        </w:rPr>
        <w:t>综合废水处理工艺流程</w:t>
      </w:r>
      <w:r>
        <w:rPr>
          <w:rFonts w:hint="eastAsia" w:ascii="Times New Roman" w:hAnsi="Times New Roman" w:cs="Times New Roman"/>
          <w:color w:val="auto"/>
          <w:u w:val="none"/>
          <w:lang w:val="en-US" w:eastAsia="zh-CN"/>
        </w:rPr>
        <w:t>图详见下图。</w:t>
      </w:r>
    </w:p>
    <w:p w14:paraId="577EB829">
      <w:pPr>
        <w:pStyle w:val="38"/>
        <w:rPr>
          <w:rFonts w:hint="default" w:ascii="Times New Roman" w:hAnsi="Times New Roman" w:cs="Times New Roman"/>
          <w:b/>
          <w:bCs/>
          <w:color w:val="auto"/>
          <w:u w:val="none"/>
        </w:rPr>
      </w:pPr>
      <w:r>
        <w:rPr>
          <w:rFonts w:hint="default" w:ascii="Times New Roman" w:hAnsi="Times New Roman" w:cs="Times New Roman"/>
          <w:color w:val="FF0000"/>
          <w:u w:val="none"/>
        </w:rPr>
        <w:drawing>
          <wp:inline distT="0" distB="0" distL="114300" distR="114300">
            <wp:extent cx="5131435" cy="6015355"/>
            <wp:effectExtent l="0" t="0" r="12065" b="4445"/>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
                    <pic:cNvPicPr>
                      <a:picLocks noChangeAspect="1"/>
                    </pic:cNvPicPr>
                  </pic:nvPicPr>
                  <pic:blipFill>
                    <a:blip r:embed="rId54"/>
                    <a:stretch>
                      <a:fillRect/>
                    </a:stretch>
                  </pic:blipFill>
                  <pic:spPr>
                    <a:xfrm>
                      <a:off x="0" y="0"/>
                      <a:ext cx="5131435" cy="6015355"/>
                    </a:xfrm>
                    <a:prstGeom prst="rect">
                      <a:avLst/>
                    </a:prstGeom>
                  </pic:spPr>
                </pic:pic>
              </a:graphicData>
            </a:graphic>
          </wp:inline>
        </w:drawing>
      </w:r>
      <w:r>
        <w:rPr>
          <w:rFonts w:hint="default" w:ascii="Times New Roman" w:hAnsi="Times New Roman" w:cs="Times New Roman"/>
          <w:b/>
          <w:bCs/>
          <w:color w:val="auto"/>
          <w:u w:val="none"/>
        </w:rPr>
        <w:t>图7.3-5  综合废水处理工艺流程图</w:t>
      </w:r>
    </w:p>
    <w:p w14:paraId="56B643BE">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综合水槽的废水流入pH调节池，通过投加石灰和氢氧化钠，对废水的pH进行调整，同时石灰中的钙离子和磷反应，之后进入混凝池和絮凝池，通过投加PAC和PAM，进行混凝絮凝反应，反应后的水进入沉淀系统，通过沉淀池的固液分离作用进行固液分离，上清液进入pH回调池进行pH调整，污泥排入综合污泥处理系统进行处理。</w:t>
      </w:r>
    </w:p>
    <w:p w14:paraId="6EB56E8D">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经过沉淀处理后的废水进入pH回调池，调整pH使之处于生化pH适宜范围之后，进入生化系统处理。</w:t>
      </w:r>
    </w:p>
    <w:p w14:paraId="1056F576">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废水在厌氧池将大分子有机物进行水解，对废水中的有机物进行部分降解，进一步除去有机污染物，在缺氧池中，反硝化细菌以污水中未分解的含碳有机物为碳源，将好氧池内通过内循环回流进来的硝酸根还原为N2而释放。在好氧池中部分混合液回流至缺氧池进行反硝化脱氮。</w:t>
      </w:r>
    </w:p>
    <w:p w14:paraId="257FA2A7">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好氧池出水流进生化沉淀池进行泥水分离，剩余污泥自流进综合污泥池，进行浓缩处理；</w:t>
      </w:r>
    </w:p>
    <w:p w14:paraId="5B92A03D">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上清液流入检测池，检测达标后通过清水池排放，不达标则在清水池中泵入应急池。</w:t>
      </w:r>
    </w:p>
    <w:p w14:paraId="0618673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（4）废水处理规模</w:t>
      </w:r>
    </w:p>
    <w:p w14:paraId="2DB51812">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本</w:t>
      </w:r>
      <w:r>
        <w:rPr>
          <w:rFonts w:hint="default" w:ascii="Times New Roman" w:hAnsi="Times New Roman" w:cs="Times New Roman"/>
          <w:color w:val="auto"/>
          <w:u w:val="none"/>
        </w:rPr>
        <w:t>项目废水处理设施设计处理水量、水质见表7.3-2：</w:t>
      </w:r>
    </w:p>
    <w:p w14:paraId="2C917065">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表7.3-2  项目各类废水处理设计水量</w:t>
      </w:r>
    </w:p>
    <w:tbl>
      <w:tblPr>
        <w:tblStyle w:val="30"/>
        <w:tblW w:w="509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810"/>
        <w:gridCol w:w="1163"/>
        <w:gridCol w:w="2042"/>
        <w:gridCol w:w="1295"/>
        <w:gridCol w:w="1588"/>
        <w:gridCol w:w="1588"/>
      </w:tblGrid>
      <w:tr w14:paraId="629A5E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477" w:type="pct"/>
            <w:tcBorders>
              <w:tl2br w:val="nil"/>
              <w:tr2bl w:val="nil"/>
            </w:tcBorders>
            <w:vAlign w:val="center"/>
          </w:tcPr>
          <w:p w14:paraId="03D04DAA">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序号</w:t>
            </w:r>
          </w:p>
        </w:tc>
        <w:tc>
          <w:tcPr>
            <w:tcW w:w="1888" w:type="pct"/>
            <w:gridSpan w:val="2"/>
            <w:tcBorders>
              <w:tl2br w:val="nil"/>
              <w:tr2bl w:val="nil"/>
            </w:tcBorders>
            <w:vAlign w:val="center"/>
          </w:tcPr>
          <w:p w14:paraId="3FCEE030">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废水类别</w:t>
            </w:r>
          </w:p>
        </w:tc>
        <w:tc>
          <w:tcPr>
            <w:tcW w:w="763" w:type="pct"/>
            <w:tcBorders>
              <w:tl2br w:val="nil"/>
              <w:tr2bl w:val="nil"/>
            </w:tcBorders>
            <w:vAlign w:val="center"/>
          </w:tcPr>
          <w:p w14:paraId="3BD70373">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lang w:val="en-US" w:eastAsia="zh-CN"/>
              </w:rPr>
              <w:t>废水</w:t>
            </w:r>
            <w:r>
              <w:rPr>
                <w:rFonts w:hint="default" w:ascii="Times New Roman" w:hAnsi="Times New Roman" w:cs="Times New Roman"/>
                <w:b w:val="0"/>
                <w:color w:val="auto"/>
                <w:u w:val="none"/>
              </w:rPr>
              <w:t>产生水量（t/d）</w:t>
            </w:r>
          </w:p>
        </w:tc>
        <w:tc>
          <w:tcPr>
            <w:tcW w:w="935" w:type="pct"/>
            <w:tcBorders>
              <w:tl2br w:val="nil"/>
              <w:tr2bl w:val="nil"/>
            </w:tcBorders>
            <w:vAlign w:val="center"/>
          </w:tcPr>
          <w:p w14:paraId="27AE5B96">
            <w:pPr>
              <w:pStyle w:val="56"/>
              <w:rPr>
                <w:rFonts w:hint="default" w:ascii="Times New Roman" w:hAnsi="Times New Roman" w:eastAsia="宋体" w:cs="Times New Roman"/>
                <w:b w:val="0"/>
                <w:color w:val="auto"/>
                <w:u w:val="none"/>
                <w:lang w:val="en-US" w:eastAsia="zh-CN"/>
              </w:rPr>
            </w:pPr>
            <w:r>
              <w:rPr>
                <w:rFonts w:hint="default" w:ascii="Times New Roman" w:hAnsi="Times New Roman" w:cs="Times New Roman"/>
                <w:b w:val="0"/>
                <w:color w:val="auto"/>
                <w:u w:val="none"/>
                <w:lang w:val="en-US" w:eastAsia="zh-CN"/>
              </w:rPr>
              <w:t>浓液产生量</w:t>
            </w:r>
          </w:p>
        </w:tc>
        <w:tc>
          <w:tcPr>
            <w:tcW w:w="935" w:type="pct"/>
            <w:tcBorders>
              <w:tl2br w:val="nil"/>
              <w:tr2bl w:val="nil"/>
            </w:tcBorders>
            <w:vAlign w:val="center"/>
          </w:tcPr>
          <w:p w14:paraId="2289A35F">
            <w:pPr>
              <w:pStyle w:val="56"/>
              <w:rPr>
                <w:rFonts w:hint="default" w:ascii="Times New Roman" w:hAnsi="Times New Roman" w:cs="Times New Roman"/>
                <w:b w:val="0"/>
                <w:color w:val="auto"/>
                <w:u w:val="none"/>
              </w:rPr>
            </w:pPr>
            <w:r>
              <w:rPr>
                <w:rFonts w:hint="default" w:ascii="Times New Roman" w:hAnsi="Times New Roman" w:cs="Times New Roman"/>
                <w:b w:val="0"/>
                <w:color w:val="auto"/>
                <w:u w:val="none"/>
              </w:rPr>
              <w:t>设计处理水量（t/d）</w:t>
            </w:r>
          </w:p>
        </w:tc>
      </w:tr>
      <w:tr w14:paraId="41BFA4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pct"/>
            <w:vMerge w:val="restart"/>
            <w:tcBorders>
              <w:tl2br w:val="nil"/>
              <w:tr2bl w:val="nil"/>
            </w:tcBorders>
            <w:vAlign w:val="center"/>
          </w:tcPr>
          <w:p w14:paraId="60ED2607">
            <w:pPr>
              <w:pStyle w:val="39"/>
              <w:rPr>
                <w:rFonts w:hint="default" w:ascii="Times New Roman" w:hAnsi="Times New Roman" w:cs="Times New Roman"/>
                <w:color w:val="auto"/>
                <w:u w:val="none"/>
              </w:rPr>
            </w:pPr>
            <w:r>
              <w:rPr>
                <w:rFonts w:hint="default" w:ascii="Times New Roman" w:hAnsi="Times New Roman" w:cs="Times New Roman"/>
                <w:color w:val="auto"/>
                <w:u w:val="none"/>
              </w:rPr>
              <w:t>1</w:t>
            </w:r>
          </w:p>
        </w:tc>
        <w:tc>
          <w:tcPr>
            <w:tcW w:w="685" w:type="pct"/>
            <w:tcBorders>
              <w:bottom w:val="single" w:color="auto" w:sz="4" w:space="0"/>
              <w:tl2br w:val="nil"/>
              <w:tr2bl w:val="nil"/>
            </w:tcBorders>
            <w:vAlign w:val="center"/>
          </w:tcPr>
          <w:p w14:paraId="10160398">
            <w:pPr>
              <w:pStyle w:val="39"/>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1203" w:type="pct"/>
            <w:tcBorders>
              <w:bottom w:val="single" w:color="auto" w:sz="4" w:space="0"/>
              <w:tl2br w:val="nil"/>
              <w:tr2bl w:val="nil"/>
            </w:tcBorders>
            <w:vAlign w:val="center"/>
          </w:tcPr>
          <w:p w14:paraId="111A32AD">
            <w:pPr>
              <w:pStyle w:val="39"/>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1295" w:type="dxa"/>
            <w:tcBorders>
              <w:tl2br w:val="nil"/>
              <w:tr2bl w:val="nil"/>
            </w:tcBorders>
            <w:vAlign w:val="center"/>
          </w:tcPr>
          <w:p w14:paraId="6092D08D">
            <w:pPr>
              <w:pStyle w:val="39"/>
              <w:ind w:left="200" w:leftChars="0" w:firstLine="0" w:firstLineChars="0"/>
              <w:rPr>
                <w:rFonts w:hint="default" w:ascii="Times New Roman" w:hAnsi="Times New Roman" w:cs="Times New Roman"/>
                <w:color w:val="auto"/>
                <w:u w:val="none"/>
                <w:lang w:val="en-US"/>
              </w:rPr>
            </w:pPr>
            <w:r>
              <w:rPr>
                <w:rFonts w:hint="eastAsia" w:cs="Times New Roman"/>
                <w:color w:val="auto"/>
                <w:u w:val="none"/>
                <w:lang w:val="en-US" w:eastAsia="zh-CN"/>
              </w:rPr>
              <w:t>12.65</w:t>
            </w:r>
          </w:p>
        </w:tc>
        <w:tc>
          <w:tcPr>
            <w:tcW w:w="1588" w:type="dxa"/>
            <w:tcBorders>
              <w:bottom w:val="single" w:color="auto" w:sz="4" w:space="0"/>
              <w:tl2br w:val="nil"/>
              <w:tr2bl w:val="nil"/>
            </w:tcBorders>
            <w:vAlign w:val="center"/>
          </w:tcPr>
          <w:p w14:paraId="389599F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3795</w:t>
            </w:r>
          </w:p>
        </w:tc>
        <w:tc>
          <w:tcPr>
            <w:tcW w:w="1588" w:type="dxa"/>
            <w:tcBorders>
              <w:bottom w:val="single" w:color="auto" w:sz="4" w:space="0"/>
              <w:tl2br w:val="nil"/>
              <w:tr2bl w:val="nil"/>
            </w:tcBorders>
            <w:vAlign w:val="center"/>
          </w:tcPr>
          <w:p w14:paraId="32667AEF">
            <w:pPr>
              <w:pStyle w:val="39"/>
              <w:ind w:left="200" w:leftChars="0" w:firstLine="0" w:firstLineChars="0"/>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w:t>
            </w:r>
          </w:p>
        </w:tc>
      </w:tr>
      <w:tr w14:paraId="08823E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pct"/>
            <w:vMerge w:val="continue"/>
            <w:tcBorders>
              <w:tl2br w:val="nil"/>
              <w:tr2bl w:val="nil"/>
            </w:tcBorders>
            <w:vAlign w:val="center"/>
          </w:tcPr>
          <w:p w14:paraId="7089759E">
            <w:pPr>
              <w:pStyle w:val="39"/>
              <w:rPr>
                <w:rFonts w:hint="default" w:ascii="Times New Roman" w:hAnsi="Times New Roman" w:cs="Times New Roman"/>
                <w:color w:val="auto"/>
                <w:u w:val="none"/>
              </w:rPr>
            </w:pPr>
          </w:p>
        </w:tc>
        <w:tc>
          <w:tcPr>
            <w:tcW w:w="685" w:type="pct"/>
            <w:tcBorders>
              <w:top w:val="single" w:color="auto" w:sz="4" w:space="0"/>
              <w:bottom w:val="single" w:color="auto" w:sz="4" w:space="0"/>
              <w:tl2br w:val="nil"/>
              <w:tr2bl w:val="nil"/>
            </w:tcBorders>
            <w:vAlign w:val="center"/>
          </w:tcPr>
          <w:p w14:paraId="55EF18B3">
            <w:pPr>
              <w:pStyle w:val="39"/>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1203" w:type="pct"/>
            <w:tcBorders>
              <w:top w:val="single" w:color="auto" w:sz="4" w:space="0"/>
              <w:bottom w:val="single" w:color="auto" w:sz="4" w:space="0"/>
              <w:tl2br w:val="nil"/>
              <w:tr2bl w:val="nil"/>
            </w:tcBorders>
            <w:vAlign w:val="center"/>
          </w:tcPr>
          <w:p w14:paraId="7C7E2E23">
            <w:pPr>
              <w:pStyle w:val="39"/>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1295" w:type="dxa"/>
            <w:tcBorders>
              <w:tl2br w:val="nil"/>
              <w:tr2bl w:val="nil"/>
            </w:tcBorders>
            <w:vAlign w:val="center"/>
          </w:tcPr>
          <w:p w14:paraId="4685413E">
            <w:pPr>
              <w:pStyle w:val="39"/>
              <w:ind w:left="200" w:leftChars="0" w:firstLine="0" w:firstLineChars="0"/>
              <w:rPr>
                <w:rFonts w:hint="default" w:ascii="Times New Roman" w:hAnsi="Times New Roman" w:cs="Times New Roman"/>
                <w:color w:val="auto"/>
                <w:u w:val="none"/>
              </w:rPr>
            </w:pPr>
            <w:r>
              <w:rPr>
                <w:rFonts w:hint="eastAsia" w:cs="Times New Roman"/>
                <w:color w:val="auto"/>
                <w:u w:val="none"/>
                <w:lang w:val="en-US" w:eastAsia="zh-CN"/>
              </w:rPr>
              <w:t>1.192</w:t>
            </w:r>
          </w:p>
        </w:tc>
        <w:tc>
          <w:tcPr>
            <w:tcW w:w="1588" w:type="dxa"/>
            <w:tcBorders>
              <w:top w:val="single" w:color="auto" w:sz="4" w:space="0"/>
              <w:tl2br w:val="nil"/>
              <w:tr2bl w:val="nil"/>
            </w:tcBorders>
            <w:vAlign w:val="center"/>
          </w:tcPr>
          <w:p w14:paraId="453743B4">
            <w:pPr>
              <w:pStyle w:val="41"/>
              <w:rPr>
                <w:rFonts w:hint="default" w:ascii="Times New Roman" w:hAnsi="Times New Roman" w:cs="Times New Roman"/>
                <w:color w:val="auto"/>
                <w:u w:val="none"/>
              </w:rPr>
            </w:pPr>
            <w:r>
              <w:rPr>
                <w:rFonts w:hint="eastAsia" w:cs="Times New Roman"/>
                <w:color w:val="auto"/>
                <w:u w:val="none"/>
                <w:lang w:val="en-US" w:eastAsia="zh-CN"/>
              </w:rPr>
              <w:t>357.8</w:t>
            </w:r>
          </w:p>
        </w:tc>
        <w:tc>
          <w:tcPr>
            <w:tcW w:w="1588" w:type="dxa"/>
            <w:tcBorders>
              <w:top w:val="single" w:color="auto" w:sz="4" w:space="0"/>
              <w:tl2br w:val="nil"/>
              <w:tr2bl w:val="nil"/>
            </w:tcBorders>
            <w:vAlign w:val="center"/>
          </w:tcPr>
          <w:p w14:paraId="6B8E8C53">
            <w:pPr>
              <w:pStyle w:val="39"/>
              <w:ind w:left="200" w:leftChars="0" w:firstLine="0" w:firstLineChars="0"/>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w:t>
            </w:r>
          </w:p>
        </w:tc>
      </w:tr>
      <w:tr w14:paraId="2DEF45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477" w:type="pct"/>
            <w:tcBorders>
              <w:tl2br w:val="nil"/>
              <w:tr2bl w:val="nil"/>
            </w:tcBorders>
            <w:vAlign w:val="center"/>
          </w:tcPr>
          <w:p w14:paraId="2A8ABEB9">
            <w:pPr>
              <w:pStyle w:val="39"/>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685" w:type="pct"/>
            <w:tcBorders>
              <w:bottom w:val="single" w:color="auto" w:sz="4" w:space="0"/>
              <w:tl2br w:val="nil"/>
              <w:tr2bl w:val="nil"/>
            </w:tcBorders>
            <w:vAlign w:val="center"/>
          </w:tcPr>
          <w:p w14:paraId="29959BDA">
            <w:pPr>
              <w:pStyle w:val="39"/>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1203" w:type="pct"/>
            <w:tcBorders>
              <w:tl2br w:val="nil"/>
              <w:tr2bl w:val="nil"/>
            </w:tcBorders>
            <w:vAlign w:val="center"/>
          </w:tcPr>
          <w:p w14:paraId="21258D73">
            <w:pPr>
              <w:pStyle w:val="39"/>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763" w:type="pct"/>
            <w:tcBorders>
              <w:tl2br w:val="nil"/>
              <w:tr2bl w:val="nil"/>
            </w:tcBorders>
            <w:vAlign w:val="center"/>
          </w:tcPr>
          <w:p w14:paraId="1305449F">
            <w:pPr>
              <w:pStyle w:val="39"/>
              <w:ind w:left="200" w:leftChars="0" w:firstLine="0" w:firstLineChars="0"/>
              <w:rPr>
                <w:rFonts w:hint="default" w:ascii="Times New Roman" w:hAnsi="Times New Roman" w:cs="Times New Roman"/>
                <w:color w:val="auto"/>
                <w:u w:val="none"/>
                <w:lang w:val="en-US"/>
              </w:rPr>
            </w:pPr>
            <w:r>
              <w:rPr>
                <w:rFonts w:hint="eastAsia" w:cs="Times New Roman"/>
                <w:color w:val="auto"/>
                <w:u w:val="none"/>
                <w:lang w:val="en-US" w:eastAsia="zh-CN"/>
              </w:rPr>
              <w:t>11.45</w:t>
            </w:r>
          </w:p>
        </w:tc>
        <w:tc>
          <w:tcPr>
            <w:tcW w:w="935" w:type="pct"/>
            <w:tcBorders>
              <w:bottom w:val="single" w:color="auto" w:sz="4" w:space="0"/>
              <w:tl2br w:val="nil"/>
              <w:tr2bl w:val="nil"/>
            </w:tcBorders>
            <w:vAlign w:val="center"/>
          </w:tcPr>
          <w:p w14:paraId="7C6AEDB7">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3436</w:t>
            </w:r>
          </w:p>
        </w:tc>
        <w:tc>
          <w:tcPr>
            <w:tcW w:w="935" w:type="pct"/>
            <w:tcBorders>
              <w:bottom w:val="single" w:color="auto" w:sz="4" w:space="0"/>
              <w:tl2br w:val="nil"/>
              <w:tr2bl w:val="nil"/>
            </w:tcBorders>
            <w:vAlign w:val="center"/>
          </w:tcPr>
          <w:p w14:paraId="275A3CF5">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w:t>
            </w:r>
          </w:p>
        </w:tc>
      </w:tr>
      <w:tr w14:paraId="67F64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77" w:type="pct"/>
            <w:tcBorders>
              <w:tl2br w:val="nil"/>
              <w:tr2bl w:val="nil"/>
            </w:tcBorders>
            <w:vAlign w:val="center"/>
          </w:tcPr>
          <w:p w14:paraId="5DA9D981">
            <w:pPr>
              <w:pStyle w:val="39"/>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w:t>
            </w:r>
          </w:p>
        </w:tc>
        <w:tc>
          <w:tcPr>
            <w:tcW w:w="685" w:type="pct"/>
            <w:tcBorders>
              <w:tl2br w:val="nil"/>
              <w:tr2bl w:val="nil"/>
            </w:tcBorders>
            <w:vAlign w:val="center"/>
          </w:tcPr>
          <w:p w14:paraId="23D04412">
            <w:pPr>
              <w:pStyle w:val="39"/>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1203" w:type="pct"/>
            <w:tcBorders>
              <w:tl2br w:val="nil"/>
              <w:tr2bl w:val="nil"/>
            </w:tcBorders>
            <w:vAlign w:val="center"/>
          </w:tcPr>
          <w:p w14:paraId="564924CA">
            <w:pPr>
              <w:pStyle w:val="39"/>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763" w:type="pct"/>
            <w:tcBorders>
              <w:tl2br w:val="nil"/>
              <w:tr2bl w:val="nil"/>
            </w:tcBorders>
            <w:vAlign w:val="center"/>
          </w:tcPr>
          <w:p w14:paraId="6779A5DF">
            <w:pPr>
              <w:pStyle w:val="39"/>
              <w:ind w:left="200" w:leftChars="0" w:firstLine="0" w:firstLineChars="0"/>
              <w:rPr>
                <w:rFonts w:hint="default" w:ascii="Times New Roman" w:hAnsi="Times New Roman" w:cs="Times New Roman"/>
                <w:color w:val="auto"/>
                <w:u w:val="none"/>
                <w:lang w:val="en-US"/>
              </w:rPr>
            </w:pPr>
            <w:r>
              <w:rPr>
                <w:rFonts w:hint="eastAsia" w:cs="Times New Roman"/>
                <w:color w:val="auto"/>
                <w:u w:val="none"/>
                <w:lang w:val="en-US" w:eastAsia="zh-CN"/>
              </w:rPr>
              <w:t>1.928</w:t>
            </w:r>
          </w:p>
        </w:tc>
        <w:tc>
          <w:tcPr>
            <w:tcW w:w="935" w:type="pct"/>
            <w:tcBorders>
              <w:tl2br w:val="nil"/>
              <w:tr2bl w:val="nil"/>
            </w:tcBorders>
            <w:vAlign w:val="center"/>
          </w:tcPr>
          <w:p w14:paraId="6DE600B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578.4</w:t>
            </w:r>
          </w:p>
        </w:tc>
        <w:tc>
          <w:tcPr>
            <w:tcW w:w="935" w:type="pct"/>
            <w:tcBorders>
              <w:tl2br w:val="nil"/>
              <w:tr2bl w:val="nil"/>
            </w:tcBorders>
            <w:vAlign w:val="center"/>
          </w:tcPr>
          <w:p w14:paraId="312BABA3">
            <w:pPr>
              <w:pStyle w:val="39"/>
              <w:rPr>
                <w:rFonts w:hint="eastAsia" w:ascii="Times New Roman" w:hAnsi="Times New Roman" w:eastAsia="宋体" w:cs="Times New Roman"/>
                <w:color w:val="auto"/>
                <w:u w:val="none"/>
                <w:lang w:eastAsia="zh-CN"/>
              </w:rPr>
            </w:pPr>
            <w:r>
              <w:rPr>
                <w:rFonts w:hint="eastAsia" w:cs="Times New Roman"/>
                <w:color w:val="auto"/>
                <w:u w:val="none"/>
                <w:lang w:val="en-US" w:eastAsia="zh-CN"/>
              </w:rPr>
              <w:t>3</w:t>
            </w:r>
          </w:p>
        </w:tc>
      </w:tr>
    </w:tbl>
    <w:p w14:paraId="49D8B0A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根据上表本项目各废水处理系统设计处理能力均能满足要求。</w:t>
      </w:r>
    </w:p>
    <w:p w14:paraId="50E71AE3">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）MEE 蒸发器的可行性分析</w:t>
      </w:r>
    </w:p>
    <w:p w14:paraId="471C7B4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本次蒸发器采用 MEE 蒸发器（本项目采用三级蒸发），MEE 蒸发器是由多个单效蒸发组成的系统，即将前一个蒸发器蒸发出来的二次蒸汽引入下一个蒸发器作为加热蒸汽并在下一个蒸发器中凝为蒸馏水，如此依次进行。所以，采用多效蒸发可以充分利用热能，即通过蒸发过程中二次蒸汽的再次利用，减少生蒸气的消耗，从而提高蒸发装置的经济性，蒸发冷凝水不含重金属，用于总中水回用系统，不外排。结晶固体收集后作为危废处理。</w:t>
      </w:r>
    </w:p>
    <w:p w14:paraId="7FF0104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本废水方案中前段对薄膜废水中的重金属，采用化学絮凝进行去除，这是一个比较成熟的工艺，在国内含重金属废水和含磷废水处理中已经得到广泛运 用。含重金属废水后段采用“纳滤+超滤+反渗透+MEE 蒸发”工艺能够确保：①含重金属废水不外排，②大削减蒸发工序的废水量，节约成本。</w:t>
      </w:r>
    </w:p>
    <w:p w14:paraId="424F2BC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根据设计，项目配套设废水回用处理设施，含镍废水、含镍废液、含铬废水经预处理后采用MEE 蒸发器蒸发，蒸发冷凝水中水回用的可行性分析如下：</w:t>
      </w:r>
    </w:p>
    <w:p w14:paraId="5CE5A48A">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表7.3-</w:t>
      </w:r>
      <w:r>
        <w:rPr>
          <w:rFonts w:hint="eastAsia" w:cs="Times New Roman"/>
          <w:b/>
          <w:bCs/>
          <w:color w:val="auto"/>
          <w:u w:val="none"/>
          <w:lang w:val="en-US" w:eastAsia="zh-CN"/>
        </w:rPr>
        <w:t>3</w:t>
      </w:r>
      <w:r>
        <w:rPr>
          <w:rFonts w:hint="default" w:ascii="Times New Roman" w:hAnsi="Times New Roman" w:cs="Times New Roman"/>
          <w:b/>
          <w:bCs/>
          <w:color w:val="auto"/>
          <w:u w:val="none"/>
        </w:rPr>
        <w:t xml:space="preserve">  回用水质情况一栏表</w:t>
      </w:r>
    </w:p>
    <w:tbl>
      <w:tblPr>
        <w:tblStyle w:val="30"/>
        <w:tblW w:w="4998" w:type="pct"/>
        <w:tblInd w:w="0" w:type="dxa"/>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Layout w:type="autofit"/>
        <w:tblCellMar>
          <w:top w:w="0" w:type="dxa"/>
          <w:left w:w="108" w:type="dxa"/>
          <w:bottom w:w="0" w:type="dxa"/>
          <w:right w:w="108" w:type="dxa"/>
        </w:tblCellMar>
      </w:tblPr>
      <w:tblGrid>
        <w:gridCol w:w="1527"/>
        <w:gridCol w:w="2178"/>
        <w:gridCol w:w="4814"/>
      </w:tblGrid>
      <w:tr w14:paraId="4427DA41">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6C32CAB4">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项目</w:t>
            </w:r>
          </w:p>
        </w:tc>
        <w:tc>
          <w:tcPr>
            <w:tcW w:w="1278" w:type="pct"/>
            <w:tcBorders>
              <w:tl2br w:val="nil"/>
              <w:tr2bl w:val="nil"/>
            </w:tcBorders>
            <w:shd w:val="clear" w:color="auto" w:fill="auto"/>
            <w:vAlign w:val="center"/>
          </w:tcPr>
          <w:p w14:paraId="631E47E7">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浓度</w:t>
            </w:r>
          </w:p>
        </w:tc>
        <w:tc>
          <w:tcPr>
            <w:tcW w:w="2825" w:type="pct"/>
            <w:tcBorders>
              <w:tl2br w:val="nil"/>
              <w:tr2bl w:val="nil"/>
            </w:tcBorders>
            <w:shd w:val="clear" w:color="auto" w:fill="auto"/>
            <w:vAlign w:val="center"/>
          </w:tcPr>
          <w:p w14:paraId="4F0E5D14">
            <w:pPr>
              <w:pStyle w:val="39"/>
              <w:rPr>
                <w:rFonts w:hint="default" w:ascii="Times New Roman" w:hAnsi="Times New Roman" w:cs="Times New Roman"/>
                <w:b/>
                <w:bCs/>
                <w:color w:val="auto"/>
                <w:u w:val="none"/>
              </w:rPr>
            </w:pPr>
            <w:r>
              <w:rPr>
                <w:rFonts w:hint="default" w:ascii="Times New Roman" w:hAnsi="Times New Roman" w:cs="Times New Roman"/>
                <w:b/>
                <w:bCs/>
                <w:color w:val="auto"/>
                <w:u w:val="none"/>
              </w:rPr>
              <w:t>备注</w:t>
            </w:r>
          </w:p>
        </w:tc>
      </w:tr>
      <w:tr w14:paraId="2F763398">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0438395C">
            <w:pPr>
              <w:pStyle w:val="39"/>
              <w:rPr>
                <w:rFonts w:hint="default" w:ascii="Times New Roman" w:hAnsi="Times New Roman" w:cs="Times New Roman"/>
                <w:color w:val="auto"/>
                <w:u w:val="none"/>
              </w:rPr>
            </w:pPr>
            <w:r>
              <w:rPr>
                <w:rFonts w:hint="default" w:ascii="Times New Roman" w:hAnsi="Times New Roman" w:cs="Times New Roman"/>
                <w:color w:val="auto"/>
                <w:u w:val="none"/>
              </w:rPr>
              <w:t>pH值</w:t>
            </w:r>
          </w:p>
        </w:tc>
        <w:tc>
          <w:tcPr>
            <w:tcW w:w="1278" w:type="pct"/>
            <w:tcBorders>
              <w:tl2br w:val="nil"/>
              <w:tr2bl w:val="nil"/>
            </w:tcBorders>
            <w:shd w:val="clear" w:color="auto" w:fill="auto"/>
            <w:vAlign w:val="center"/>
          </w:tcPr>
          <w:p w14:paraId="45D269FD">
            <w:pPr>
              <w:pStyle w:val="39"/>
              <w:rPr>
                <w:rFonts w:hint="default" w:ascii="Times New Roman" w:hAnsi="Times New Roman" w:cs="Times New Roman"/>
                <w:color w:val="auto"/>
                <w:u w:val="none"/>
              </w:rPr>
            </w:pPr>
            <w:r>
              <w:rPr>
                <w:rFonts w:hint="default" w:ascii="Times New Roman" w:hAnsi="Times New Roman" w:cs="Times New Roman"/>
                <w:color w:val="auto"/>
                <w:u w:val="none"/>
              </w:rPr>
              <w:t>6~8</w:t>
            </w:r>
          </w:p>
        </w:tc>
        <w:tc>
          <w:tcPr>
            <w:tcW w:w="2825" w:type="pct"/>
            <w:tcBorders>
              <w:tl2br w:val="nil"/>
              <w:tr2bl w:val="nil"/>
            </w:tcBorders>
            <w:shd w:val="clear" w:color="auto" w:fill="auto"/>
            <w:vAlign w:val="center"/>
          </w:tcPr>
          <w:p w14:paraId="79D08DD8">
            <w:pPr>
              <w:pStyle w:val="39"/>
              <w:jc w:val="center"/>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r>
      <w:tr w14:paraId="03BA829B">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35F411BB">
            <w:pPr>
              <w:pStyle w:val="39"/>
              <w:rPr>
                <w:rFonts w:hint="default" w:ascii="Times New Roman" w:hAnsi="Times New Roman" w:cs="Times New Roman"/>
                <w:color w:val="auto"/>
                <w:u w:val="none"/>
              </w:rPr>
            </w:pPr>
            <w:r>
              <w:rPr>
                <w:rFonts w:hint="default" w:ascii="Times New Roman" w:hAnsi="Times New Roman" w:cs="Times New Roman"/>
                <w:color w:val="auto"/>
                <w:u w:val="none"/>
              </w:rPr>
              <w:t>CODCr</w:t>
            </w:r>
          </w:p>
        </w:tc>
        <w:tc>
          <w:tcPr>
            <w:tcW w:w="1278" w:type="pct"/>
            <w:tcBorders>
              <w:tl2br w:val="nil"/>
              <w:tr2bl w:val="nil"/>
            </w:tcBorders>
            <w:shd w:val="clear" w:color="auto" w:fill="auto"/>
            <w:vAlign w:val="center"/>
          </w:tcPr>
          <w:p w14:paraId="32376AA3">
            <w:pPr>
              <w:pStyle w:val="39"/>
              <w:rPr>
                <w:rFonts w:hint="default" w:ascii="Times New Roman" w:hAnsi="Times New Roman" w:cs="Times New Roman"/>
                <w:color w:val="auto"/>
                <w:u w:val="none"/>
              </w:rPr>
            </w:pPr>
            <w:r>
              <w:rPr>
                <w:rFonts w:hint="default" w:ascii="Times New Roman" w:hAnsi="Times New Roman" w:cs="Times New Roman"/>
                <w:color w:val="auto"/>
                <w:u w:val="none"/>
              </w:rPr>
              <w:t>≤20mg/L</w:t>
            </w:r>
          </w:p>
        </w:tc>
        <w:tc>
          <w:tcPr>
            <w:tcW w:w="2825" w:type="pct"/>
            <w:tcBorders>
              <w:tl2br w:val="nil"/>
              <w:tr2bl w:val="nil"/>
            </w:tcBorders>
            <w:shd w:val="clear" w:color="auto" w:fill="auto"/>
            <w:vAlign w:val="center"/>
          </w:tcPr>
          <w:p w14:paraId="257251AC">
            <w:pPr>
              <w:ind w:firstLine="464" w:firstLineChars="200"/>
              <w:jc w:val="center"/>
              <w:rPr>
                <w:rFonts w:hint="default" w:ascii="Times New Roman" w:hAnsi="Times New Roman" w:eastAsia="宋体" w:cs="Times New Roman"/>
                <w:color w:val="auto"/>
                <w:spacing w:val="11"/>
                <w:kern w:val="0"/>
                <w:sz w:val="21"/>
                <w:szCs w:val="21"/>
                <w:u w:val="none"/>
                <w:lang w:val="en-US" w:eastAsia="zh-CN" w:bidi="ar-SA"/>
              </w:rPr>
            </w:pPr>
            <w:r>
              <w:rPr>
                <w:rFonts w:hint="eastAsia" w:ascii="Times New Roman" w:hAnsi="Times New Roman" w:eastAsia="宋体" w:cs="Times New Roman"/>
                <w:color w:val="auto"/>
                <w:spacing w:val="11"/>
                <w:kern w:val="0"/>
                <w:sz w:val="21"/>
                <w:szCs w:val="21"/>
                <w:u w:val="none"/>
                <w:lang w:val="en-US" w:eastAsia="zh-CN" w:bidi="ar-SA"/>
              </w:rPr>
              <w:t>/</w:t>
            </w:r>
          </w:p>
        </w:tc>
      </w:tr>
      <w:tr w14:paraId="4F4E2011">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083123E9">
            <w:pPr>
              <w:pStyle w:val="39"/>
              <w:rPr>
                <w:rFonts w:hint="default" w:ascii="Times New Roman" w:hAnsi="Times New Roman" w:cs="Times New Roman"/>
                <w:color w:val="auto"/>
                <w:u w:val="none"/>
              </w:rPr>
            </w:pPr>
            <w:r>
              <w:rPr>
                <w:rFonts w:hint="default" w:ascii="Times New Roman" w:hAnsi="Times New Roman" w:cs="Times New Roman"/>
                <w:color w:val="auto"/>
                <w:u w:val="none"/>
              </w:rPr>
              <w:t>SS</w:t>
            </w:r>
          </w:p>
        </w:tc>
        <w:tc>
          <w:tcPr>
            <w:tcW w:w="1278" w:type="pct"/>
            <w:tcBorders>
              <w:tl2br w:val="nil"/>
              <w:tr2bl w:val="nil"/>
            </w:tcBorders>
            <w:shd w:val="clear" w:color="auto" w:fill="auto"/>
            <w:vAlign w:val="center"/>
          </w:tcPr>
          <w:p w14:paraId="3217DE01">
            <w:pPr>
              <w:pStyle w:val="39"/>
              <w:rPr>
                <w:rFonts w:hint="default" w:ascii="Times New Roman" w:hAnsi="Times New Roman" w:cs="Times New Roman"/>
                <w:color w:val="auto"/>
                <w:u w:val="none"/>
              </w:rPr>
            </w:pPr>
            <w:r>
              <w:rPr>
                <w:rFonts w:hint="default" w:ascii="Times New Roman" w:hAnsi="Times New Roman" w:cs="Times New Roman"/>
                <w:color w:val="auto"/>
                <w:u w:val="none"/>
              </w:rPr>
              <w:t>无</w:t>
            </w:r>
          </w:p>
        </w:tc>
        <w:tc>
          <w:tcPr>
            <w:tcW w:w="2825" w:type="pct"/>
            <w:tcBorders>
              <w:tl2br w:val="nil"/>
              <w:tr2bl w:val="nil"/>
            </w:tcBorders>
            <w:shd w:val="clear" w:color="auto" w:fill="auto"/>
            <w:vAlign w:val="center"/>
          </w:tcPr>
          <w:p w14:paraId="49EAE666">
            <w:pPr>
              <w:ind w:firstLine="464" w:firstLineChars="200"/>
              <w:jc w:val="center"/>
              <w:rPr>
                <w:rFonts w:hint="default" w:ascii="Times New Roman" w:hAnsi="Times New Roman" w:eastAsia="宋体" w:cs="Times New Roman"/>
                <w:color w:val="auto"/>
                <w:spacing w:val="11"/>
                <w:kern w:val="0"/>
                <w:sz w:val="21"/>
                <w:szCs w:val="21"/>
                <w:u w:val="none"/>
                <w:lang w:val="en-US" w:eastAsia="zh-CN" w:bidi="ar-SA"/>
              </w:rPr>
            </w:pPr>
            <w:r>
              <w:rPr>
                <w:rFonts w:hint="eastAsia" w:ascii="Times New Roman" w:hAnsi="Times New Roman" w:eastAsia="宋体" w:cs="Times New Roman"/>
                <w:color w:val="auto"/>
                <w:spacing w:val="11"/>
                <w:kern w:val="0"/>
                <w:sz w:val="21"/>
                <w:szCs w:val="21"/>
                <w:u w:val="none"/>
                <w:lang w:val="en-US" w:eastAsia="zh-CN" w:bidi="ar-SA"/>
              </w:rPr>
              <w:t>/</w:t>
            </w:r>
          </w:p>
        </w:tc>
      </w:tr>
      <w:tr w14:paraId="12A191E7">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40A23A5B">
            <w:pPr>
              <w:pStyle w:val="39"/>
              <w:rPr>
                <w:rFonts w:hint="default" w:ascii="Times New Roman" w:hAnsi="Times New Roman" w:cs="Times New Roman"/>
                <w:color w:val="auto"/>
                <w:u w:val="none"/>
              </w:rPr>
            </w:pPr>
            <w:r>
              <w:rPr>
                <w:rFonts w:hint="default" w:ascii="Times New Roman" w:hAnsi="Times New Roman" w:cs="Times New Roman"/>
                <w:color w:val="auto"/>
                <w:u w:val="none"/>
              </w:rPr>
              <w:t>电导率</w:t>
            </w:r>
          </w:p>
        </w:tc>
        <w:tc>
          <w:tcPr>
            <w:tcW w:w="1278" w:type="pct"/>
            <w:tcBorders>
              <w:tl2br w:val="nil"/>
              <w:tr2bl w:val="nil"/>
            </w:tcBorders>
            <w:shd w:val="clear" w:color="auto" w:fill="auto"/>
            <w:vAlign w:val="center"/>
          </w:tcPr>
          <w:p w14:paraId="2E451F36">
            <w:pPr>
              <w:pStyle w:val="39"/>
              <w:rPr>
                <w:rFonts w:hint="default" w:ascii="Times New Roman" w:hAnsi="Times New Roman" w:cs="Times New Roman"/>
                <w:color w:val="auto"/>
                <w:u w:val="none"/>
              </w:rPr>
            </w:pPr>
            <w:r>
              <w:rPr>
                <w:rFonts w:hint="default" w:ascii="Times New Roman" w:hAnsi="Times New Roman" w:cs="Times New Roman"/>
                <w:color w:val="auto"/>
                <w:u w:val="none"/>
              </w:rPr>
              <w:t>≤15us/cm</w:t>
            </w:r>
          </w:p>
        </w:tc>
        <w:tc>
          <w:tcPr>
            <w:tcW w:w="2825" w:type="pct"/>
            <w:tcBorders>
              <w:tl2br w:val="nil"/>
              <w:tr2bl w:val="nil"/>
            </w:tcBorders>
            <w:shd w:val="clear" w:color="auto" w:fill="auto"/>
            <w:vAlign w:val="center"/>
          </w:tcPr>
          <w:p w14:paraId="043C1FED">
            <w:pPr>
              <w:ind w:firstLine="464" w:firstLineChars="200"/>
              <w:jc w:val="center"/>
              <w:rPr>
                <w:rFonts w:hint="default" w:ascii="Times New Roman" w:hAnsi="Times New Roman" w:eastAsia="宋体" w:cs="Times New Roman"/>
                <w:color w:val="auto"/>
                <w:spacing w:val="11"/>
                <w:kern w:val="0"/>
                <w:sz w:val="21"/>
                <w:szCs w:val="21"/>
                <w:u w:val="none"/>
                <w:lang w:val="en-US" w:eastAsia="zh-CN" w:bidi="ar-SA"/>
              </w:rPr>
            </w:pPr>
            <w:r>
              <w:rPr>
                <w:rFonts w:hint="eastAsia" w:ascii="Times New Roman" w:hAnsi="Times New Roman" w:eastAsia="宋体" w:cs="Times New Roman"/>
                <w:color w:val="auto"/>
                <w:spacing w:val="11"/>
                <w:kern w:val="0"/>
                <w:sz w:val="21"/>
                <w:szCs w:val="21"/>
                <w:u w:val="none"/>
                <w:lang w:val="en-US" w:eastAsia="zh-CN" w:bidi="ar-SA"/>
              </w:rPr>
              <w:t>/</w:t>
            </w:r>
          </w:p>
        </w:tc>
      </w:tr>
      <w:tr w14:paraId="178F6134">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30BBE065">
            <w:pPr>
              <w:pStyle w:val="39"/>
              <w:rPr>
                <w:rFonts w:hint="default" w:ascii="Times New Roman" w:hAnsi="Times New Roman" w:cs="Times New Roman"/>
                <w:color w:val="auto"/>
                <w:u w:val="none"/>
              </w:rPr>
            </w:pPr>
            <w:r>
              <w:rPr>
                <w:rFonts w:hint="default" w:ascii="Times New Roman" w:hAnsi="Times New Roman" w:cs="Times New Roman"/>
                <w:color w:val="auto"/>
                <w:u w:val="none"/>
              </w:rPr>
              <w:t>总铬</w:t>
            </w:r>
          </w:p>
        </w:tc>
        <w:tc>
          <w:tcPr>
            <w:tcW w:w="1278" w:type="pct"/>
            <w:tcBorders>
              <w:tl2br w:val="nil"/>
              <w:tr2bl w:val="nil"/>
            </w:tcBorders>
            <w:shd w:val="clear" w:color="auto" w:fill="auto"/>
            <w:vAlign w:val="center"/>
          </w:tcPr>
          <w:p w14:paraId="621DDDF6">
            <w:pPr>
              <w:pStyle w:val="39"/>
              <w:rPr>
                <w:rFonts w:hint="default" w:ascii="Times New Roman" w:hAnsi="Times New Roman" w:cs="Times New Roman"/>
                <w:color w:val="auto"/>
                <w:u w:val="none"/>
              </w:rPr>
            </w:pPr>
            <w:r>
              <w:rPr>
                <w:rFonts w:hint="default" w:ascii="Times New Roman" w:hAnsi="Times New Roman" w:cs="Times New Roman"/>
                <w:color w:val="auto"/>
                <w:u w:val="none"/>
              </w:rPr>
              <w:t>＜0.01mg/L</w:t>
            </w:r>
          </w:p>
        </w:tc>
        <w:tc>
          <w:tcPr>
            <w:tcW w:w="2825" w:type="pct"/>
            <w:tcBorders>
              <w:tl2br w:val="nil"/>
              <w:tr2bl w:val="nil"/>
            </w:tcBorders>
            <w:shd w:val="clear" w:color="auto" w:fill="auto"/>
            <w:vAlign w:val="center"/>
          </w:tcPr>
          <w:p w14:paraId="3A633261">
            <w:pPr>
              <w:ind w:firstLine="464" w:firstLineChars="200"/>
              <w:jc w:val="center"/>
              <w:rPr>
                <w:rFonts w:hint="default" w:ascii="Times New Roman" w:hAnsi="Times New Roman" w:eastAsia="宋体" w:cs="Times New Roman"/>
                <w:color w:val="auto"/>
                <w:spacing w:val="11"/>
                <w:kern w:val="0"/>
                <w:sz w:val="21"/>
                <w:szCs w:val="21"/>
                <w:u w:val="none"/>
                <w:lang w:val="en-US" w:eastAsia="zh-CN" w:bidi="ar-SA"/>
              </w:rPr>
            </w:pPr>
            <w:r>
              <w:rPr>
                <w:rFonts w:hint="eastAsia" w:ascii="Times New Roman" w:hAnsi="Times New Roman" w:eastAsia="宋体" w:cs="Times New Roman"/>
                <w:color w:val="auto"/>
                <w:spacing w:val="11"/>
                <w:kern w:val="0"/>
                <w:sz w:val="21"/>
                <w:szCs w:val="21"/>
                <w:u w:val="none"/>
                <w:lang w:val="en-US" w:eastAsia="zh-CN" w:bidi="ar-SA"/>
              </w:rPr>
              <w:t>/</w:t>
            </w:r>
          </w:p>
        </w:tc>
      </w:tr>
      <w:tr w14:paraId="44C7E92F">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360" w:hRule="atLeast"/>
        </w:trPr>
        <w:tc>
          <w:tcPr>
            <w:tcW w:w="896" w:type="pct"/>
            <w:tcBorders>
              <w:tl2br w:val="nil"/>
              <w:tr2bl w:val="nil"/>
            </w:tcBorders>
            <w:shd w:val="clear" w:color="auto" w:fill="auto"/>
            <w:vAlign w:val="center"/>
          </w:tcPr>
          <w:p w14:paraId="6AC6956A">
            <w:pPr>
              <w:pStyle w:val="39"/>
              <w:rPr>
                <w:rFonts w:hint="default" w:ascii="Times New Roman" w:hAnsi="Times New Roman" w:cs="Times New Roman"/>
                <w:color w:val="auto"/>
                <w:u w:val="none"/>
              </w:rPr>
            </w:pPr>
            <w:r>
              <w:rPr>
                <w:rFonts w:hint="default" w:ascii="Times New Roman" w:hAnsi="Times New Roman" w:cs="Times New Roman"/>
                <w:color w:val="auto"/>
                <w:u w:val="none"/>
              </w:rPr>
              <w:t>总镍</w:t>
            </w:r>
          </w:p>
        </w:tc>
        <w:tc>
          <w:tcPr>
            <w:tcW w:w="1278" w:type="pct"/>
            <w:tcBorders>
              <w:tl2br w:val="nil"/>
              <w:tr2bl w:val="nil"/>
            </w:tcBorders>
            <w:shd w:val="clear" w:color="auto" w:fill="auto"/>
            <w:vAlign w:val="center"/>
          </w:tcPr>
          <w:p w14:paraId="2437DA75">
            <w:pPr>
              <w:pStyle w:val="39"/>
              <w:rPr>
                <w:rFonts w:hint="default" w:ascii="Times New Roman" w:hAnsi="Times New Roman" w:cs="Times New Roman"/>
                <w:color w:val="auto"/>
                <w:u w:val="none"/>
              </w:rPr>
            </w:pPr>
            <w:r>
              <w:rPr>
                <w:rFonts w:hint="default" w:ascii="Times New Roman" w:hAnsi="Times New Roman" w:cs="Times New Roman"/>
                <w:color w:val="auto"/>
                <w:u w:val="none"/>
              </w:rPr>
              <w:t>＜0.1mg/L</w:t>
            </w:r>
          </w:p>
        </w:tc>
        <w:tc>
          <w:tcPr>
            <w:tcW w:w="2825" w:type="pct"/>
            <w:tcBorders>
              <w:tl2br w:val="nil"/>
              <w:tr2bl w:val="nil"/>
            </w:tcBorders>
            <w:shd w:val="clear" w:color="auto" w:fill="auto"/>
            <w:vAlign w:val="center"/>
          </w:tcPr>
          <w:p w14:paraId="24A6D996">
            <w:pPr>
              <w:ind w:firstLine="464" w:firstLineChars="200"/>
              <w:jc w:val="center"/>
              <w:rPr>
                <w:rFonts w:hint="default" w:ascii="Times New Roman" w:hAnsi="Times New Roman" w:eastAsia="宋体" w:cs="Times New Roman"/>
                <w:color w:val="auto"/>
                <w:spacing w:val="11"/>
                <w:kern w:val="0"/>
                <w:sz w:val="21"/>
                <w:szCs w:val="21"/>
                <w:u w:val="none"/>
                <w:lang w:val="en-US" w:eastAsia="zh-CN" w:bidi="ar-SA"/>
              </w:rPr>
            </w:pPr>
            <w:r>
              <w:rPr>
                <w:rFonts w:hint="eastAsia" w:ascii="Times New Roman" w:hAnsi="Times New Roman" w:eastAsia="宋体" w:cs="Times New Roman"/>
                <w:color w:val="auto"/>
                <w:spacing w:val="11"/>
                <w:kern w:val="0"/>
                <w:sz w:val="21"/>
                <w:szCs w:val="21"/>
                <w:u w:val="none"/>
                <w:lang w:val="en-US" w:eastAsia="zh-CN" w:bidi="ar-SA"/>
              </w:rPr>
              <w:t>/</w:t>
            </w:r>
          </w:p>
        </w:tc>
      </w:tr>
      <w:tr w14:paraId="3F7A340D">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620" w:hRule="atLeast"/>
        </w:trPr>
        <w:tc>
          <w:tcPr>
            <w:tcW w:w="896" w:type="pct"/>
            <w:vMerge w:val="restart"/>
            <w:tcBorders>
              <w:tl2br w:val="nil"/>
              <w:tr2bl w:val="nil"/>
            </w:tcBorders>
            <w:shd w:val="clear" w:color="auto" w:fill="auto"/>
            <w:vAlign w:val="center"/>
          </w:tcPr>
          <w:p w14:paraId="572E7C64">
            <w:pPr>
              <w:pStyle w:val="39"/>
              <w:rPr>
                <w:rFonts w:hint="default" w:ascii="Times New Roman" w:hAnsi="Times New Roman" w:cs="Times New Roman"/>
                <w:color w:val="auto"/>
                <w:u w:val="none"/>
              </w:rPr>
            </w:pPr>
            <w:r>
              <w:rPr>
                <w:rFonts w:hint="default" w:ascii="Times New Roman" w:hAnsi="Times New Roman" w:cs="Times New Roman"/>
                <w:color w:val="auto"/>
                <w:u w:val="none"/>
              </w:rPr>
              <w:t>总铬</w:t>
            </w:r>
          </w:p>
        </w:tc>
        <w:tc>
          <w:tcPr>
            <w:tcW w:w="1278" w:type="pct"/>
            <w:vMerge w:val="restart"/>
            <w:tcBorders>
              <w:tl2br w:val="nil"/>
              <w:tr2bl w:val="nil"/>
            </w:tcBorders>
            <w:shd w:val="clear" w:color="auto" w:fill="auto"/>
            <w:vAlign w:val="center"/>
          </w:tcPr>
          <w:p w14:paraId="3E195081">
            <w:pPr>
              <w:pStyle w:val="39"/>
              <w:rPr>
                <w:rFonts w:hint="default" w:ascii="Times New Roman" w:hAnsi="Times New Roman" w:cs="Times New Roman"/>
                <w:color w:val="auto"/>
                <w:u w:val="none"/>
              </w:rPr>
            </w:pPr>
            <w:r>
              <w:rPr>
                <w:rFonts w:hint="default" w:ascii="Times New Roman" w:hAnsi="Times New Roman" w:cs="Times New Roman"/>
                <w:color w:val="auto"/>
                <w:u w:val="none"/>
              </w:rPr>
              <w:t>＜0.01mg/L</w:t>
            </w:r>
          </w:p>
        </w:tc>
        <w:tc>
          <w:tcPr>
            <w:tcW w:w="2825" w:type="pct"/>
            <w:tcBorders>
              <w:tl2br w:val="nil"/>
              <w:tr2bl w:val="nil"/>
            </w:tcBorders>
            <w:shd w:val="clear" w:color="auto" w:fill="auto"/>
            <w:vAlign w:val="center"/>
          </w:tcPr>
          <w:p w14:paraId="1C330810">
            <w:pPr>
              <w:pStyle w:val="39"/>
              <w:rPr>
                <w:rFonts w:hint="default" w:ascii="Times New Roman" w:hAnsi="Times New Roman" w:cs="Times New Roman"/>
                <w:color w:val="auto"/>
                <w:u w:val="none"/>
              </w:rPr>
            </w:pPr>
            <w:r>
              <w:rPr>
                <w:rFonts w:hint="default" w:ascii="Times New Roman" w:hAnsi="Times New Roman" w:cs="Times New Roman"/>
                <w:color w:val="auto"/>
                <w:u w:val="none"/>
              </w:rPr>
              <w:t>低于检测限</w:t>
            </w:r>
          </w:p>
        </w:tc>
      </w:tr>
      <w:tr w14:paraId="63063550">
        <w:tblPrEx>
          <w:tblBorders>
            <w:top w:val="single" w:color="474747" w:sz="12" w:space="0"/>
            <w:left w:val="single" w:color="474747" w:sz="12" w:space="0"/>
            <w:bottom w:val="single" w:color="474747" w:sz="12" w:space="0"/>
            <w:right w:val="single" w:color="474747" w:sz="12" w:space="0"/>
            <w:insideH w:val="single" w:color="474747" w:sz="4" w:space="0"/>
            <w:insideV w:val="single" w:color="474747" w:sz="4" w:space="0"/>
          </w:tblBorders>
          <w:tblCellMar>
            <w:top w:w="0" w:type="dxa"/>
            <w:left w:w="108" w:type="dxa"/>
            <w:bottom w:w="0" w:type="dxa"/>
            <w:right w:w="108" w:type="dxa"/>
          </w:tblCellMar>
        </w:tblPrEx>
        <w:trPr>
          <w:trHeight w:val="620" w:hRule="atLeast"/>
        </w:trPr>
        <w:tc>
          <w:tcPr>
            <w:tcW w:w="896" w:type="pct"/>
            <w:tcBorders>
              <w:tl2br w:val="nil"/>
              <w:tr2bl w:val="nil"/>
            </w:tcBorders>
            <w:shd w:val="clear" w:color="auto" w:fill="auto"/>
            <w:vAlign w:val="center"/>
          </w:tcPr>
          <w:p w14:paraId="418FD202">
            <w:pPr>
              <w:pStyle w:val="39"/>
              <w:rPr>
                <w:rFonts w:hint="default" w:ascii="Times New Roman" w:hAnsi="Times New Roman" w:cs="Times New Roman"/>
                <w:color w:val="auto"/>
                <w:u w:val="none"/>
              </w:rPr>
            </w:pPr>
            <w:r>
              <w:rPr>
                <w:rFonts w:hint="default" w:ascii="Times New Roman" w:hAnsi="Times New Roman" w:cs="Times New Roman"/>
                <w:color w:val="auto"/>
                <w:u w:val="none"/>
              </w:rPr>
              <w:t>总镍</w:t>
            </w:r>
          </w:p>
        </w:tc>
        <w:tc>
          <w:tcPr>
            <w:tcW w:w="1278" w:type="pct"/>
            <w:tcBorders>
              <w:tl2br w:val="nil"/>
              <w:tr2bl w:val="nil"/>
            </w:tcBorders>
            <w:shd w:val="clear" w:color="auto" w:fill="auto"/>
            <w:vAlign w:val="center"/>
          </w:tcPr>
          <w:p w14:paraId="34A41965">
            <w:pPr>
              <w:pStyle w:val="39"/>
              <w:rPr>
                <w:rFonts w:hint="default" w:ascii="Times New Roman" w:hAnsi="Times New Roman" w:cs="Times New Roman"/>
                <w:color w:val="auto"/>
                <w:u w:val="none"/>
              </w:rPr>
            </w:pPr>
            <w:r>
              <w:rPr>
                <w:rFonts w:hint="default" w:ascii="Times New Roman" w:hAnsi="Times New Roman" w:cs="Times New Roman"/>
                <w:color w:val="auto"/>
                <w:u w:val="none"/>
              </w:rPr>
              <w:t>＜0.1mg/L</w:t>
            </w:r>
          </w:p>
        </w:tc>
        <w:tc>
          <w:tcPr>
            <w:tcW w:w="2825" w:type="pct"/>
            <w:tcBorders>
              <w:tl2br w:val="nil"/>
              <w:tr2bl w:val="nil"/>
            </w:tcBorders>
            <w:shd w:val="clear" w:color="auto" w:fill="auto"/>
            <w:vAlign w:val="center"/>
          </w:tcPr>
          <w:p w14:paraId="12D70FC9">
            <w:pPr>
              <w:pStyle w:val="39"/>
              <w:rPr>
                <w:rFonts w:hint="default" w:ascii="Times New Roman" w:hAnsi="Times New Roman" w:cs="Times New Roman"/>
                <w:color w:val="auto"/>
                <w:u w:val="none"/>
              </w:rPr>
            </w:pPr>
            <w:r>
              <w:rPr>
                <w:rFonts w:hint="default" w:ascii="Times New Roman" w:hAnsi="Times New Roman" w:cs="Times New Roman"/>
                <w:color w:val="auto"/>
                <w:u w:val="none"/>
              </w:rPr>
              <w:t>低于检测限</w:t>
            </w:r>
          </w:p>
        </w:tc>
      </w:tr>
    </w:tbl>
    <w:p w14:paraId="7B33ABCD">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生产线水洗水对水的电导率、总硬度、Cl</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、碱度等控制指标要求较高，而废水回用会导致废水中电导率、总硬度、Cl</w:t>
      </w:r>
      <w:r>
        <w:rPr>
          <w:rFonts w:hint="default" w:ascii="Times New Roman" w:hAnsi="Times New Roman" w:cs="Times New Roman"/>
          <w:color w:val="auto"/>
          <w:u w:val="none"/>
          <w:vertAlign w:val="superscript"/>
        </w:rPr>
        <w:t>-</w:t>
      </w:r>
      <w:r>
        <w:rPr>
          <w:rFonts w:hint="default" w:ascii="Times New Roman" w:hAnsi="Times New Roman" w:cs="Times New Roman"/>
          <w:color w:val="auto"/>
          <w:u w:val="none"/>
        </w:rPr>
        <w:t>等污染物产生累积，当污染物浓度达到一定程度后会影响生产线正常生产。因此项目废水处理设施设计时，先将废水进行分类收集处理，然后将处理后废水送中水回用系统进行深度处理。根据设计，项目回用水深度处理主要采用反渗透处理工艺，项目经预处理后废水先经过滤器、超滤装置进一步去除废水中的悬浮物等，然后进入反渗透装置进行处理，使一部分水被淡化，回用于生产线；另一部分则被浓缩，浓水采用蒸发器处理，冷凝水回用。根据相关资料和同类型调查，膜处理技术可通过选择不同的膜和操作条件来控制污染物去除率，可通过废水采水率来选择设备，因此按照项目废水回用率要求选择合适的设备，从而确保电导率≤15us/cm，可满足阳极氧化用水电导率≤20us/cm。</w:t>
      </w:r>
    </w:p>
    <w:p w14:paraId="38A0CD08">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（7）小结</w:t>
      </w:r>
    </w:p>
    <w:p w14:paraId="083D340A">
      <w:pPr>
        <w:autoSpaceDE w:val="0"/>
        <w:autoSpaceDN w:val="0"/>
        <w:adjustRightInd w:val="0"/>
        <w:ind w:firstLine="424" w:firstLineChars="177"/>
        <w:jc w:val="left"/>
        <w:rPr>
          <w:rFonts w:hint="default" w:ascii="Times New Roman" w:hAnsi="Times New Roman" w:cs="Times New Roman"/>
          <w:color w:val="auto"/>
          <w:u w:val="none"/>
        </w:rPr>
      </w:pPr>
      <w:r>
        <w:rPr>
          <w:rFonts w:hint="default" w:ascii="Times New Roman" w:hAnsi="Times New Roman" w:cs="Times New Roman"/>
          <w:color w:val="auto"/>
          <w:u w:val="none"/>
        </w:rPr>
        <w:t>根据以上分析，不论从本项目废水水质特点及设计规模的角度分析，本项目废水污染防治措施是可行、可靠的。</w:t>
      </w:r>
    </w:p>
    <w:p w14:paraId="72C1F283">
      <w:pPr>
        <w:pStyle w:val="4"/>
        <w:ind w:left="0" w:leftChars="0" w:firstLineChars="0"/>
        <w:rPr>
          <w:rFonts w:hint="default" w:ascii="Times New Roman" w:hAnsi="Times New Roman" w:cs="Times New Roman"/>
          <w:color w:val="auto"/>
          <w:u w:val="none"/>
        </w:rPr>
      </w:pPr>
      <w:bookmarkStart w:id="177" w:name="_Toc28302"/>
      <w:r>
        <w:rPr>
          <w:rFonts w:hint="default" w:ascii="Times New Roman" w:hAnsi="Times New Roman" w:cs="Times New Roman"/>
          <w:color w:val="auto"/>
          <w:u w:val="none"/>
        </w:rPr>
        <w:t>营运期土壤及地下水污染防治措施及可行性分析</w:t>
      </w:r>
      <w:bookmarkEnd w:id="177"/>
    </w:p>
    <w:p w14:paraId="5C344BDD">
      <w:pPr>
        <w:autoSpaceDE w:val="0"/>
        <w:autoSpaceDN w:val="0"/>
        <w:adjustRightIn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本项目需采取的地下水防护措施如下：</w:t>
      </w:r>
    </w:p>
    <w:p w14:paraId="164E5402">
      <w:pPr>
        <w:autoSpaceDE w:val="0"/>
        <w:autoSpaceDN w:val="0"/>
        <w:adjustRightIn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（1）源头控制措施</w:t>
      </w:r>
    </w:p>
    <w:p w14:paraId="5AD42F22">
      <w:pPr>
        <w:autoSpaceDE w:val="0"/>
        <w:autoSpaceDN w:val="0"/>
        <w:adjustRightIn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本项目的特点及运营期间主要污染源，制定地下水环境保护措施，进行环境管理。本项目地下水污染防治措施按照“源头控制、分区防治、污染监控、应急响应”相结合的原则，从污染物的产生、入渗、扩散、应急响应进行控制。</w:t>
      </w:r>
    </w:p>
    <w:p w14:paraId="1AB1EAC4">
      <w:pPr>
        <w:autoSpaceDE w:val="0"/>
        <w:autoSpaceDN w:val="0"/>
        <w:adjustRightIn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1、源头控制</w:t>
      </w:r>
    </w:p>
    <w:p w14:paraId="71756EA5">
      <w:pPr>
        <w:autoSpaceDE w:val="0"/>
        <w:autoSpaceDN w:val="0"/>
        <w:adjustRightInd w:val="0"/>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w:t>
      </w:r>
    </w:p>
    <w:p w14:paraId="1E8F249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能污染物的跑、冒、滴、漏，将废水泄漏的环境风险事故降低到最低程度。生产工艺废水均通过防渗管道收集后接入厂区污水处理系统处理，预处理达标后进入城陵矶临港产业新区污水处理厂。排水管道和污水处理设施均具有防渗功能，切断了废水进入地下水的途径。本项目阳极氧化生产车间</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化学品仓库做防渗防腐处理，四周建集水沟，确保泄漏的物料不排入外环境水体，不会渗入到土壤及地下水中。</w:t>
      </w:r>
    </w:p>
    <w:p w14:paraId="029A344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2、分区防护措施</w:t>
      </w:r>
    </w:p>
    <w:p w14:paraId="30A3CBE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分析，本项目土壤污染主要为物料或污水处理站污水垂直下渗，存在对地下水和土壤产生污染的可能。防渗是控制污染物进一步下渗的重要措施，可以大大降低地下水被污染的风险。根据《环境影响评价技术导则地下水环境》（HJ610-2016）中分区防渗的建议，将建设场地划分为重点污染防治区、一般污染防治区和非污染防治区。</w:t>
      </w:r>
    </w:p>
    <w:p w14:paraId="2AC8392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（1）重点污染防治区</w:t>
      </w:r>
    </w:p>
    <w:p w14:paraId="324BE4E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对于位于地下或者半地下的生产功能单元，发生物料泄漏后不容易及时发现和处理的区域或部位，将其划分为重点污染防治区，包括2F阳极氧化生产车间、含镍废水管道、事故应急池、污水处理站、危险废物暂存间、危险化学品仓库等区域为重点污染防治区，其渗透性能应不低于6m厚渗透系数为1.0×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cm/s的黏土层防渗性能，建议采用2mm后的HDPE膜进行防渗。</w:t>
      </w:r>
    </w:p>
    <w:p w14:paraId="60CB38F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（2）一般污染防治区</w:t>
      </w:r>
    </w:p>
    <w:p w14:paraId="6C747DA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一般污染防治区主要是指位于地面以上的生产功能单元，污染地下水环境的物料或污染物泄漏后，可及时发现和处理的区域或部位。本项目一般固废暂存间、循环水系统等均为一般污染防治区。其渗透性能应不低于1.5m厚渗透系数为1.0×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cm/s的黏土层防渗性能，建议采用防渗的混凝土铺砌，防渗层采用抗渗钢筋混凝土和防水涂料。混凝土的强度等级不低于C25，抗渗等级不低于P6，厚度不小于150mm。</w:t>
      </w:r>
    </w:p>
    <w:p w14:paraId="08CFB79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（3）非污染防治区</w:t>
      </w:r>
    </w:p>
    <w:p w14:paraId="08E10F8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非污染防治区主要是指没有污染物泄漏的区域或部位，不会对地下水环境造成污染。本项目的非污染防治区主要为办公区等无污染产生的区域。对于非污染区，地面进行水泥硬化可以满足该区域装置区防渗的要求。</w:t>
      </w:r>
    </w:p>
    <w:p w14:paraId="1B0C358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3、建立地下水环境监测与管理体系</w:t>
      </w:r>
    </w:p>
    <w:p w14:paraId="46944E9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及时准确地掌握厂址及下游地区地下水环境质量状况和地下水体中污染物动态变化，项目需根据《环境影响评价技术导则地下水环境》（HJ610-2016）中的要求制定地下水环境影响跟踪监测计划、建立地下水环境影响跟踪制度、配备先进的监测仪器和设备，以便及时发现问题，采取相应的措施。</w:t>
      </w:r>
    </w:p>
    <w:p w14:paraId="3E3199C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4、建立土壤环境监测与管理体系</w:t>
      </w:r>
    </w:p>
    <w:p w14:paraId="37EF1ED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土壤环境跟踪监测措施包括制定跟踪监测计划、建立跟踪监测制度，以便及时发现问题，采取措施。</w:t>
      </w:r>
    </w:p>
    <w:p w14:paraId="409B03E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经以上防护措施后，可有效防止污染物渗漏污染地下水。</w:t>
      </w:r>
    </w:p>
    <w:p w14:paraId="6CA16B8F">
      <w:pPr>
        <w:pStyle w:val="4"/>
        <w:ind w:left="0" w:leftChars="0" w:firstLineChars="0"/>
        <w:rPr>
          <w:rFonts w:hint="default" w:ascii="Times New Roman" w:hAnsi="Times New Roman" w:cs="Times New Roman"/>
          <w:color w:val="auto"/>
          <w:u w:val="none"/>
        </w:rPr>
      </w:pPr>
      <w:bookmarkStart w:id="178" w:name="_Toc3252"/>
      <w:r>
        <w:rPr>
          <w:rFonts w:hint="default" w:ascii="Times New Roman" w:hAnsi="Times New Roman" w:cs="Times New Roman"/>
          <w:color w:val="auto"/>
          <w:u w:val="none"/>
        </w:rPr>
        <w:t>营运期声环境污染防治措施及可行性分析</w:t>
      </w:r>
      <w:bookmarkEnd w:id="176"/>
      <w:bookmarkEnd w:id="178"/>
    </w:p>
    <w:p w14:paraId="1A56DE7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项目实施后，生产中有一些转动设备，因此应加强噪声的治理工作，主要从设备选型、阻隔传播途径和受声者保护三方面入手。</w:t>
      </w:r>
    </w:p>
    <w:p w14:paraId="6590390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（1）在设备选型中选择可靠先进的低噪声设施。</w:t>
      </w:r>
    </w:p>
    <w:p w14:paraId="2343F88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（2）振动转动设备安装时设置减振支座，包扎阻尼材料，并提高安装质量。</w:t>
      </w:r>
    </w:p>
    <w:p w14:paraId="02D3FD0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（3）对于主要生产设备通过设置阻尼基础、厂房墙体隔声等措施；设备基础减震处理，并布置在厂房或设备房内。</w:t>
      </w:r>
    </w:p>
    <w:p w14:paraId="16CDDFD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（4）合理布局：将各类机械设备等噪声源尽量布置在厂区中部，通过距离衰减减轻噪声对外环境的影响。</w:t>
      </w:r>
    </w:p>
    <w:p w14:paraId="31D83B5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（5）加强设备运营管理，定期进行设备维护，避免由于长时间使用、操作不当等原因造成设备异常运转，而引起噪声超标。</w:t>
      </w:r>
    </w:p>
    <w:p w14:paraId="6883DA5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总之，项目对其噪声源所采取的控制措施均为目前国内普遍采用的经济、实用的有效手段，实践表明其控制效果明显。经采取上述控制措施后，能够确保厂界昼夜噪声值均可符合《工业企业厂界环境噪声排放标准》(GB12348-2008)中的3类标准限值。因此，拟建项目对其噪声源所采取的控制措施是有效可行的。</w:t>
      </w:r>
    </w:p>
    <w:p w14:paraId="50537432">
      <w:pPr>
        <w:pStyle w:val="4"/>
        <w:ind w:left="0" w:leftChars="0" w:firstLineChars="0"/>
        <w:rPr>
          <w:rFonts w:hint="default" w:ascii="Times New Roman" w:hAnsi="Times New Roman" w:cs="Times New Roman"/>
          <w:color w:val="auto"/>
          <w:u w:val="none"/>
        </w:rPr>
      </w:pPr>
      <w:bookmarkStart w:id="179" w:name="_Toc8405"/>
      <w:bookmarkStart w:id="180" w:name="_Toc390"/>
      <w:r>
        <w:rPr>
          <w:rFonts w:hint="default" w:ascii="Times New Roman" w:hAnsi="Times New Roman" w:cs="Times New Roman"/>
          <w:color w:val="auto"/>
          <w:u w:val="none"/>
        </w:rPr>
        <w:t>营运期固体废物污染防治措施及可行性分析</w:t>
      </w:r>
      <w:bookmarkEnd w:id="179"/>
      <w:bookmarkEnd w:id="180"/>
    </w:p>
    <w:p w14:paraId="04556BF4">
      <w:pPr>
        <w:pStyle w:val="5"/>
        <w:rPr>
          <w:rFonts w:hint="default" w:ascii="Times New Roman" w:hAnsi="Times New Roman" w:cs="Times New Roman"/>
          <w:color w:val="auto"/>
          <w:u w:val="none"/>
        </w:rPr>
      </w:pPr>
      <w:bookmarkStart w:id="181" w:name="_Toc1182"/>
      <w:r>
        <w:rPr>
          <w:rFonts w:hint="default" w:ascii="Times New Roman" w:hAnsi="Times New Roman" w:cs="Times New Roman"/>
          <w:color w:val="auto"/>
          <w:u w:val="none"/>
        </w:rPr>
        <w:t>生活垃圾污染控制</w:t>
      </w:r>
    </w:p>
    <w:p w14:paraId="12B9C37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建设单位拟在厂内合理设置垃圾箱对生活垃圾进行收集，并安排专人定期清理，交由环卫部门清运处置。</w:t>
      </w:r>
    </w:p>
    <w:p w14:paraId="1219403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运行管理要求：禁止一般工业固体废物和危险废物的混入。</w:t>
      </w:r>
    </w:p>
    <w:p w14:paraId="0ED2EE1D">
      <w:pPr>
        <w:pStyle w:val="5"/>
        <w:rPr>
          <w:rFonts w:hint="default" w:ascii="Times New Roman" w:hAnsi="Times New Roman" w:cs="Times New Roman"/>
          <w:color w:val="auto"/>
          <w:u w:val="none"/>
        </w:rPr>
      </w:pPr>
      <w:r>
        <w:rPr>
          <w:rFonts w:hint="default" w:ascii="Times New Roman" w:hAnsi="Times New Roman" w:cs="Times New Roman"/>
          <w:color w:val="auto"/>
          <w:u w:val="none"/>
        </w:rPr>
        <w:t>一般工业固体废物污染控制</w:t>
      </w:r>
    </w:p>
    <w:p w14:paraId="38ED85D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营运期产生的一般工业固体废物主要为废包装袋等，收集后外售。建设单位应根据《一般工业固体废物贮存和填埋污染控制标准》（GB18599-2020）中的相关要求，建设、运行管理一般工业固体废物贮存场。本项目拟在厂房内设置一般工业固体废物贮存场，生产区建筑面积</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rPr>
        <w:t>0m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w:t>
      </w:r>
    </w:p>
    <w:p w14:paraId="6BCDD62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1、一般工业固体废物贮存场</w:t>
      </w:r>
    </w:p>
    <w:p w14:paraId="05B1042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（1）采取防止粉尘污染的措施；</w:t>
      </w:r>
    </w:p>
    <w:p w14:paraId="4B3A59E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（2）采取防止雨水径流进入贮存场的措施；</w:t>
      </w:r>
    </w:p>
    <w:p w14:paraId="54B913F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（3）为防止一般工业固体废物的流失，应构筑挡墙等设施；</w:t>
      </w:r>
    </w:p>
    <w:p w14:paraId="1A7CD14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（4）为加强监督管理，贮存场应按GB15562.2设置环境保护图形标志。</w:t>
      </w:r>
    </w:p>
    <w:p w14:paraId="6B55938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2、一般工业固体废物贮存场的运行管理</w:t>
      </w:r>
    </w:p>
    <w:p w14:paraId="56253B8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（1）禁止危险废物和生活垃圾混入；</w:t>
      </w:r>
    </w:p>
    <w:p w14:paraId="0515414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（2）建立检查维护制度。定期检查挡墙等设施，发现有损坏可能或异常，应及时采取必要措施，以保障正常运行；</w:t>
      </w:r>
    </w:p>
    <w:p w14:paraId="03ADE70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（3）建立档案制度。将入场的一般工业固体废物的种类和数量详细记录在案，长期保存，供随时查阅；</w:t>
      </w:r>
    </w:p>
    <w:p w14:paraId="6E60124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（4）贮存场的环境保护图形标志，应按GB15562.2规定进行检查和维护。</w:t>
      </w:r>
    </w:p>
    <w:p w14:paraId="0C04C76E">
      <w:pPr>
        <w:pStyle w:val="5"/>
        <w:rPr>
          <w:rFonts w:hint="default" w:ascii="Times New Roman" w:hAnsi="Times New Roman" w:cs="Times New Roman"/>
          <w:color w:val="auto"/>
          <w:u w:val="none"/>
        </w:rPr>
      </w:pPr>
      <w:r>
        <w:rPr>
          <w:rFonts w:hint="default" w:ascii="Times New Roman" w:hAnsi="Times New Roman" w:cs="Times New Roman"/>
          <w:color w:val="auto"/>
          <w:u w:val="none"/>
        </w:rPr>
        <w:t>危险废物污染控制</w:t>
      </w:r>
    </w:p>
    <w:p w14:paraId="3CBA7E1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国家危险废物名录》，项目营运期产生的危险废物主要有危险废物包括危险化学品废包装、废槽渣、含磷废水处理系统浓缩液、含镍污泥、含铬污泥、含镍结晶盐、含铬结晶盐、中水回用和废水处理废RO反渗透膜、废滤芯、废机油等，在厂内集中存放后交有资质单位定期清运。建设单位应根据《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）中的相关要求建设危险废物贮存设施、堆放危险废物、运行和管理危险废物贮存设施。</w:t>
      </w:r>
      <w:r>
        <w:rPr>
          <w:rFonts w:hint="default" w:ascii="Times New Roman" w:hAnsi="Times New Roman" w:cs="Times New Roman"/>
          <w:color w:val="auto"/>
          <w:u w:val="none"/>
          <w:lang w:val="zh-CN"/>
        </w:rPr>
        <w:t>本项目拟在厂区设置</w:t>
      </w:r>
      <w:r>
        <w:rPr>
          <w:rFonts w:hint="default" w:ascii="Times New Roman" w:hAnsi="Times New Roman" w:cs="Times New Roman"/>
          <w:color w:val="auto"/>
          <w:u w:val="none"/>
        </w:rPr>
        <w:t>一个</w:t>
      </w:r>
      <w:r>
        <w:rPr>
          <w:rFonts w:hint="default" w:ascii="Times New Roman" w:hAnsi="Times New Roman" w:cs="Times New Roman"/>
          <w:color w:val="auto"/>
          <w:u w:val="none"/>
          <w:lang w:val="zh-CN"/>
        </w:rPr>
        <w:t>危险废物暂存区</w:t>
      </w:r>
      <w:r>
        <w:rPr>
          <w:rFonts w:hint="default" w:ascii="Times New Roman" w:hAnsi="Times New Roman" w:cs="Times New Roman"/>
          <w:color w:val="auto"/>
          <w:u w:val="none"/>
        </w:rPr>
        <w:t>，</w:t>
      </w:r>
      <w:r>
        <w:rPr>
          <w:rFonts w:hint="default" w:ascii="Times New Roman" w:hAnsi="Times New Roman" w:cs="Times New Roman"/>
          <w:color w:val="auto"/>
          <w:u w:val="none"/>
          <w:lang w:val="zh-CN"/>
        </w:rPr>
        <w:t>危废暂存间约</w:t>
      </w:r>
      <w:r>
        <w:rPr>
          <w:rFonts w:hint="eastAsia" w:ascii="Times New Roman" w:hAnsi="Times New Roman" w:cs="Times New Roman"/>
          <w:color w:val="auto"/>
          <w:u w:val="none"/>
          <w:lang w:val="en-US" w:eastAsia="zh-CN"/>
        </w:rPr>
        <w:t>100</w:t>
      </w:r>
      <w:r>
        <w:rPr>
          <w:rFonts w:hint="default" w:ascii="Times New Roman" w:hAnsi="Times New Roman" w:cs="Times New Roman"/>
          <w:color w:val="auto"/>
          <w:u w:val="none"/>
          <w:lang w:val="zh-CN"/>
        </w:rPr>
        <w:t>m</w:t>
      </w:r>
      <w:r>
        <w:rPr>
          <w:rFonts w:hint="default" w:ascii="Times New Roman" w:hAnsi="Times New Roman" w:cs="Times New Roman"/>
          <w:color w:val="auto"/>
          <w:u w:val="none"/>
          <w:vertAlign w:val="superscript"/>
          <w:lang w:val="zh-CN"/>
        </w:rPr>
        <w:t>2</w:t>
      </w:r>
      <w:r>
        <w:rPr>
          <w:rFonts w:hint="default" w:ascii="Times New Roman" w:hAnsi="Times New Roman" w:cs="Times New Roman"/>
          <w:color w:val="auto"/>
          <w:u w:val="none"/>
          <w:lang w:val="zh-CN"/>
        </w:rPr>
        <w:t>。</w:t>
      </w:r>
    </w:p>
    <w:p w14:paraId="217B9AD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1、危险废物贮存设施</w:t>
      </w:r>
    </w:p>
    <w:p w14:paraId="334CF3E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（1）危险废物贮存设施应配备通讯设备、照明设施和消防设施。</w:t>
      </w:r>
    </w:p>
    <w:p w14:paraId="5B1E94D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（2）地面与裙脚要用坚固、防渗的材料建造，建筑材料必须与危险废物相容。</w:t>
      </w:r>
    </w:p>
    <w:p w14:paraId="0C49D47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（3）用以存放装载液体、半固体危险废物容器的地方，必须有耐腐蚀的硬化地面，且表面无裂隙。</w:t>
      </w:r>
    </w:p>
    <w:p w14:paraId="0FDA9DA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（4）应设计堵截泄漏的裙脚，地面与裙脚所围建的容积不低于堵截最大容器的最大储量或总储量的l/5。</w:t>
      </w:r>
    </w:p>
    <w:p w14:paraId="278D7E7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（5）不相容的危险废物必须分开存放，并设有隔离间隔断。</w:t>
      </w:r>
    </w:p>
    <w:p w14:paraId="65BD2C3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（6）设置泄漏液体收集装置，气体导出口及气体净化装置。</w:t>
      </w:r>
    </w:p>
    <w:p w14:paraId="698398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2、危险废物的堆放</w:t>
      </w:r>
    </w:p>
    <w:p w14:paraId="0A343B2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（1）基础必须防渗，防渗层为至少1m厚粘土层（渗透系数≤10</w:t>
      </w:r>
      <w:r>
        <w:rPr>
          <w:rFonts w:hint="default" w:ascii="Times New Roman" w:hAnsi="Times New Roman" w:cs="Times New Roman"/>
          <w:color w:val="auto"/>
          <w:u w:val="none"/>
          <w:vertAlign w:val="superscript"/>
        </w:rPr>
        <w:t>-7</w:t>
      </w:r>
      <w:r>
        <w:rPr>
          <w:rFonts w:hint="default" w:ascii="Times New Roman" w:hAnsi="Times New Roman" w:cs="Times New Roman"/>
          <w:color w:val="auto"/>
          <w:u w:val="none"/>
        </w:rPr>
        <w:t>cm/s），或2mm。</w:t>
      </w:r>
    </w:p>
    <w:p w14:paraId="5B6871F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厚高密度聚乙烯，或至少2mm厚的其他人工材料，渗透系数≤10-</w:t>
      </w:r>
      <w:r>
        <w:rPr>
          <w:rFonts w:hint="default" w:ascii="Times New Roman" w:hAnsi="Times New Roman" w:cs="Times New Roman"/>
          <w:color w:val="auto"/>
          <w:u w:val="none"/>
          <w:vertAlign w:val="superscript"/>
        </w:rPr>
        <w:t>10</w:t>
      </w:r>
      <w:r>
        <w:rPr>
          <w:rFonts w:hint="default" w:ascii="Times New Roman" w:hAnsi="Times New Roman" w:cs="Times New Roman"/>
          <w:color w:val="auto"/>
          <w:u w:val="none"/>
        </w:rPr>
        <w:t>cm/s。</w:t>
      </w:r>
    </w:p>
    <w:p w14:paraId="6D9EFD4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（2）堆放危险废物的高度应根据地面承载能力确定。</w:t>
      </w:r>
    </w:p>
    <w:p w14:paraId="1A19C51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（3）衬里放在一个基础或底座上。</w:t>
      </w:r>
    </w:p>
    <w:p w14:paraId="15A3A53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（4）衬里要能够覆盖危险废物或其溶出物可能涉及到的范围。</w:t>
      </w:r>
    </w:p>
    <w:p w14:paraId="13DB06A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（5）衬里材料与堆放危险废物相容。</w:t>
      </w:r>
    </w:p>
    <w:p w14:paraId="05014A7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（6）危险废物堆要防风、防雨、防晒。</w:t>
      </w:r>
    </w:p>
    <w:p w14:paraId="623B397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（7）不相容的危险废物不能堆放在一起。</w:t>
      </w:r>
    </w:p>
    <w:p w14:paraId="1E2B70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8）总贮存量不超过300kg（L）的危险废物要放入符合标准的容器内，加上标签，容器放入坚固的柜或箱中，柜或箱应设多个直径不少于30mm的排气孔。不相容危险废物要分别存放或存放在不渗透间隔分开的区域内，每个部分都应有防漏裙脚或储漏盘，防漏裙脚或储漏盘的材料要与危险废物相容。</w:t>
      </w:r>
    </w:p>
    <w:p w14:paraId="7DFC977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3、危险废物贮存设施的运行与管理</w:t>
      </w:r>
    </w:p>
    <w:p w14:paraId="4461134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（1）盛装在容器内的同类危险废物可以堆叠存放。</w:t>
      </w:r>
    </w:p>
    <w:p w14:paraId="78A54AF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（2）每个堆间应留有搬运通道。</w:t>
      </w:r>
    </w:p>
    <w:p w14:paraId="560FA5A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（3）不得将不相容的废物混合或合并存放。</w:t>
      </w:r>
    </w:p>
    <w:p w14:paraId="7E10548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（4）须作好危险废物情况的记录，记录上须注明危险废物的名称、来源、数量、特性和包装容器的类别、入库日期、存放库位、废物出库日期及接收单位名称。危险废物的记录和货单应保留3a。</w:t>
      </w:r>
    </w:p>
    <w:p w14:paraId="211BEA5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（5）必须定期对所贮存的危险废物包装容器及贮存设施进行检查，发现破损，应及时采取措施清理更换。</w:t>
      </w:r>
    </w:p>
    <w:p w14:paraId="7225140B">
      <w:pPr>
        <w:pStyle w:val="2"/>
        <w:ind w:left="0" w:leftChars="0" w:firstLineChars="0"/>
        <w:jc w:val="center"/>
        <w:rPr>
          <w:rFonts w:hint="default" w:ascii="Times New Roman" w:hAnsi="Times New Roman" w:cs="Times New Roman"/>
          <w:color w:val="auto"/>
          <w:u w:val="none"/>
        </w:rPr>
      </w:pPr>
      <w:bookmarkStart w:id="182" w:name="_Toc16101"/>
      <w:r>
        <w:rPr>
          <w:rFonts w:hint="default" w:ascii="Times New Roman" w:hAnsi="Times New Roman" w:cs="Times New Roman"/>
          <w:color w:val="auto"/>
          <w:u w:val="none"/>
        </w:rPr>
        <w:t>环境影响经济损益分析</w:t>
      </w:r>
      <w:bookmarkEnd w:id="181"/>
      <w:bookmarkEnd w:id="182"/>
    </w:p>
    <w:p w14:paraId="47B33F7A">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环境经济损益分析是环境影响评价的一项重要工作内容，其主要任务是估算建设项目需要投入的环保投资和所能收到的环境保护效果。因此，在环境经济损益分析中，除需计算用于控制污染所需投资和费用外，还要同时核算可能收到的环境与经济实效。</w:t>
      </w:r>
    </w:p>
    <w:p w14:paraId="34322AC3">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然而，经济效益比较直观，很容易用货币直接计算，而污染影响带来的损失一般是间接的，很难用货币直接计算。因此，目前环境影响经济损益的定量分析难度较大，本项目环境经济损益采用定性与半定量相结合的方法进行简要分析。</w:t>
      </w:r>
    </w:p>
    <w:p w14:paraId="48888637">
      <w:pPr>
        <w:pStyle w:val="4"/>
        <w:ind w:left="0" w:leftChars="0" w:firstLineChars="0"/>
        <w:rPr>
          <w:rFonts w:hint="default" w:ascii="Times New Roman" w:hAnsi="Times New Roman" w:cs="Times New Roman"/>
          <w:color w:val="auto"/>
          <w:u w:val="none"/>
        </w:rPr>
      </w:pPr>
      <w:bookmarkStart w:id="183" w:name="_Toc8847"/>
      <w:bookmarkStart w:id="184" w:name="_Toc26230"/>
      <w:bookmarkStart w:id="185" w:name="_Toc8903"/>
      <w:r>
        <w:rPr>
          <w:rFonts w:hint="default" w:ascii="Times New Roman" w:hAnsi="Times New Roman" w:cs="Times New Roman"/>
          <w:color w:val="auto"/>
          <w:u w:val="none"/>
        </w:rPr>
        <w:t>环保投资分析</w:t>
      </w:r>
      <w:bookmarkEnd w:id="183"/>
      <w:bookmarkEnd w:id="184"/>
      <w:bookmarkEnd w:id="185"/>
    </w:p>
    <w:p w14:paraId="4E61679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项目环境保护设计规定》规定：“凡属于污染治理和保护环境所需的装置、设备、监测手段和工程设施等属于环境保护设施”，“凡有环境保护设施的建设项目均应列入环境保护设施的投资概算”。根据工程分析和环境影响预测可知，项目建成投产后，产生的废气、废水、噪声、废渣等将对周围环境造成一定的影响，因此必须投入一定的资金，采取相应的污染治理措施，使工程对环境的影响降到最小程度。本项目环保设施均需新建，具体的环保措施及投资估算见表8.1-1。</w:t>
      </w:r>
    </w:p>
    <w:p w14:paraId="13183A27">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t>表8.1-1 环保投资估算一览表   投资单位：万元</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68"/>
        <w:gridCol w:w="878"/>
        <w:gridCol w:w="1621"/>
        <w:gridCol w:w="3509"/>
        <w:gridCol w:w="740"/>
        <w:gridCol w:w="1103"/>
      </w:tblGrid>
      <w:tr w14:paraId="0350B1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vAlign w:val="center"/>
          </w:tcPr>
          <w:p w14:paraId="7E4155B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序号</w:t>
            </w:r>
          </w:p>
        </w:tc>
        <w:tc>
          <w:tcPr>
            <w:tcW w:w="515" w:type="pct"/>
            <w:tcBorders>
              <w:tl2br w:val="nil"/>
              <w:tr2bl w:val="nil"/>
            </w:tcBorders>
            <w:vAlign w:val="center"/>
          </w:tcPr>
          <w:p w14:paraId="439CD69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类别</w:t>
            </w:r>
          </w:p>
        </w:tc>
        <w:tc>
          <w:tcPr>
            <w:tcW w:w="951" w:type="pct"/>
            <w:tcBorders>
              <w:tl2br w:val="nil"/>
              <w:tr2bl w:val="nil"/>
            </w:tcBorders>
            <w:vAlign w:val="center"/>
          </w:tcPr>
          <w:p w14:paraId="7234BED2">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w:t>
            </w:r>
          </w:p>
        </w:tc>
        <w:tc>
          <w:tcPr>
            <w:tcW w:w="2059" w:type="pct"/>
            <w:tcBorders>
              <w:tl2br w:val="nil"/>
              <w:tr2bl w:val="nil"/>
            </w:tcBorders>
            <w:vAlign w:val="center"/>
          </w:tcPr>
          <w:p w14:paraId="6E6FE2DB">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项目名称</w:t>
            </w:r>
          </w:p>
        </w:tc>
        <w:tc>
          <w:tcPr>
            <w:tcW w:w="434" w:type="pct"/>
            <w:tcBorders>
              <w:tl2br w:val="nil"/>
              <w:tr2bl w:val="nil"/>
            </w:tcBorders>
            <w:vAlign w:val="center"/>
          </w:tcPr>
          <w:p w14:paraId="16976078">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数量</w:t>
            </w:r>
          </w:p>
        </w:tc>
        <w:tc>
          <w:tcPr>
            <w:tcW w:w="647" w:type="pct"/>
            <w:tcBorders>
              <w:tl2br w:val="nil"/>
              <w:tr2bl w:val="nil"/>
            </w:tcBorders>
            <w:vAlign w:val="center"/>
          </w:tcPr>
          <w:p w14:paraId="3BFDB48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投资（万元）</w:t>
            </w:r>
          </w:p>
        </w:tc>
      </w:tr>
      <w:tr w14:paraId="558A99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vAlign w:val="center"/>
          </w:tcPr>
          <w:p w14:paraId="1F21939A">
            <w:pPr>
              <w:pStyle w:val="41"/>
              <w:rPr>
                <w:rFonts w:hint="default" w:ascii="Times New Roman" w:hAnsi="Times New Roman" w:eastAsia="宋体" w:cs="Times New Roman"/>
                <w:color w:val="auto"/>
                <w:u w:val="none"/>
                <w:lang w:val="en-US" w:eastAsia="zh-CN"/>
              </w:rPr>
            </w:pPr>
            <w:bookmarkStart w:id="186" w:name="OLE_LINK27" w:colFirst="4" w:colLast="4"/>
            <w:bookmarkStart w:id="187" w:name="OLE_LINK6" w:colFirst="4" w:colLast="4"/>
            <w:bookmarkStart w:id="188" w:name="_Hlk478216530"/>
            <w:bookmarkStart w:id="189" w:name="OLE_LINK17" w:colFirst="4" w:colLast="4"/>
            <w:bookmarkStart w:id="190" w:name="_Hlk452125215"/>
            <w:r>
              <w:rPr>
                <w:rFonts w:hint="eastAsia" w:cs="Times New Roman"/>
                <w:color w:val="auto"/>
                <w:u w:val="none"/>
                <w:lang w:val="en-US" w:eastAsia="zh-CN"/>
              </w:rPr>
              <w:t>1</w:t>
            </w:r>
          </w:p>
        </w:tc>
        <w:tc>
          <w:tcPr>
            <w:tcW w:w="515" w:type="pct"/>
            <w:tcBorders>
              <w:tl2br w:val="nil"/>
              <w:tr2bl w:val="nil"/>
            </w:tcBorders>
            <w:vAlign w:val="center"/>
          </w:tcPr>
          <w:p w14:paraId="03FA3E60">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废气</w:t>
            </w:r>
          </w:p>
        </w:tc>
        <w:tc>
          <w:tcPr>
            <w:tcW w:w="951" w:type="pct"/>
            <w:tcBorders>
              <w:tl2br w:val="nil"/>
              <w:tr2bl w:val="nil"/>
            </w:tcBorders>
            <w:vAlign w:val="center"/>
          </w:tcPr>
          <w:p w14:paraId="419E0DA2">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阳极氧化线（</w:t>
            </w:r>
            <w:r>
              <w:rPr>
                <w:rFonts w:hint="eastAsia" w:cs="Times New Roman"/>
                <w:color w:val="auto"/>
                <w:u w:val="none"/>
                <w:lang w:val="en-US" w:eastAsia="zh-CN"/>
              </w:rPr>
              <w:t>2条生产线</w:t>
            </w:r>
            <w:r>
              <w:rPr>
                <w:rFonts w:hint="default" w:ascii="Times New Roman" w:hAnsi="Times New Roman" w:cs="Times New Roman"/>
                <w:color w:val="auto"/>
                <w:u w:val="none"/>
              </w:rPr>
              <w:t>）</w:t>
            </w:r>
          </w:p>
        </w:tc>
        <w:tc>
          <w:tcPr>
            <w:tcW w:w="2059" w:type="pct"/>
            <w:tcBorders>
              <w:tl2br w:val="nil"/>
              <w:tr2bl w:val="nil"/>
            </w:tcBorders>
            <w:vAlign w:val="center"/>
          </w:tcPr>
          <w:p w14:paraId="2FE88429">
            <w:pPr>
              <w:pStyle w:val="41"/>
              <w:rPr>
                <w:rFonts w:hint="default" w:ascii="Times New Roman" w:hAnsi="Times New Roman" w:cs="Times New Roman"/>
                <w:color w:val="auto"/>
                <w:u w:val="none"/>
              </w:rPr>
            </w:pPr>
            <w:r>
              <w:rPr>
                <w:rFonts w:hint="default" w:ascii="Times New Roman" w:hAnsi="Times New Roman" w:cs="Times New Roman"/>
                <w:color w:val="auto"/>
                <w:u w:val="none"/>
              </w:rPr>
              <w:t>两级碱性喷淋塔+25.5m排气筒（DA0</w:t>
            </w:r>
            <w:r>
              <w:rPr>
                <w:rFonts w:hint="eastAsia" w:cs="Times New Roman"/>
                <w:color w:val="auto"/>
                <w:u w:val="none"/>
                <w:lang w:val="en-US" w:eastAsia="zh-CN"/>
              </w:rPr>
              <w:t>01</w:t>
            </w:r>
            <w:r>
              <w:rPr>
                <w:rFonts w:hint="default" w:ascii="Times New Roman" w:hAnsi="Times New Roman" w:cs="Times New Roman"/>
                <w:color w:val="auto"/>
                <w:u w:val="none"/>
              </w:rPr>
              <w:t>）</w:t>
            </w:r>
          </w:p>
        </w:tc>
        <w:tc>
          <w:tcPr>
            <w:tcW w:w="434" w:type="pct"/>
            <w:tcBorders>
              <w:tl2br w:val="nil"/>
              <w:tr2bl w:val="nil"/>
            </w:tcBorders>
            <w:vAlign w:val="center"/>
          </w:tcPr>
          <w:p w14:paraId="5C69553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1套</w:t>
            </w:r>
          </w:p>
        </w:tc>
        <w:tc>
          <w:tcPr>
            <w:tcW w:w="647" w:type="pct"/>
            <w:tcBorders>
              <w:tl2br w:val="nil"/>
              <w:tr2bl w:val="nil"/>
            </w:tcBorders>
            <w:vAlign w:val="center"/>
          </w:tcPr>
          <w:p w14:paraId="58B7D98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30</w:t>
            </w:r>
          </w:p>
        </w:tc>
      </w:tr>
      <w:tr w14:paraId="507E79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vAlign w:val="center"/>
          </w:tcPr>
          <w:p w14:paraId="1722EB1E">
            <w:pPr>
              <w:pStyle w:val="41"/>
              <w:rPr>
                <w:rFonts w:hint="default" w:cs="Times New Roman"/>
                <w:color w:val="auto"/>
                <w:u w:val="none"/>
                <w:lang w:val="en-US" w:eastAsia="zh-CN"/>
              </w:rPr>
            </w:pPr>
            <w:r>
              <w:rPr>
                <w:rFonts w:hint="eastAsia" w:cs="Times New Roman"/>
                <w:color w:val="auto"/>
                <w:u w:val="none"/>
                <w:lang w:val="en-US" w:eastAsia="zh-CN"/>
              </w:rPr>
              <w:t>2</w:t>
            </w:r>
          </w:p>
        </w:tc>
        <w:tc>
          <w:tcPr>
            <w:tcW w:w="515" w:type="pct"/>
            <w:tcBorders>
              <w:tl2br w:val="nil"/>
              <w:tr2bl w:val="nil"/>
            </w:tcBorders>
            <w:vAlign w:val="center"/>
          </w:tcPr>
          <w:p w14:paraId="092E6665">
            <w:pPr>
              <w:pStyle w:val="41"/>
              <w:rPr>
                <w:rFonts w:hint="default" w:cs="Times New Roman"/>
                <w:color w:val="auto"/>
                <w:u w:val="none"/>
                <w:lang w:val="en-US" w:eastAsia="zh-CN"/>
              </w:rPr>
            </w:pPr>
            <w:r>
              <w:rPr>
                <w:rFonts w:hint="eastAsia" w:cs="Times New Roman"/>
                <w:color w:val="auto"/>
                <w:u w:val="none"/>
                <w:lang w:val="en-US" w:eastAsia="zh-CN"/>
              </w:rPr>
              <w:t>废气</w:t>
            </w:r>
          </w:p>
        </w:tc>
        <w:tc>
          <w:tcPr>
            <w:tcW w:w="951" w:type="pct"/>
            <w:tcBorders>
              <w:tl2br w:val="nil"/>
              <w:tr2bl w:val="nil"/>
            </w:tcBorders>
            <w:vAlign w:val="center"/>
          </w:tcPr>
          <w:p w14:paraId="6CD23C82">
            <w:pPr>
              <w:pStyle w:val="41"/>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铬酸盐封闭</w:t>
            </w:r>
            <w:r>
              <w:rPr>
                <w:rFonts w:hint="eastAsia" w:cs="Times New Roman"/>
                <w:color w:val="auto"/>
                <w:u w:val="none"/>
                <w:lang w:eastAsia="zh-CN"/>
              </w:rPr>
              <w:t>（</w:t>
            </w:r>
            <w:r>
              <w:rPr>
                <w:rFonts w:hint="eastAsia" w:cs="Times New Roman"/>
                <w:color w:val="auto"/>
                <w:u w:val="none"/>
                <w:lang w:val="en-US" w:eastAsia="zh-CN"/>
              </w:rPr>
              <w:t>2条生产线</w:t>
            </w:r>
            <w:r>
              <w:rPr>
                <w:rFonts w:hint="eastAsia" w:cs="Times New Roman"/>
                <w:color w:val="auto"/>
                <w:u w:val="none"/>
                <w:lang w:eastAsia="zh-CN"/>
              </w:rPr>
              <w:t>）</w:t>
            </w:r>
          </w:p>
        </w:tc>
        <w:tc>
          <w:tcPr>
            <w:tcW w:w="2059" w:type="pct"/>
            <w:tcBorders>
              <w:tl2br w:val="nil"/>
              <w:tr2bl w:val="nil"/>
            </w:tcBorders>
            <w:vAlign w:val="center"/>
          </w:tcPr>
          <w:p w14:paraId="04033C77">
            <w:pPr>
              <w:pStyle w:val="41"/>
              <w:rPr>
                <w:rFonts w:hint="default" w:ascii="Times New Roman" w:hAnsi="Times New Roman" w:cs="Times New Roman"/>
                <w:color w:val="auto"/>
                <w:u w:val="none"/>
              </w:rPr>
            </w:pPr>
            <w:r>
              <w:rPr>
                <w:rFonts w:hint="default" w:ascii="Times New Roman" w:hAnsi="Times New Roman" w:cs="Times New Roman"/>
                <w:color w:val="auto"/>
                <w:u w:val="none"/>
              </w:rPr>
              <w:t>两级碱性喷淋塔+25.5m排气筒（DA0</w:t>
            </w:r>
            <w:r>
              <w:rPr>
                <w:rFonts w:hint="eastAsia" w:cs="Times New Roman"/>
                <w:color w:val="auto"/>
                <w:u w:val="none"/>
                <w:lang w:val="en-US" w:eastAsia="zh-CN"/>
              </w:rPr>
              <w:t>01</w:t>
            </w:r>
            <w:r>
              <w:rPr>
                <w:rFonts w:hint="default" w:ascii="Times New Roman" w:hAnsi="Times New Roman" w:cs="Times New Roman"/>
                <w:color w:val="auto"/>
                <w:u w:val="none"/>
              </w:rPr>
              <w:t>）</w:t>
            </w:r>
          </w:p>
        </w:tc>
        <w:tc>
          <w:tcPr>
            <w:tcW w:w="740" w:type="dxa"/>
            <w:tcBorders>
              <w:tl2br w:val="nil"/>
              <w:tr2bl w:val="nil"/>
            </w:tcBorders>
            <w:vAlign w:val="center"/>
          </w:tcPr>
          <w:p w14:paraId="20EAD35E">
            <w:pPr>
              <w:pStyle w:val="41"/>
              <w:rPr>
                <w:rFonts w:hint="eastAsia" w:cs="Times New Roman"/>
                <w:color w:val="auto"/>
                <w:u w:val="none"/>
                <w:lang w:val="en-US" w:eastAsia="zh-CN"/>
              </w:rPr>
            </w:pPr>
            <w:r>
              <w:rPr>
                <w:rFonts w:hint="eastAsia" w:cs="Times New Roman"/>
                <w:color w:val="auto"/>
                <w:u w:val="none"/>
                <w:lang w:val="en-US" w:eastAsia="zh-CN"/>
              </w:rPr>
              <w:t>1套</w:t>
            </w:r>
          </w:p>
        </w:tc>
        <w:tc>
          <w:tcPr>
            <w:tcW w:w="1103" w:type="dxa"/>
            <w:tcBorders>
              <w:tl2br w:val="nil"/>
              <w:tr2bl w:val="nil"/>
            </w:tcBorders>
            <w:vAlign w:val="center"/>
          </w:tcPr>
          <w:p w14:paraId="750E8CC8">
            <w:pPr>
              <w:pStyle w:val="41"/>
              <w:rPr>
                <w:rFonts w:hint="eastAsia" w:cs="Times New Roman"/>
                <w:color w:val="auto"/>
                <w:u w:val="none"/>
                <w:lang w:val="en-US" w:eastAsia="zh-CN"/>
              </w:rPr>
            </w:pPr>
            <w:r>
              <w:rPr>
                <w:rFonts w:hint="eastAsia" w:cs="Times New Roman"/>
                <w:color w:val="auto"/>
                <w:u w:val="none"/>
                <w:lang w:val="en-US" w:eastAsia="zh-CN"/>
              </w:rPr>
              <w:t>30</w:t>
            </w:r>
          </w:p>
        </w:tc>
      </w:tr>
      <w:bookmarkEnd w:id="186"/>
      <w:bookmarkEnd w:id="187"/>
      <w:bookmarkEnd w:id="188"/>
      <w:bookmarkEnd w:id="189"/>
      <w:bookmarkEnd w:id="190"/>
      <w:tr w14:paraId="24C05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92" w:type="pct"/>
            <w:vMerge w:val="restart"/>
            <w:tcBorders>
              <w:tl2br w:val="nil"/>
              <w:tr2bl w:val="nil"/>
            </w:tcBorders>
            <w:vAlign w:val="center"/>
          </w:tcPr>
          <w:p w14:paraId="45A59282">
            <w:pPr>
              <w:pStyle w:val="41"/>
              <w:rPr>
                <w:rFonts w:hint="default" w:ascii="Times New Roman" w:hAnsi="Times New Roman" w:cs="Times New Roman"/>
                <w:color w:val="auto"/>
                <w:u w:val="none"/>
              </w:rPr>
            </w:pPr>
            <w:r>
              <w:rPr>
                <w:rFonts w:hint="default" w:ascii="Times New Roman" w:hAnsi="Times New Roman" w:cs="Times New Roman"/>
                <w:color w:val="auto"/>
                <w:u w:val="none"/>
              </w:rPr>
              <w:t>2</w:t>
            </w:r>
          </w:p>
        </w:tc>
        <w:tc>
          <w:tcPr>
            <w:tcW w:w="515" w:type="pct"/>
            <w:vMerge w:val="restart"/>
            <w:tcBorders>
              <w:tl2br w:val="nil"/>
              <w:tr2bl w:val="nil"/>
            </w:tcBorders>
            <w:vAlign w:val="center"/>
          </w:tcPr>
          <w:p w14:paraId="4BA903E1">
            <w:pPr>
              <w:pStyle w:val="41"/>
              <w:rPr>
                <w:rFonts w:hint="default" w:ascii="Times New Roman" w:hAnsi="Times New Roman" w:cs="Times New Roman"/>
                <w:color w:val="auto"/>
                <w:u w:val="none"/>
              </w:rPr>
            </w:pPr>
            <w:r>
              <w:rPr>
                <w:rFonts w:hint="default" w:ascii="Times New Roman" w:hAnsi="Times New Roman" w:cs="Times New Roman"/>
                <w:color w:val="auto"/>
                <w:u w:val="none"/>
              </w:rPr>
              <w:t>废水</w:t>
            </w:r>
          </w:p>
        </w:tc>
        <w:tc>
          <w:tcPr>
            <w:tcW w:w="951" w:type="pct"/>
            <w:tcBorders>
              <w:tl2br w:val="nil"/>
              <w:tr2bl w:val="nil"/>
            </w:tcBorders>
            <w:vAlign w:val="center"/>
          </w:tcPr>
          <w:p w14:paraId="1BE213DE">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2059" w:type="pct"/>
            <w:tcBorders>
              <w:tl2br w:val="nil"/>
              <w:tr2bl w:val="nil"/>
            </w:tcBorders>
            <w:vAlign w:val="center"/>
          </w:tcPr>
          <w:p w14:paraId="0077596B">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含镍废水处理系统（</w:t>
            </w:r>
            <w:r>
              <w:rPr>
                <w:rFonts w:hint="eastAsia" w:cs="Times New Roman"/>
                <w:color w:val="auto"/>
                <w:u w:val="none"/>
                <w:lang w:val="en-US" w:eastAsia="zh-CN"/>
              </w:rPr>
              <w:t>15</w:t>
            </w:r>
            <w:r>
              <w:rPr>
                <w:rFonts w:hint="default" w:ascii="Times New Roman" w:hAnsi="Times New Roman" w:cs="Times New Roman"/>
                <w:color w:val="auto"/>
                <w:u w:val="none"/>
              </w:rPr>
              <w:t>t/d）</w:t>
            </w:r>
          </w:p>
        </w:tc>
        <w:tc>
          <w:tcPr>
            <w:tcW w:w="434" w:type="pct"/>
            <w:tcBorders>
              <w:tl2br w:val="nil"/>
              <w:tr2bl w:val="nil"/>
            </w:tcBorders>
            <w:vAlign w:val="center"/>
          </w:tcPr>
          <w:p w14:paraId="28CC8C6D">
            <w:pPr>
              <w:pStyle w:val="41"/>
              <w:rPr>
                <w:rFonts w:hint="default" w:ascii="Times New Roman" w:hAnsi="Times New Roman" w:cs="Times New Roman"/>
                <w:color w:val="auto"/>
                <w:u w:val="none"/>
              </w:rPr>
            </w:pPr>
            <w:r>
              <w:rPr>
                <w:rFonts w:hint="default" w:ascii="Times New Roman" w:hAnsi="Times New Roman" w:cs="Times New Roman"/>
                <w:color w:val="auto"/>
                <w:u w:val="none"/>
              </w:rPr>
              <w:t>1套</w:t>
            </w:r>
          </w:p>
        </w:tc>
        <w:tc>
          <w:tcPr>
            <w:tcW w:w="647" w:type="pct"/>
            <w:tcBorders>
              <w:tl2br w:val="nil"/>
              <w:tr2bl w:val="nil"/>
            </w:tcBorders>
            <w:vAlign w:val="center"/>
          </w:tcPr>
          <w:p w14:paraId="38B2ADE8">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w:t>
            </w:r>
          </w:p>
        </w:tc>
      </w:tr>
      <w:tr w14:paraId="009233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92" w:type="pct"/>
            <w:vMerge w:val="continue"/>
            <w:tcBorders>
              <w:tl2br w:val="nil"/>
              <w:tr2bl w:val="nil"/>
            </w:tcBorders>
            <w:vAlign w:val="center"/>
          </w:tcPr>
          <w:p w14:paraId="51CDEAA4">
            <w:pPr>
              <w:pStyle w:val="41"/>
              <w:rPr>
                <w:rFonts w:hint="default" w:ascii="Times New Roman" w:hAnsi="Times New Roman" w:cs="Times New Roman"/>
                <w:color w:val="auto"/>
                <w:u w:val="none"/>
              </w:rPr>
            </w:pPr>
          </w:p>
        </w:tc>
        <w:tc>
          <w:tcPr>
            <w:tcW w:w="515" w:type="pct"/>
            <w:vMerge w:val="continue"/>
            <w:tcBorders>
              <w:tl2br w:val="nil"/>
              <w:tr2bl w:val="nil"/>
            </w:tcBorders>
            <w:vAlign w:val="center"/>
          </w:tcPr>
          <w:p w14:paraId="4BA18E5D">
            <w:pPr>
              <w:pStyle w:val="41"/>
              <w:rPr>
                <w:rFonts w:hint="default" w:ascii="Times New Roman" w:hAnsi="Times New Roman" w:cs="Times New Roman"/>
                <w:color w:val="auto"/>
                <w:u w:val="none"/>
              </w:rPr>
            </w:pPr>
          </w:p>
        </w:tc>
        <w:tc>
          <w:tcPr>
            <w:tcW w:w="951" w:type="pct"/>
            <w:tcBorders>
              <w:tl2br w:val="nil"/>
              <w:tr2bl w:val="nil"/>
            </w:tcBorders>
            <w:vAlign w:val="center"/>
          </w:tcPr>
          <w:p w14:paraId="596A6392">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2059" w:type="pct"/>
            <w:tcBorders>
              <w:tl2br w:val="nil"/>
              <w:tr2bl w:val="nil"/>
            </w:tcBorders>
            <w:vAlign w:val="center"/>
          </w:tcPr>
          <w:p w14:paraId="00ECE0FF">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含镍废液处理系统（</w:t>
            </w:r>
            <w:r>
              <w:rPr>
                <w:rFonts w:hint="eastAsia" w:cs="Times New Roman"/>
                <w:color w:val="auto"/>
                <w:u w:val="none"/>
                <w:lang w:val="en-US" w:eastAsia="zh-CN"/>
              </w:rPr>
              <w:t>1.5</w:t>
            </w:r>
            <w:r>
              <w:rPr>
                <w:rFonts w:hint="default" w:ascii="Times New Roman" w:hAnsi="Times New Roman" w:cs="Times New Roman"/>
                <w:color w:val="auto"/>
                <w:u w:val="none"/>
              </w:rPr>
              <w:t>t/d）</w:t>
            </w:r>
          </w:p>
        </w:tc>
        <w:tc>
          <w:tcPr>
            <w:tcW w:w="434" w:type="pct"/>
            <w:tcBorders>
              <w:tl2br w:val="nil"/>
              <w:tr2bl w:val="nil"/>
            </w:tcBorders>
            <w:vAlign w:val="center"/>
          </w:tcPr>
          <w:p w14:paraId="0D11B903">
            <w:pPr>
              <w:pStyle w:val="41"/>
              <w:rPr>
                <w:rFonts w:hint="default" w:ascii="Times New Roman" w:hAnsi="Times New Roman" w:cs="Times New Roman"/>
                <w:color w:val="auto"/>
                <w:u w:val="none"/>
              </w:rPr>
            </w:pPr>
            <w:r>
              <w:rPr>
                <w:rFonts w:hint="default" w:ascii="Times New Roman" w:hAnsi="Times New Roman" w:cs="Times New Roman"/>
                <w:color w:val="auto"/>
                <w:u w:val="none"/>
              </w:rPr>
              <w:t>1套</w:t>
            </w:r>
          </w:p>
        </w:tc>
        <w:tc>
          <w:tcPr>
            <w:tcW w:w="647" w:type="pct"/>
            <w:tcBorders>
              <w:tl2br w:val="nil"/>
              <w:tr2bl w:val="nil"/>
            </w:tcBorders>
            <w:vAlign w:val="center"/>
          </w:tcPr>
          <w:p w14:paraId="079FCC86">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15</w:t>
            </w:r>
          </w:p>
        </w:tc>
      </w:tr>
      <w:tr w14:paraId="28A1EC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392" w:type="pct"/>
            <w:vMerge w:val="continue"/>
            <w:tcBorders>
              <w:tl2br w:val="nil"/>
              <w:tr2bl w:val="nil"/>
            </w:tcBorders>
            <w:vAlign w:val="center"/>
          </w:tcPr>
          <w:p w14:paraId="63D00BCF">
            <w:pPr>
              <w:pStyle w:val="41"/>
              <w:rPr>
                <w:rFonts w:hint="default" w:ascii="Times New Roman" w:hAnsi="Times New Roman" w:cs="Times New Roman"/>
                <w:color w:val="auto"/>
                <w:u w:val="none"/>
              </w:rPr>
            </w:pPr>
          </w:p>
        </w:tc>
        <w:tc>
          <w:tcPr>
            <w:tcW w:w="515" w:type="pct"/>
            <w:vMerge w:val="continue"/>
            <w:tcBorders>
              <w:tl2br w:val="nil"/>
              <w:tr2bl w:val="nil"/>
            </w:tcBorders>
            <w:vAlign w:val="center"/>
          </w:tcPr>
          <w:p w14:paraId="112A03E5">
            <w:pPr>
              <w:pStyle w:val="41"/>
              <w:rPr>
                <w:rFonts w:hint="default" w:ascii="Times New Roman" w:hAnsi="Times New Roman" w:cs="Times New Roman"/>
                <w:color w:val="auto"/>
                <w:u w:val="none"/>
              </w:rPr>
            </w:pPr>
          </w:p>
        </w:tc>
        <w:tc>
          <w:tcPr>
            <w:tcW w:w="951" w:type="pct"/>
            <w:tcBorders>
              <w:tl2br w:val="nil"/>
              <w:tr2bl w:val="nil"/>
            </w:tcBorders>
            <w:vAlign w:val="center"/>
          </w:tcPr>
          <w:p w14:paraId="548B9596">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2059" w:type="pct"/>
            <w:tcBorders>
              <w:tl2br w:val="nil"/>
              <w:tr2bl w:val="nil"/>
            </w:tcBorders>
            <w:vAlign w:val="center"/>
          </w:tcPr>
          <w:p w14:paraId="6698404A">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含铬废水处理系统（</w:t>
            </w:r>
            <w:r>
              <w:rPr>
                <w:rFonts w:hint="eastAsia" w:cs="Times New Roman"/>
                <w:color w:val="auto"/>
                <w:u w:val="none"/>
                <w:lang w:val="en-US" w:eastAsia="zh-CN"/>
              </w:rPr>
              <w:t>15</w:t>
            </w:r>
            <w:r>
              <w:rPr>
                <w:rFonts w:hint="default" w:ascii="Times New Roman" w:hAnsi="Times New Roman" w:cs="Times New Roman"/>
                <w:color w:val="auto"/>
                <w:u w:val="none"/>
              </w:rPr>
              <w:t>t/d）</w:t>
            </w:r>
          </w:p>
        </w:tc>
        <w:tc>
          <w:tcPr>
            <w:tcW w:w="434" w:type="pct"/>
            <w:tcBorders>
              <w:tl2br w:val="nil"/>
              <w:tr2bl w:val="nil"/>
            </w:tcBorders>
            <w:vAlign w:val="center"/>
          </w:tcPr>
          <w:p w14:paraId="02B6B3D0">
            <w:pPr>
              <w:pStyle w:val="41"/>
              <w:rPr>
                <w:rFonts w:hint="default" w:ascii="Times New Roman" w:hAnsi="Times New Roman" w:cs="Times New Roman"/>
                <w:color w:val="auto"/>
                <w:u w:val="none"/>
              </w:rPr>
            </w:pPr>
            <w:r>
              <w:rPr>
                <w:rFonts w:hint="default" w:ascii="Times New Roman" w:hAnsi="Times New Roman" w:cs="Times New Roman"/>
                <w:color w:val="auto"/>
                <w:u w:val="none"/>
              </w:rPr>
              <w:t>1套</w:t>
            </w:r>
          </w:p>
        </w:tc>
        <w:tc>
          <w:tcPr>
            <w:tcW w:w="647" w:type="pct"/>
            <w:tcBorders>
              <w:tl2br w:val="nil"/>
              <w:tr2bl w:val="nil"/>
            </w:tcBorders>
            <w:vAlign w:val="center"/>
          </w:tcPr>
          <w:p w14:paraId="61FC02A5">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25</w:t>
            </w:r>
          </w:p>
        </w:tc>
      </w:tr>
      <w:tr w14:paraId="453563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0C2EE850">
            <w:pPr>
              <w:pStyle w:val="41"/>
              <w:rPr>
                <w:rFonts w:hint="default" w:ascii="Times New Roman" w:hAnsi="Times New Roman" w:cs="Times New Roman"/>
                <w:color w:val="auto"/>
                <w:u w:val="none"/>
              </w:rPr>
            </w:pPr>
          </w:p>
        </w:tc>
        <w:tc>
          <w:tcPr>
            <w:tcW w:w="515" w:type="pct"/>
            <w:vMerge w:val="continue"/>
            <w:tcBorders>
              <w:tl2br w:val="nil"/>
              <w:tr2bl w:val="nil"/>
            </w:tcBorders>
            <w:vAlign w:val="center"/>
          </w:tcPr>
          <w:p w14:paraId="624C1D29">
            <w:pPr>
              <w:pStyle w:val="41"/>
              <w:rPr>
                <w:rFonts w:hint="default" w:ascii="Times New Roman" w:hAnsi="Times New Roman" w:cs="Times New Roman"/>
                <w:color w:val="auto"/>
                <w:u w:val="none"/>
              </w:rPr>
            </w:pPr>
          </w:p>
        </w:tc>
        <w:tc>
          <w:tcPr>
            <w:tcW w:w="951" w:type="pct"/>
            <w:tcBorders>
              <w:tl2br w:val="nil"/>
              <w:tr2bl w:val="nil"/>
            </w:tcBorders>
            <w:vAlign w:val="center"/>
          </w:tcPr>
          <w:p w14:paraId="4744650C">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2059" w:type="pct"/>
            <w:tcBorders>
              <w:tl2br w:val="nil"/>
              <w:tr2bl w:val="nil"/>
            </w:tcBorders>
            <w:vAlign w:val="center"/>
          </w:tcPr>
          <w:p w14:paraId="0004E87A">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含磷废水处理系统（</w:t>
            </w:r>
            <w:r>
              <w:rPr>
                <w:rFonts w:hint="eastAsia" w:cs="Times New Roman"/>
                <w:color w:val="auto"/>
                <w:u w:val="none"/>
                <w:lang w:val="en-US" w:eastAsia="zh-CN"/>
              </w:rPr>
              <w:t>3</w:t>
            </w:r>
            <w:r>
              <w:rPr>
                <w:rFonts w:hint="default" w:ascii="Times New Roman" w:hAnsi="Times New Roman" w:cs="Times New Roman"/>
                <w:color w:val="auto"/>
                <w:u w:val="none"/>
              </w:rPr>
              <w:t>t/d）</w:t>
            </w:r>
          </w:p>
        </w:tc>
        <w:tc>
          <w:tcPr>
            <w:tcW w:w="434" w:type="pct"/>
            <w:tcBorders>
              <w:tl2br w:val="nil"/>
              <w:tr2bl w:val="nil"/>
            </w:tcBorders>
            <w:vAlign w:val="center"/>
          </w:tcPr>
          <w:p w14:paraId="01182C5F">
            <w:pPr>
              <w:pStyle w:val="41"/>
              <w:rPr>
                <w:rFonts w:hint="default" w:ascii="Times New Roman" w:hAnsi="Times New Roman" w:cs="Times New Roman"/>
                <w:color w:val="auto"/>
                <w:u w:val="none"/>
              </w:rPr>
            </w:pPr>
            <w:r>
              <w:rPr>
                <w:rFonts w:hint="default" w:ascii="Times New Roman" w:hAnsi="Times New Roman" w:cs="Times New Roman"/>
                <w:color w:val="auto"/>
                <w:u w:val="none"/>
              </w:rPr>
              <w:t>1套</w:t>
            </w:r>
          </w:p>
        </w:tc>
        <w:tc>
          <w:tcPr>
            <w:tcW w:w="647" w:type="pct"/>
            <w:tcBorders>
              <w:tl2br w:val="nil"/>
              <w:tr2bl w:val="nil"/>
            </w:tcBorders>
            <w:vAlign w:val="center"/>
          </w:tcPr>
          <w:p w14:paraId="60DCA462">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8</w:t>
            </w:r>
          </w:p>
        </w:tc>
      </w:tr>
      <w:tr w14:paraId="51C588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vAlign w:val="center"/>
          </w:tcPr>
          <w:p w14:paraId="6903F926">
            <w:pPr>
              <w:pStyle w:val="41"/>
              <w:rPr>
                <w:rFonts w:hint="default" w:ascii="Times New Roman" w:hAnsi="Times New Roman" w:cs="Times New Roman"/>
                <w:color w:val="auto"/>
                <w:u w:val="none"/>
              </w:rPr>
            </w:pPr>
            <w:r>
              <w:rPr>
                <w:rFonts w:hint="default" w:ascii="Times New Roman" w:hAnsi="Times New Roman" w:cs="Times New Roman"/>
                <w:color w:val="auto"/>
                <w:u w:val="none"/>
              </w:rPr>
              <w:t>3</w:t>
            </w:r>
          </w:p>
        </w:tc>
        <w:tc>
          <w:tcPr>
            <w:tcW w:w="515" w:type="pct"/>
            <w:tcBorders>
              <w:tl2br w:val="nil"/>
              <w:tr2bl w:val="nil"/>
            </w:tcBorders>
            <w:vAlign w:val="center"/>
          </w:tcPr>
          <w:p w14:paraId="5003323B">
            <w:pPr>
              <w:pStyle w:val="41"/>
              <w:rPr>
                <w:rFonts w:hint="default" w:ascii="Times New Roman" w:hAnsi="Times New Roman" w:cs="Times New Roman"/>
                <w:color w:val="auto"/>
                <w:u w:val="none"/>
              </w:rPr>
            </w:pPr>
            <w:r>
              <w:rPr>
                <w:rFonts w:hint="default" w:ascii="Times New Roman" w:hAnsi="Times New Roman" w:cs="Times New Roman"/>
                <w:color w:val="auto"/>
                <w:u w:val="none"/>
              </w:rPr>
              <w:t>噪声</w:t>
            </w:r>
          </w:p>
        </w:tc>
        <w:tc>
          <w:tcPr>
            <w:tcW w:w="3010" w:type="pct"/>
            <w:gridSpan w:val="2"/>
            <w:tcBorders>
              <w:tl2br w:val="nil"/>
              <w:tr2bl w:val="nil"/>
            </w:tcBorders>
            <w:vAlign w:val="center"/>
          </w:tcPr>
          <w:p w14:paraId="67C58664">
            <w:pPr>
              <w:pStyle w:val="41"/>
              <w:rPr>
                <w:rFonts w:hint="default" w:ascii="Times New Roman" w:hAnsi="Times New Roman" w:cs="Times New Roman"/>
                <w:color w:val="auto"/>
                <w:u w:val="none"/>
              </w:rPr>
            </w:pPr>
            <w:r>
              <w:rPr>
                <w:rFonts w:hint="default" w:ascii="Times New Roman" w:hAnsi="Times New Roman" w:cs="Times New Roman"/>
                <w:color w:val="auto"/>
                <w:u w:val="none"/>
              </w:rPr>
              <w:t>选用低噪声设备、隔声、减振设施</w:t>
            </w:r>
          </w:p>
        </w:tc>
        <w:tc>
          <w:tcPr>
            <w:tcW w:w="434" w:type="pct"/>
            <w:tcBorders>
              <w:tl2br w:val="nil"/>
              <w:tr2bl w:val="nil"/>
            </w:tcBorders>
            <w:vAlign w:val="center"/>
          </w:tcPr>
          <w:p w14:paraId="5B152F49">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7" w:type="pct"/>
            <w:tcBorders>
              <w:tl2br w:val="nil"/>
              <w:tr2bl w:val="nil"/>
            </w:tcBorders>
            <w:vAlign w:val="center"/>
          </w:tcPr>
          <w:p w14:paraId="4EA5E653">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w:t>
            </w:r>
          </w:p>
        </w:tc>
      </w:tr>
      <w:tr w14:paraId="2CCA73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vMerge w:val="restart"/>
            <w:tcBorders>
              <w:tl2br w:val="nil"/>
              <w:tr2bl w:val="nil"/>
            </w:tcBorders>
            <w:vAlign w:val="center"/>
          </w:tcPr>
          <w:p w14:paraId="50F009A1">
            <w:pPr>
              <w:pStyle w:val="41"/>
              <w:rPr>
                <w:rFonts w:hint="default" w:ascii="Times New Roman" w:hAnsi="Times New Roman" w:cs="Times New Roman"/>
                <w:color w:val="auto"/>
                <w:u w:val="none"/>
              </w:rPr>
            </w:pPr>
            <w:r>
              <w:rPr>
                <w:rFonts w:hint="default" w:ascii="Times New Roman" w:hAnsi="Times New Roman" w:cs="Times New Roman"/>
                <w:color w:val="auto"/>
                <w:u w:val="none"/>
              </w:rPr>
              <w:t>4</w:t>
            </w:r>
          </w:p>
        </w:tc>
        <w:tc>
          <w:tcPr>
            <w:tcW w:w="515" w:type="pct"/>
            <w:vMerge w:val="restart"/>
            <w:tcBorders>
              <w:tl2br w:val="nil"/>
              <w:tr2bl w:val="nil"/>
            </w:tcBorders>
            <w:vAlign w:val="center"/>
          </w:tcPr>
          <w:p w14:paraId="4EF13286">
            <w:pPr>
              <w:pStyle w:val="41"/>
              <w:rPr>
                <w:rFonts w:hint="default" w:ascii="Times New Roman" w:hAnsi="Times New Roman" w:cs="Times New Roman"/>
                <w:color w:val="auto"/>
                <w:u w:val="none"/>
              </w:rPr>
            </w:pPr>
            <w:r>
              <w:rPr>
                <w:rFonts w:hint="default" w:ascii="Times New Roman" w:hAnsi="Times New Roman" w:cs="Times New Roman"/>
                <w:color w:val="auto"/>
                <w:u w:val="none"/>
              </w:rPr>
              <w:t>固废</w:t>
            </w:r>
          </w:p>
        </w:tc>
        <w:tc>
          <w:tcPr>
            <w:tcW w:w="951" w:type="pct"/>
            <w:tcBorders>
              <w:tl2br w:val="nil"/>
              <w:tr2bl w:val="nil"/>
            </w:tcBorders>
            <w:vAlign w:val="center"/>
          </w:tcPr>
          <w:p w14:paraId="40B06392">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一般工业固体废物</w:t>
            </w:r>
          </w:p>
        </w:tc>
        <w:tc>
          <w:tcPr>
            <w:tcW w:w="2059" w:type="pct"/>
            <w:tcBorders>
              <w:tl2br w:val="nil"/>
              <w:tr2bl w:val="nil"/>
            </w:tcBorders>
            <w:vAlign w:val="center"/>
          </w:tcPr>
          <w:p w14:paraId="3EC7E909">
            <w:pPr>
              <w:pStyle w:val="41"/>
              <w:rPr>
                <w:rFonts w:hint="default" w:ascii="Times New Roman" w:hAnsi="Times New Roman" w:cs="Times New Roman"/>
                <w:color w:val="auto"/>
                <w:u w:val="none"/>
              </w:rPr>
            </w:pPr>
            <w:r>
              <w:rPr>
                <w:rFonts w:hint="default" w:ascii="Times New Roman" w:hAnsi="Times New Roman" w:cs="Times New Roman"/>
                <w:color w:val="auto"/>
                <w:u w:val="none"/>
              </w:rPr>
              <w:t>一般固废暂存间（</w:t>
            </w:r>
            <w:r>
              <w:rPr>
                <w:rFonts w:hint="eastAsia" w:cs="Times New Roman"/>
                <w:color w:val="auto"/>
                <w:u w:val="none"/>
                <w:lang w:val="en-US" w:eastAsia="zh-CN"/>
              </w:rPr>
              <w:t>50</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），收集后外售</w:t>
            </w:r>
          </w:p>
        </w:tc>
        <w:tc>
          <w:tcPr>
            <w:tcW w:w="434" w:type="pct"/>
            <w:tcBorders>
              <w:tl2br w:val="nil"/>
              <w:tr2bl w:val="nil"/>
            </w:tcBorders>
            <w:vAlign w:val="center"/>
          </w:tcPr>
          <w:p w14:paraId="6FC14749">
            <w:pPr>
              <w:pStyle w:val="41"/>
              <w:rPr>
                <w:rFonts w:hint="default" w:ascii="Times New Roman" w:hAnsi="Times New Roman" w:cs="Times New Roman"/>
                <w:color w:val="auto"/>
                <w:u w:val="none"/>
              </w:rPr>
            </w:pPr>
            <w:r>
              <w:rPr>
                <w:rFonts w:hint="default" w:ascii="Times New Roman" w:hAnsi="Times New Roman" w:cs="Times New Roman"/>
                <w:color w:val="auto"/>
                <w:u w:val="none"/>
              </w:rPr>
              <w:t>1间</w:t>
            </w:r>
          </w:p>
        </w:tc>
        <w:tc>
          <w:tcPr>
            <w:tcW w:w="647" w:type="pct"/>
            <w:tcBorders>
              <w:tl2br w:val="nil"/>
              <w:tr2bl w:val="nil"/>
            </w:tcBorders>
            <w:vAlign w:val="center"/>
          </w:tcPr>
          <w:p w14:paraId="0EA219DB">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4</w:t>
            </w:r>
          </w:p>
        </w:tc>
      </w:tr>
      <w:tr w14:paraId="05BAF6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1731DC6C">
            <w:pPr>
              <w:pStyle w:val="41"/>
              <w:rPr>
                <w:rFonts w:hint="default" w:ascii="Times New Roman" w:hAnsi="Times New Roman" w:cs="Times New Roman"/>
                <w:color w:val="auto"/>
                <w:u w:val="none"/>
              </w:rPr>
            </w:pPr>
          </w:p>
        </w:tc>
        <w:tc>
          <w:tcPr>
            <w:tcW w:w="515" w:type="pct"/>
            <w:vMerge w:val="continue"/>
            <w:tcBorders>
              <w:tl2br w:val="nil"/>
              <w:tr2bl w:val="nil"/>
            </w:tcBorders>
            <w:vAlign w:val="center"/>
          </w:tcPr>
          <w:p w14:paraId="3EF042BC">
            <w:pPr>
              <w:pStyle w:val="41"/>
              <w:rPr>
                <w:rFonts w:hint="default" w:ascii="Times New Roman" w:hAnsi="Times New Roman" w:cs="Times New Roman"/>
                <w:color w:val="auto"/>
                <w:u w:val="none"/>
              </w:rPr>
            </w:pPr>
          </w:p>
        </w:tc>
        <w:tc>
          <w:tcPr>
            <w:tcW w:w="951" w:type="pct"/>
            <w:tcBorders>
              <w:tl2br w:val="nil"/>
              <w:tr2bl w:val="nil"/>
            </w:tcBorders>
            <w:vAlign w:val="center"/>
          </w:tcPr>
          <w:p w14:paraId="112E53A0">
            <w:pPr>
              <w:pStyle w:val="41"/>
              <w:rPr>
                <w:rFonts w:hint="default" w:ascii="Times New Roman" w:hAnsi="Times New Roman" w:cs="Times New Roman"/>
                <w:color w:val="auto"/>
                <w:u w:val="none"/>
              </w:rPr>
            </w:pPr>
            <w:r>
              <w:rPr>
                <w:rFonts w:hint="default" w:ascii="Times New Roman" w:hAnsi="Times New Roman" w:cs="Times New Roman"/>
                <w:color w:val="auto"/>
                <w:u w:val="none"/>
              </w:rPr>
              <w:t>危险废物</w:t>
            </w:r>
          </w:p>
        </w:tc>
        <w:tc>
          <w:tcPr>
            <w:tcW w:w="2059" w:type="pct"/>
            <w:tcBorders>
              <w:tl2br w:val="nil"/>
              <w:tr2bl w:val="nil"/>
            </w:tcBorders>
            <w:vAlign w:val="center"/>
          </w:tcPr>
          <w:p w14:paraId="6D41F24C">
            <w:pPr>
              <w:pStyle w:val="41"/>
              <w:rPr>
                <w:rFonts w:hint="default" w:ascii="Times New Roman" w:hAnsi="Times New Roman" w:cs="Times New Roman"/>
                <w:color w:val="auto"/>
                <w:u w:val="none"/>
              </w:rPr>
            </w:pPr>
            <w:r>
              <w:rPr>
                <w:rFonts w:hint="default" w:ascii="Times New Roman" w:hAnsi="Times New Roman" w:cs="Times New Roman"/>
                <w:color w:val="auto"/>
                <w:u w:val="none"/>
              </w:rPr>
              <w:t>危废暂存间（总面积</w:t>
            </w:r>
            <w:r>
              <w:rPr>
                <w:rFonts w:hint="eastAsia" w:cs="Times New Roman"/>
                <w:color w:val="auto"/>
                <w:u w:val="none"/>
                <w:lang w:val="en-US" w:eastAsia="zh-CN"/>
              </w:rPr>
              <w:t>10</w:t>
            </w:r>
            <w:r>
              <w:rPr>
                <w:rFonts w:hint="default" w:ascii="Times New Roman" w:hAnsi="Times New Roman" w:cs="Times New Roman"/>
                <w:color w:val="auto"/>
                <w:u w:val="none"/>
              </w:rPr>
              <w:t>0m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），交由有资质的单位处理</w:t>
            </w:r>
          </w:p>
        </w:tc>
        <w:tc>
          <w:tcPr>
            <w:tcW w:w="434" w:type="pct"/>
            <w:tcBorders>
              <w:tl2br w:val="nil"/>
              <w:tr2bl w:val="nil"/>
            </w:tcBorders>
            <w:vAlign w:val="center"/>
          </w:tcPr>
          <w:p w14:paraId="52A3CA37">
            <w:pPr>
              <w:pStyle w:val="41"/>
              <w:rPr>
                <w:rFonts w:hint="default" w:ascii="Times New Roman" w:hAnsi="Times New Roman" w:cs="Times New Roman"/>
                <w:color w:val="auto"/>
                <w:u w:val="none"/>
              </w:rPr>
            </w:pPr>
            <w:r>
              <w:rPr>
                <w:rFonts w:hint="eastAsia" w:cs="Times New Roman"/>
                <w:color w:val="auto"/>
                <w:u w:val="none"/>
                <w:lang w:val="en-US" w:eastAsia="zh-CN"/>
              </w:rPr>
              <w:t>1</w:t>
            </w:r>
            <w:r>
              <w:rPr>
                <w:rFonts w:hint="default" w:ascii="Times New Roman" w:hAnsi="Times New Roman" w:cs="Times New Roman"/>
                <w:color w:val="auto"/>
                <w:u w:val="none"/>
              </w:rPr>
              <w:t>间</w:t>
            </w:r>
          </w:p>
        </w:tc>
        <w:tc>
          <w:tcPr>
            <w:tcW w:w="647" w:type="pct"/>
            <w:tcBorders>
              <w:tl2br w:val="nil"/>
              <w:tr2bl w:val="nil"/>
            </w:tcBorders>
            <w:vAlign w:val="center"/>
          </w:tcPr>
          <w:p w14:paraId="6BB7137F">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w:t>
            </w:r>
          </w:p>
        </w:tc>
      </w:tr>
      <w:tr w14:paraId="468857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vMerge w:val="continue"/>
            <w:tcBorders>
              <w:tl2br w:val="nil"/>
              <w:tr2bl w:val="nil"/>
            </w:tcBorders>
            <w:vAlign w:val="center"/>
          </w:tcPr>
          <w:p w14:paraId="5303F1F3">
            <w:pPr>
              <w:pStyle w:val="41"/>
              <w:rPr>
                <w:rFonts w:hint="default" w:ascii="Times New Roman" w:hAnsi="Times New Roman" w:cs="Times New Roman"/>
                <w:color w:val="auto"/>
                <w:u w:val="none"/>
              </w:rPr>
            </w:pPr>
          </w:p>
        </w:tc>
        <w:tc>
          <w:tcPr>
            <w:tcW w:w="515" w:type="pct"/>
            <w:vMerge w:val="continue"/>
            <w:tcBorders>
              <w:tl2br w:val="nil"/>
              <w:tr2bl w:val="nil"/>
            </w:tcBorders>
            <w:vAlign w:val="center"/>
          </w:tcPr>
          <w:p w14:paraId="05084153">
            <w:pPr>
              <w:pStyle w:val="41"/>
              <w:rPr>
                <w:rFonts w:hint="default" w:ascii="Times New Roman" w:hAnsi="Times New Roman" w:cs="Times New Roman"/>
                <w:color w:val="auto"/>
                <w:u w:val="none"/>
              </w:rPr>
            </w:pPr>
          </w:p>
        </w:tc>
        <w:tc>
          <w:tcPr>
            <w:tcW w:w="951" w:type="pct"/>
            <w:tcBorders>
              <w:tl2br w:val="nil"/>
              <w:tr2bl w:val="nil"/>
            </w:tcBorders>
            <w:vAlign w:val="center"/>
          </w:tcPr>
          <w:p w14:paraId="112BE077">
            <w:pPr>
              <w:pStyle w:val="41"/>
              <w:rPr>
                <w:rFonts w:hint="default" w:ascii="Times New Roman" w:hAnsi="Times New Roman" w:cs="Times New Roman"/>
                <w:color w:val="auto"/>
                <w:u w:val="none"/>
              </w:rPr>
            </w:pPr>
            <w:r>
              <w:rPr>
                <w:rFonts w:hint="default" w:ascii="Times New Roman" w:hAnsi="Times New Roman" w:cs="Times New Roman"/>
                <w:color w:val="auto"/>
                <w:u w:val="none"/>
              </w:rPr>
              <w:t>生活垃圾</w:t>
            </w:r>
          </w:p>
        </w:tc>
        <w:tc>
          <w:tcPr>
            <w:tcW w:w="2059" w:type="pct"/>
            <w:tcBorders>
              <w:tl2br w:val="nil"/>
              <w:tr2bl w:val="nil"/>
            </w:tcBorders>
            <w:vAlign w:val="center"/>
          </w:tcPr>
          <w:p w14:paraId="6F8D31E9">
            <w:pPr>
              <w:pStyle w:val="41"/>
              <w:rPr>
                <w:rFonts w:hint="default" w:ascii="Times New Roman" w:hAnsi="Times New Roman" w:cs="Times New Roman"/>
                <w:color w:val="auto"/>
                <w:u w:val="none"/>
              </w:rPr>
            </w:pPr>
            <w:r>
              <w:rPr>
                <w:rFonts w:hint="default" w:ascii="Times New Roman" w:hAnsi="Times New Roman" w:cs="Times New Roman"/>
                <w:color w:val="auto"/>
                <w:u w:val="none"/>
              </w:rPr>
              <w:t>若干垃圾桶，交环卫部门处理</w:t>
            </w:r>
          </w:p>
        </w:tc>
        <w:tc>
          <w:tcPr>
            <w:tcW w:w="434" w:type="pct"/>
            <w:tcBorders>
              <w:tl2br w:val="nil"/>
              <w:tr2bl w:val="nil"/>
            </w:tcBorders>
            <w:vAlign w:val="center"/>
          </w:tcPr>
          <w:p w14:paraId="134ADC25">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7" w:type="pct"/>
            <w:tcBorders>
              <w:tl2br w:val="nil"/>
              <w:tr2bl w:val="nil"/>
            </w:tcBorders>
            <w:vAlign w:val="center"/>
          </w:tcPr>
          <w:p w14:paraId="1397AD1C">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2</w:t>
            </w:r>
          </w:p>
        </w:tc>
      </w:tr>
      <w:tr w14:paraId="28513E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vAlign w:val="center"/>
          </w:tcPr>
          <w:p w14:paraId="64655251">
            <w:pPr>
              <w:pStyle w:val="41"/>
              <w:rPr>
                <w:rFonts w:hint="default" w:ascii="Times New Roman" w:hAnsi="Times New Roman" w:cs="Times New Roman"/>
                <w:color w:val="auto"/>
                <w:u w:val="none"/>
              </w:rPr>
            </w:pPr>
            <w:r>
              <w:rPr>
                <w:rFonts w:hint="default" w:ascii="Times New Roman" w:hAnsi="Times New Roman" w:cs="Times New Roman"/>
                <w:color w:val="auto"/>
                <w:u w:val="none"/>
              </w:rPr>
              <w:t>5</w:t>
            </w:r>
          </w:p>
        </w:tc>
        <w:tc>
          <w:tcPr>
            <w:tcW w:w="515" w:type="pct"/>
            <w:tcBorders>
              <w:tl2br w:val="nil"/>
              <w:tr2bl w:val="nil"/>
            </w:tcBorders>
            <w:vAlign w:val="center"/>
          </w:tcPr>
          <w:p w14:paraId="37FFF77E">
            <w:pPr>
              <w:pStyle w:val="41"/>
              <w:rPr>
                <w:rFonts w:hint="default" w:ascii="Times New Roman" w:hAnsi="Times New Roman" w:cs="Times New Roman"/>
                <w:color w:val="auto"/>
                <w:u w:val="none"/>
              </w:rPr>
            </w:pPr>
            <w:r>
              <w:rPr>
                <w:rFonts w:hint="default" w:ascii="Times New Roman" w:hAnsi="Times New Roman" w:cs="Times New Roman"/>
                <w:color w:val="auto"/>
                <w:u w:val="none"/>
              </w:rPr>
              <w:t>风险措施</w:t>
            </w:r>
          </w:p>
        </w:tc>
        <w:tc>
          <w:tcPr>
            <w:tcW w:w="951" w:type="pct"/>
            <w:tcBorders>
              <w:tl2br w:val="nil"/>
              <w:tr2bl w:val="nil"/>
            </w:tcBorders>
            <w:vAlign w:val="center"/>
          </w:tcPr>
          <w:p w14:paraId="31C1A3D6">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2059" w:type="pct"/>
            <w:tcBorders>
              <w:tl2br w:val="nil"/>
              <w:tr2bl w:val="nil"/>
            </w:tcBorders>
            <w:vAlign w:val="center"/>
          </w:tcPr>
          <w:p w14:paraId="7B802E54">
            <w:pPr>
              <w:pStyle w:val="41"/>
              <w:rPr>
                <w:rFonts w:hint="default" w:ascii="Times New Roman" w:hAnsi="Times New Roman" w:cs="Times New Roman"/>
                <w:color w:val="auto"/>
                <w:u w:val="none"/>
              </w:rPr>
            </w:pPr>
            <w:r>
              <w:rPr>
                <w:rFonts w:hint="default" w:ascii="Times New Roman" w:hAnsi="Times New Roman" w:cs="Times New Roman"/>
                <w:color w:val="auto"/>
                <w:u w:val="none"/>
              </w:rPr>
              <w:t>，危化品仓库、危废暂存间防腐、防渗；危化品仓库中酸性储罐设置围堰、其他危险化学品设置托盘、截流沟、事故池，截流沟和事故池防腐、防渗</w:t>
            </w:r>
          </w:p>
        </w:tc>
        <w:tc>
          <w:tcPr>
            <w:tcW w:w="434" w:type="pct"/>
            <w:tcBorders>
              <w:tl2br w:val="nil"/>
              <w:tr2bl w:val="nil"/>
            </w:tcBorders>
            <w:vAlign w:val="center"/>
          </w:tcPr>
          <w:p w14:paraId="7B6317B2">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7" w:type="pct"/>
            <w:tcBorders>
              <w:tl2br w:val="nil"/>
              <w:tr2bl w:val="nil"/>
            </w:tcBorders>
            <w:vAlign w:val="center"/>
          </w:tcPr>
          <w:p w14:paraId="040A2E84">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30</w:t>
            </w:r>
          </w:p>
        </w:tc>
      </w:tr>
      <w:tr w14:paraId="5C7E39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92" w:type="pct"/>
            <w:tcBorders>
              <w:tl2br w:val="nil"/>
              <w:tr2bl w:val="nil"/>
            </w:tcBorders>
            <w:vAlign w:val="center"/>
          </w:tcPr>
          <w:p w14:paraId="2455C444">
            <w:pPr>
              <w:pStyle w:val="41"/>
              <w:rPr>
                <w:rFonts w:hint="default" w:ascii="Times New Roman" w:hAnsi="Times New Roman" w:cs="Times New Roman"/>
                <w:color w:val="auto"/>
                <w:u w:val="none"/>
              </w:rPr>
            </w:pPr>
            <w:r>
              <w:rPr>
                <w:rFonts w:hint="default" w:ascii="Times New Roman" w:hAnsi="Times New Roman" w:cs="Times New Roman"/>
                <w:color w:val="auto"/>
                <w:u w:val="none"/>
              </w:rPr>
              <w:t>6</w:t>
            </w:r>
          </w:p>
        </w:tc>
        <w:tc>
          <w:tcPr>
            <w:tcW w:w="515" w:type="pct"/>
            <w:tcBorders>
              <w:tl2br w:val="nil"/>
              <w:tr2bl w:val="nil"/>
            </w:tcBorders>
            <w:vAlign w:val="center"/>
          </w:tcPr>
          <w:p w14:paraId="1EE4EFFE">
            <w:pPr>
              <w:pStyle w:val="41"/>
              <w:rPr>
                <w:rFonts w:hint="default" w:ascii="Times New Roman" w:hAnsi="Times New Roman" w:cs="Times New Roman"/>
                <w:color w:val="auto"/>
                <w:u w:val="none"/>
              </w:rPr>
            </w:pPr>
            <w:r>
              <w:rPr>
                <w:rFonts w:hint="default" w:ascii="Times New Roman" w:hAnsi="Times New Roman" w:cs="Times New Roman"/>
                <w:color w:val="auto"/>
                <w:u w:val="none"/>
              </w:rPr>
              <w:t>合计</w:t>
            </w:r>
          </w:p>
        </w:tc>
        <w:tc>
          <w:tcPr>
            <w:tcW w:w="3010" w:type="pct"/>
            <w:gridSpan w:val="2"/>
            <w:tcBorders>
              <w:tl2br w:val="nil"/>
              <w:tr2bl w:val="nil"/>
            </w:tcBorders>
            <w:vAlign w:val="center"/>
          </w:tcPr>
          <w:p w14:paraId="4A3FE6E0">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434" w:type="pct"/>
            <w:tcBorders>
              <w:tl2br w:val="nil"/>
              <w:tr2bl w:val="nil"/>
            </w:tcBorders>
            <w:vAlign w:val="center"/>
          </w:tcPr>
          <w:p w14:paraId="1DDD2AD3">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c>
          <w:tcPr>
            <w:tcW w:w="647" w:type="pct"/>
            <w:tcBorders>
              <w:tl2br w:val="nil"/>
              <w:tr2bl w:val="nil"/>
            </w:tcBorders>
            <w:vAlign w:val="center"/>
          </w:tcPr>
          <w:p w14:paraId="00B5239E">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209</w:t>
            </w:r>
          </w:p>
        </w:tc>
      </w:tr>
    </w:tbl>
    <w:p w14:paraId="4206EE17">
      <w:pPr>
        <w:pStyle w:val="4"/>
        <w:ind w:left="0" w:leftChars="0" w:firstLineChars="0"/>
        <w:rPr>
          <w:rFonts w:hint="default" w:ascii="Times New Roman" w:hAnsi="Times New Roman" w:cs="Times New Roman"/>
          <w:color w:val="auto"/>
          <w:u w:val="none"/>
        </w:rPr>
      </w:pPr>
      <w:bookmarkStart w:id="191" w:name="_Toc5275"/>
      <w:bookmarkStart w:id="192" w:name="_Toc1567"/>
      <w:bookmarkStart w:id="193" w:name="_Toc11869"/>
      <w:r>
        <w:rPr>
          <w:rFonts w:hint="default" w:ascii="Times New Roman" w:hAnsi="Times New Roman" w:cs="Times New Roman"/>
          <w:color w:val="auto"/>
          <w:u w:val="none"/>
        </w:rPr>
        <w:t>经济效益分析</w:t>
      </w:r>
      <w:bookmarkEnd w:id="191"/>
      <w:bookmarkEnd w:id="192"/>
      <w:bookmarkEnd w:id="193"/>
    </w:p>
    <w:p w14:paraId="28B5B8C8">
      <w:pPr>
        <w:pStyle w:val="5"/>
        <w:rPr>
          <w:rFonts w:hint="default" w:ascii="Times New Roman" w:hAnsi="Times New Roman" w:cs="Times New Roman"/>
          <w:color w:val="auto"/>
          <w:u w:val="none"/>
        </w:rPr>
      </w:pPr>
      <w:bookmarkStart w:id="194" w:name="_Toc23851"/>
      <w:r>
        <w:rPr>
          <w:rFonts w:hint="default" w:ascii="Times New Roman" w:hAnsi="Times New Roman" w:cs="Times New Roman"/>
          <w:color w:val="auto"/>
          <w:u w:val="none"/>
        </w:rPr>
        <w:t>环境影响的经济损失分析</w:t>
      </w:r>
      <w:bookmarkEnd w:id="194"/>
    </w:p>
    <w:p w14:paraId="1857F038">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（1）大气环境影响</w:t>
      </w:r>
    </w:p>
    <w:p w14:paraId="6E2A439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本项目营运期经治理后排放的硫酸会对当地大气环境产生一定的影响。项目废气经治理后均可达标排放，对周边大气环境影响较小。</w:t>
      </w:r>
    </w:p>
    <w:p w14:paraId="0B319AAE">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（2）水环境影响</w:t>
      </w:r>
    </w:p>
    <w:p w14:paraId="44E49640">
      <w:pPr>
        <w:ind w:firstLine="480"/>
        <w:rPr>
          <w:rFonts w:hint="default" w:ascii="Times New Roman" w:hAnsi="Times New Roman" w:cs="Times New Roman"/>
          <w:color w:val="auto"/>
          <w:kern w:val="24"/>
          <w:u w:val="none"/>
        </w:rPr>
      </w:pPr>
      <w:r>
        <w:rPr>
          <w:rFonts w:hint="default" w:ascii="Times New Roman" w:hAnsi="Times New Roman" w:cs="Times New Roman"/>
          <w:color w:val="auto"/>
          <w:kern w:val="0"/>
          <w:u w:val="none"/>
        </w:rPr>
        <w:t>水污染的经济损失是指水体受人为因素影响，如废水的排放，使其水体水质变差，从而导致水体功能减弱甚至丧失而引起的经济损失。本项目生活污水经化粪池预处理后一同排入市政污水管网，进城陵矶临港产业新区污水处理厂进行处理，对周边水环境影响较小</w:t>
      </w:r>
      <w:r>
        <w:rPr>
          <w:rFonts w:hint="default" w:ascii="Times New Roman" w:hAnsi="Times New Roman" w:cs="Times New Roman"/>
          <w:color w:val="auto"/>
          <w:kern w:val="24"/>
          <w:u w:val="none"/>
        </w:rPr>
        <w:t>。</w:t>
      </w:r>
    </w:p>
    <w:p w14:paraId="43846F55">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（3）噪声影响</w:t>
      </w:r>
    </w:p>
    <w:p w14:paraId="5111C2D5">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本项目运营期产生的</w:t>
      </w:r>
      <w:r>
        <w:rPr>
          <w:rFonts w:hint="eastAsia" w:ascii="Times New Roman" w:hAnsi="Times New Roman" w:cs="Times New Roman"/>
          <w:color w:val="auto"/>
          <w:kern w:val="0"/>
          <w:u w:val="none"/>
          <w:lang w:val="en-US" w:eastAsia="zh-CN"/>
        </w:rPr>
        <w:t>生产工序</w:t>
      </w:r>
      <w:r>
        <w:rPr>
          <w:rFonts w:hint="default" w:ascii="Times New Roman" w:hAnsi="Times New Roman" w:cs="Times New Roman"/>
          <w:color w:val="auto"/>
          <w:kern w:val="0"/>
          <w:u w:val="none"/>
        </w:rPr>
        <w:t>、废气处理、废水处理等设备产生的机械噪声，对当地声环境有一定影响。经隔声、减震等措施并经距离衰减后对周边声环境影响不大。</w:t>
      </w:r>
    </w:p>
    <w:p w14:paraId="3DA01E42">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（4）固废环境影响</w:t>
      </w:r>
    </w:p>
    <w:p w14:paraId="63BD018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拟建项目固废包括一般工业固废、危险废物、生活垃圾。</w:t>
      </w:r>
    </w:p>
    <w:p w14:paraId="1ECC5BB9">
      <w:pPr>
        <w:autoSpaceDE w:val="0"/>
        <w:autoSpaceDN w:val="0"/>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一般工业固体废物：</w:t>
      </w:r>
      <w:r>
        <w:rPr>
          <w:rFonts w:hint="default" w:ascii="Times New Roman" w:hAnsi="Times New Roman" w:cs="Times New Roman"/>
          <w:color w:val="auto"/>
          <w:u w:val="none"/>
          <w:lang w:val="en-US" w:eastAsia="zh-CN"/>
        </w:rPr>
        <w:t>纯水系统</w:t>
      </w:r>
      <w:r>
        <w:rPr>
          <w:rFonts w:hint="default" w:ascii="Times New Roman" w:hAnsi="Times New Roman" w:cs="Times New Roman"/>
          <w:color w:val="auto"/>
          <w:u w:val="none"/>
        </w:rPr>
        <w:t>废活性炭及废RO反渗透膜由设备的保养公司进行更换并回收处理；危险废物：危险化学品废包装、废槽渣、含磷废水处理系统浓缩液、含镍（铬）污泥、含铬（镍）结晶盐、中水回用和废水处理废RO反渗透膜、废滤芯、废机油等均属于危险废物，在厂区及污水处理站设置危险废物暂存间，按《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（要求进行建设，设置防风、防雨、防晒、防渗漏、防腐蚀等功能，并委托有资质的单位处置</w:t>
      </w:r>
      <w:r>
        <w:rPr>
          <w:rFonts w:hint="eastAsia" w:ascii="Times New Roman" w:hAnsi="Times New Roman" w:cs="Times New Roman"/>
          <w:color w:val="auto"/>
          <w:u w:val="none"/>
          <w:lang w:eastAsia="zh-CN"/>
        </w:rPr>
        <w:t>。</w:t>
      </w:r>
    </w:p>
    <w:p w14:paraId="1F826D6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生活垃圾：交环卫部门统一处理</w:t>
      </w:r>
    </w:p>
    <w:p w14:paraId="15649454">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通过采取上述措施，</w:t>
      </w:r>
      <w:r>
        <w:rPr>
          <w:rFonts w:hint="default" w:ascii="Times New Roman" w:hAnsi="Times New Roman" w:cs="Times New Roman"/>
          <w:color w:val="auto"/>
          <w:kern w:val="0"/>
          <w:u w:val="none"/>
          <w:lang w:val="zh-CN"/>
        </w:rPr>
        <w:t>固体废物均可得到妥善处理</w:t>
      </w:r>
      <w:r>
        <w:rPr>
          <w:rFonts w:hint="default" w:ascii="Times New Roman" w:hAnsi="Times New Roman" w:cs="Times New Roman"/>
          <w:color w:val="auto"/>
          <w:kern w:val="0"/>
          <w:u w:val="none"/>
        </w:rPr>
        <w:t>对当地环境产生的影响不大。</w:t>
      </w:r>
    </w:p>
    <w:p w14:paraId="0F36F427">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（5）生态环境影响</w:t>
      </w:r>
    </w:p>
    <w:p w14:paraId="06560938">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本项目通过加强厂区绿化，生态环境将得到恢复。</w:t>
      </w:r>
    </w:p>
    <w:p w14:paraId="3E72594C">
      <w:pPr>
        <w:pStyle w:val="5"/>
        <w:rPr>
          <w:rFonts w:hint="default" w:ascii="Times New Roman" w:hAnsi="Times New Roman" w:cs="Times New Roman"/>
          <w:color w:val="auto"/>
          <w:u w:val="none"/>
        </w:rPr>
      </w:pPr>
      <w:bookmarkStart w:id="195" w:name="_Toc11296"/>
      <w:r>
        <w:rPr>
          <w:rFonts w:hint="default" w:ascii="Times New Roman" w:hAnsi="Times New Roman" w:cs="Times New Roman"/>
          <w:color w:val="auto"/>
          <w:u w:val="none"/>
        </w:rPr>
        <w:t>环境影响的经济效益分析</w:t>
      </w:r>
      <w:bookmarkEnd w:id="195"/>
    </w:p>
    <w:p w14:paraId="3D2B5FDF">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（1）经济效益</w:t>
      </w:r>
    </w:p>
    <w:p w14:paraId="17ED720F">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本项目总投资</w:t>
      </w:r>
      <w:r>
        <w:rPr>
          <w:rFonts w:hint="eastAsia" w:ascii="Times New Roman" w:hAnsi="Times New Roman" w:cs="Times New Roman"/>
          <w:color w:val="auto"/>
          <w:kern w:val="0"/>
          <w:u w:val="none"/>
          <w:lang w:val="en-US" w:eastAsia="zh-CN"/>
        </w:rPr>
        <w:t>1600</w:t>
      </w:r>
      <w:r>
        <w:rPr>
          <w:rFonts w:hint="default" w:ascii="Times New Roman" w:hAnsi="Times New Roman" w:cs="Times New Roman"/>
          <w:color w:val="auto"/>
          <w:kern w:val="0"/>
          <w:u w:val="none"/>
        </w:rPr>
        <w:t>万元，其中环保投资</w:t>
      </w:r>
      <w:r>
        <w:rPr>
          <w:rFonts w:hint="eastAsia" w:ascii="Times New Roman" w:hAnsi="Times New Roman" w:cs="Times New Roman"/>
          <w:color w:val="auto"/>
          <w:kern w:val="0"/>
          <w:u w:val="none"/>
          <w:lang w:val="en-US" w:eastAsia="zh-CN"/>
        </w:rPr>
        <w:t>209</w:t>
      </w:r>
      <w:r>
        <w:rPr>
          <w:rFonts w:hint="default" w:ascii="Times New Roman" w:hAnsi="Times New Roman" w:cs="Times New Roman"/>
          <w:color w:val="auto"/>
          <w:kern w:val="0"/>
          <w:u w:val="none"/>
        </w:rPr>
        <w:t>万元，解决了当地20人的就业问题、增加了收入，本项目具有较好的经济效益。</w:t>
      </w:r>
    </w:p>
    <w:p w14:paraId="34087194">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（2）环境效益</w:t>
      </w:r>
    </w:p>
    <w:p w14:paraId="2FC8A43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在正常生产情况下，产生的各种废气通过采取合理的处理措施处理后高空排放，均可达标排放；重金属废水经处理后回用，综合废水经厂区自建污水处理站处理后，排入市政污水管网；固体废弃物可做到安全处置；噪声通过采取减震、隔音降噪以及合理安排生产时间和加强车间管理等措施，减少噪声污染。工程对废气、废水、固体废弃物以及噪声采取的污染防治措施一方面减少了污染物排放对环境的危害，体现了较好的环境效益和经济效益。</w:t>
      </w:r>
    </w:p>
    <w:p w14:paraId="799C7810">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（3）社会效益</w:t>
      </w:r>
    </w:p>
    <w:p w14:paraId="6E461C6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建设项目生产在取得直接经济效益的同时，带来了一系列的间接经济效益和社会效益：</w:t>
      </w:r>
    </w:p>
    <w:p w14:paraId="0A2A0B3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（1）项目投产后不但企业本身具有良好的盈利能力，而且能为国家和地方财政收入做出一定贡献。</w:t>
      </w:r>
    </w:p>
    <w:p w14:paraId="365FDC2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（2）本项目的建设可增加当地的就业岗位和就业机会，缓解就业压力。</w:t>
      </w:r>
    </w:p>
    <w:p w14:paraId="5FF732D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（3）本项目生产设备及原辅材料的采购，将扩大市场需求，带动相关产业的快速发展，为上游行业的发展提供发展机遇，从而带来巨大的间接社会效益。</w:t>
      </w:r>
    </w:p>
    <w:p w14:paraId="03D14F47">
      <w:pPr>
        <w:pStyle w:val="4"/>
        <w:ind w:left="0" w:leftChars="0" w:firstLineChars="0"/>
        <w:rPr>
          <w:rFonts w:hint="default" w:ascii="Times New Roman" w:hAnsi="Times New Roman" w:cs="Times New Roman"/>
          <w:color w:val="auto"/>
          <w:u w:val="none"/>
        </w:rPr>
      </w:pPr>
      <w:bookmarkStart w:id="196" w:name="_Toc8098"/>
      <w:bookmarkStart w:id="197" w:name="_Toc8293"/>
      <w:bookmarkStart w:id="198" w:name="_Toc9026"/>
      <w:r>
        <w:rPr>
          <w:rFonts w:hint="default" w:ascii="Times New Roman" w:hAnsi="Times New Roman" w:cs="Times New Roman"/>
          <w:color w:val="auto"/>
          <w:u w:val="none"/>
        </w:rPr>
        <w:t>小结</w:t>
      </w:r>
      <w:bookmarkEnd w:id="196"/>
      <w:bookmarkEnd w:id="197"/>
      <w:bookmarkEnd w:id="198"/>
    </w:p>
    <w:p w14:paraId="2852ABE9">
      <w:pPr>
        <w:autoSpaceDE w:val="0"/>
        <w:autoSpaceDN w:val="0"/>
        <w:ind w:firstLine="480"/>
        <w:jc w:val="left"/>
        <w:rPr>
          <w:rFonts w:hint="default" w:ascii="Times New Roman" w:hAnsi="Times New Roman" w:cs="Times New Roman"/>
          <w:color w:val="auto"/>
          <w:kern w:val="0"/>
          <w:u w:val="none"/>
        </w:rPr>
      </w:pPr>
      <w:r>
        <w:rPr>
          <w:rFonts w:hint="default" w:ascii="Times New Roman" w:hAnsi="Times New Roman" w:cs="Times New Roman"/>
          <w:color w:val="auto"/>
          <w:kern w:val="0"/>
          <w:u w:val="none"/>
        </w:rPr>
        <w:t>综上所述，工程总投资为</w:t>
      </w:r>
      <w:r>
        <w:rPr>
          <w:rFonts w:hint="eastAsia" w:ascii="Times New Roman" w:hAnsi="Times New Roman" w:cs="Times New Roman"/>
          <w:color w:val="auto"/>
          <w:u w:val="none"/>
          <w:lang w:val="en-US" w:eastAsia="zh-CN"/>
        </w:rPr>
        <w:t>1600</w:t>
      </w:r>
      <w:r>
        <w:rPr>
          <w:rFonts w:hint="default" w:ascii="Times New Roman" w:hAnsi="Times New Roman" w:cs="Times New Roman"/>
          <w:color w:val="auto"/>
          <w:kern w:val="0"/>
          <w:u w:val="none"/>
        </w:rPr>
        <w:t>万元，其中环保投资</w:t>
      </w:r>
      <w:r>
        <w:rPr>
          <w:rFonts w:hint="eastAsia" w:ascii="Times New Roman" w:hAnsi="Times New Roman" w:cs="Times New Roman"/>
          <w:color w:val="auto"/>
          <w:kern w:val="0"/>
          <w:u w:val="none"/>
          <w:lang w:val="en-US" w:eastAsia="zh-CN"/>
        </w:rPr>
        <w:t>209万元</w:t>
      </w:r>
      <w:r>
        <w:rPr>
          <w:rFonts w:hint="default" w:ascii="Times New Roman" w:hAnsi="Times New Roman" w:cs="Times New Roman"/>
          <w:color w:val="auto"/>
          <w:kern w:val="0"/>
          <w:u w:val="none"/>
        </w:rPr>
        <w:t>。企业在严格执行各项环保措施的基础上，“三废”均可得到合理处置，对周边环境的影响不大，可做到经济效益、社会效益和环境效益的三者统一。</w:t>
      </w:r>
    </w:p>
    <w:p w14:paraId="3BD67937">
      <w:pPr>
        <w:pStyle w:val="2"/>
        <w:ind w:left="0" w:leftChars="0" w:firstLineChars="0"/>
        <w:rPr>
          <w:rFonts w:hint="default" w:ascii="Times New Roman" w:hAnsi="Times New Roman" w:cs="Times New Roman"/>
          <w:color w:val="auto"/>
          <w:u w:val="none"/>
        </w:rPr>
      </w:pPr>
      <w:bookmarkStart w:id="199" w:name="_Toc24599"/>
      <w:bookmarkStart w:id="200" w:name="_Toc29236"/>
      <w:r>
        <w:rPr>
          <w:rFonts w:hint="default" w:ascii="Times New Roman" w:hAnsi="Times New Roman" w:cs="Times New Roman"/>
          <w:color w:val="auto"/>
          <w:u w:val="none"/>
        </w:rPr>
        <w:t>环境管理与监测计划</w:t>
      </w:r>
      <w:bookmarkEnd w:id="199"/>
      <w:bookmarkEnd w:id="200"/>
    </w:p>
    <w:p w14:paraId="6504F525">
      <w:pPr>
        <w:ind w:firstLine="480"/>
        <w:rPr>
          <w:rFonts w:hint="default" w:ascii="Times New Roman" w:hAnsi="Times New Roman" w:cs="Times New Roman"/>
          <w:color w:val="auto"/>
          <w:u w:val="none"/>
        </w:rPr>
      </w:pPr>
      <w:bookmarkStart w:id="201" w:name="_Toc17386"/>
      <w:bookmarkStart w:id="202" w:name="_Toc241467164"/>
      <w:bookmarkStart w:id="203" w:name="_Toc5630"/>
      <w:bookmarkStart w:id="204" w:name="_Toc475344942"/>
      <w:bookmarkStart w:id="205" w:name="_Toc15551"/>
      <w:bookmarkStart w:id="206" w:name="_Toc29687"/>
      <w:r>
        <w:rPr>
          <w:rFonts w:hint="default" w:ascii="Times New Roman" w:hAnsi="Times New Roman" w:cs="Times New Roman"/>
          <w:color w:val="auto"/>
          <w:u w:val="none"/>
        </w:rPr>
        <w:t>环境管理和环境监测是污染防治的重要内容之一，是实现污染总量控制和治理措施达到预期治理的有效保证。装置建成投产后，除了依据环评中所评述和建议的环境保护措施实施的同时，还需要加强环境管理和环境监测工作，以便及时发现装置运行过程中存在的问题，尽快采取处理措施，减少或避免污染和损失。同时通过加强管理和环境监测工作，为清洁生产工艺改造和污染处理技术进步提供具有实际指导意义的参考。</w:t>
      </w:r>
    </w:p>
    <w:p w14:paraId="0F88C145">
      <w:pPr>
        <w:pStyle w:val="4"/>
        <w:ind w:left="0" w:leftChars="0" w:firstLineChars="0"/>
        <w:rPr>
          <w:rFonts w:hint="default" w:ascii="Times New Roman" w:hAnsi="Times New Roman" w:cs="Times New Roman"/>
          <w:color w:val="auto"/>
          <w:u w:val="none"/>
        </w:rPr>
      </w:pPr>
      <w:bookmarkStart w:id="207" w:name="_Toc11914804"/>
      <w:bookmarkStart w:id="208" w:name="_Toc8191"/>
      <w:bookmarkStart w:id="209" w:name="_Toc405366416"/>
      <w:bookmarkStart w:id="210" w:name="_Toc385515507"/>
      <w:bookmarkStart w:id="211" w:name="_Toc286232356"/>
      <w:r>
        <w:rPr>
          <w:rFonts w:hint="default" w:ascii="Times New Roman" w:hAnsi="Times New Roman" w:cs="Times New Roman"/>
          <w:color w:val="auto"/>
          <w:u w:val="none"/>
        </w:rPr>
        <w:t>环境管理</w:t>
      </w:r>
      <w:bookmarkEnd w:id="207"/>
      <w:bookmarkEnd w:id="208"/>
      <w:bookmarkEnd w:id="209"/>
      <w:bookmarkEnd w:id="210"/>
    </w:p>
    <w:p w14:paraId="363509D5">
      <w:pPr>
        <w:pStyle w:val="5"/>
        <w:rPr>
          <w:rFonts w:hint="default" w:ascii="Times New Roman" w:hAnsi="Times New Roman" w:cs="Times New Roman"/>
          <w:color w:val="auto"/>
          <w:u w:val="none"/>
        </w:rPr>
      </w:pPr>
      <w:bookmarkStart w:id="212" w:name="_Toc360204347"/>
      <w:bookmarkStart w:id="213" w:name="_Toc359485741"/>
      <w:r>
        <w:rPr>
          <w:rFonts w:hint="default" w:ascii="Times New Roman" w:hAnsi="Times New Roman" w:cs="Times New Roman"/>
          <w:color w:val="auto"/>
          <w:u w:val="none"/>
        </w:rPr>
        <w:t>环境管理计划</w:t>
      </w:r>
      <w:bookmarkEnd w:id="211"/>
      <w:bookmarkEnd w:id="212"/>
      <w:bookmarkEnd w:id="213"/>
    </w:p>
    <w:p w14:paraId="5B9E7AE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建立比较合理的环境管理体制和管理机构，是保证环境保护措施有效实施的重要手段，制定科学的环境监控计划，正确处理经济发展与保护环境的关系，实现项目建设经济效益、社会效益和环境效益的统一。</w:t>
      </w:r>
    </w:p>
    <w:p w14:paraId="765D1B8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管理包括机构设置及职责、管理制度、管理计划、环保责任制等内容。开展企业环境管理的目的是在项目施工阶段和运营阶段履行监督与管理职责，确保工程在各阶段执行并遵守有关环保法规，协助地方环保管理部门做好监督监测工作，了解工程明显与潜在的环境影响，制定针对性的监督管理计划与措施。</w:t>
      </w:r>
    </w:p>
    <w:p w14:paraId="32840F4A">
      <w:pPr>
        <w:pStyle w:val="5"/>
        <w:rPr>
          <w:rFonts w:hint="default" w:ascii="Times New Roman" w:hAnsi="Times New Roman" w:cs="Times New Roman"/>
          <w:color w:val="auto"/>
          <w:u w:val="none"/>
        </w:rPr>
      </w:pPr>
      <w:bookmarkStart w:id="214" w:name="_Toc286232357"/>
      <w:bookmarkStart w:id="215" w:name="_Toc360204348"/>
      <w:bookmarkStart w:id="216" w:name="_Toc359485742"/>
      <w:r>
        <w:rPr>
          <w:rFonts w:hint="default" w:ascii="Times New Roman" w:hAnsi="Times New Roman" w:cs="Times New Roman"/>
          <w:color w:val="auto"/>
          <w:u w:val="none"/>
        </w:rPr>
        <w:t>环境管理机构</w:t>
      </w:r>
      <w:bookmarkEnd w:id="214"/>
      <w:r>
        <w:rPr>
          <w:rFonts w:hint="default" w:ascii="Times New Roman" w:hAnsi="Times New Roman" w:cs="Times New Roman"/>
          <w:color w:val="auto"/>
          <w:u w:val="none"/>
        </w:rPr>
        <w:t>及职责</w:t>
      </w:r>
      <w:bookmarkEnd w:id="215"/>
      <w:bookmarkEnd w:id="216"/>
    </w:p>
    <w:p w14:paraId="4AA192D0">
      <w:pPr>
        <w:ind w:firstLine="480"/>
        <w:rPr>
          <w:rFonts w:hint="default" w:ascii="Times New Roman" w:hAnsi="Times New Roman" w:cs="Times New Roman"/>
          <w:color w:val="auto"/>
          <w:u w:val="none"/>
        </w:rPr>
      </w:pPr>
      <w:bookmarkStart w:id="217" w:name="_Toc260210460"/>
      <w:bookmarkStart w:id="218" w:name="_Toc213837605"/>
      <w:bookmarkStart w:id="219" w:name="_Toc286232359"/>
      <w:r>
        <w:rPr>
          <w:rFonts w:hint="default" w:ascii="Times New Roman" w:hAnsi="Times New Roman" w:cs="Times New Roman"/>
          <w:color w:val="auto"/>
          <w:u w:val="none"/>
        </w:rPr>
        <w:t>（1）环境管理机构</w:t>
      </w:r>
    </w:p>
    <w:p w14:paraId="45DA3FD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了加强环境保护工作，环评建议建设单位建立一套完善的环境管理体制，设置专门的环境保护管理机构，设立环保部门，配备专职环保管理人员至少1名。环境保护管理环保人员由熟悉生产工艺和污染防治措施系统的管理、技术人员组成，负责组织、落实、管理工程在施工和运行期的环境保护工作。</w:t>
      </w:r>
    </w:p>
    <w:p w14:paraId="35BBBCA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（2）环境管理职责</w:t>
      </w:r>
    </w:p>
    <w:p w14:paraId="3B66762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环境管理机构主要职责主要包括：</w:t>
      </w:r>
    </w:p>
    <w:p w14:paraId="6C604E4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1）贯彻执行国家和地方的环境保护政策、法规及环境保护标准； </w:t>
      </w:r>
    </w:p>
    <w:p w14:paraId="799900C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2）建立并完善企业环境保护管理制度，经常督促检查落实情况； </w:t>
      </w:r>
    </w:p>
    <w:p w14:paraId="3E8926E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3）编制并组织实施本企业的环境保护规划和计划； </w:t>
      </w:r>
    </w:p>
    <w:p w14:paraId="3EDE86C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4）搞好环境保护宣传和教育，不断提高职工的环境保护意识； </w:t>
      </w:r>
    </w:p>
    <w:p w14:paraId="5F9D5E1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5）组织对环保人员的培训，提高工作素质； </w:t>
      </w:r>
    </w:p>
    <w:p w14:paraId="5CE0FD5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6）领导并组织企业的环境监测工作，建立环境监控档案； </w:t>
      </w:r>
    </w:p>
    <w:p w14:paraId="1B81899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7）制定本企业污染治理设备设施操作规程和检修计划，检查、记录污染治理设施运行及检修情况，确保治理设施常年正常运行； </w:t>
      </w:r>
    </w:p>
    <w:p w14:paraId="1F8E7FE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8）制定车间的污染物排放指标，定时考核和统计，确保污染物排放达到国家排放标准和总量控制指标。</w:t>
      </w:r>
    </w:p>
    <w:p w14:paraId="30EAE76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（3）环境管理要求</w:t>
      </w:r>
    </w:p>
    <w:p w14:paraId="6B346A4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本项目环境管理工作要求如下：</w:t>
      </w:r>
    </w:p>
    <w:p w14:paraId="46C883C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1）运行前期</w:t>
      </w:r>
    </w:p>
    <w:p w14:paraId="157F45A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①落实本项目各项环保投资，确保各项治理措施达到设计要求与环境保护设施执行“三同时”制度。</w:t>
      </w:r>
    </w:p>
    <w:p w14:paraId="1877138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②向环保部门递交建设项目竣工试运行报告，组织环保设施试运行。</w:t>
      </w:r>
    </w:p>
    <w:p w14:paraId="1CC32EB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③编制环保设施竣工验收方案报告，向环保部门申报；同时开展竣工验收监测工作，办理竣工环保验收手续。</w:t>
      </w:r>
    </w:p>
    <w:p w14:paraId="6A73839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④向当地环保部门进行排污申报登记，正式运行。</w:t>
      </w:r>
    </w:p>
    <w:p w14:paraId="0D3565E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 xml:space="preserve">2）正式运行后 </w:t>
      </w:r>
    </w:p>
    <w:p w14:paraId="7EB2903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①宣传、贯彻和执行环境保护政策、法律法规及环境保护标准。</w:t>
      </w:r>
    </w:p>
    <w:p w14:paraId="7DD951D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②建立健全环境保护与劳动安全管理制度，对项目营运期环保措施的运行情况实施有效监督。</w:t>
      </w:r>
    </w:p>
    <w:p w14:paraId="33E6D61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③编制并组织实施环境保护规划和计划，负责日常环境保护的管理工作。</w:t>
      </w:r>
    </w:p>
    <w:p w14:paraId="2C59DEA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④开展环境保护科研、宣传、教育、培训等专业知识普及工作。</w:t>
      </w:r>
    </w:p>
    <w:p w14:paraId="2047645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⑤建立监测台帐和档案，编写环保简报，做好环境统计，使企业领导、上级部门及时掌握污染治理动态。</w:t>
      </w:r>
    </w:p>
    <w:p w14:paraId="0D87392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⑥制定污染治理设备设施操作规程的检查、维修计划，检查、记录污染治理设施运行及检修情况，确保治理设施常年正常、安全运行。</w:t>
      </w:r>
    </w:p>
    <w:p w14:paraId="71142C0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⑦制定车间的污染物排放指标，定时考核和统计，确保全厂污染物排放达到国家排放标准和总量控制指标。</w:t>
      </w:r>
    </w:p>
    <w:p w14:paraId="495C540B">
      <w:pPr>
        <w:ind w:firstLine="480"/>
        <w:rPr>
          <w:rFonts w:hint="default" w:ascii="Times New Roman" w:hAnsi="Times New Roman" w:cs="Times New Roman"/>
          <w:color w:val="auto"/>
          <w:u w:val="none"/>
        </w:rPr>
      </w:pPr>
      <w:r>
        <w:rPr>
          <w:rFonts w:hint="default" w:ascii="Times New Roman" w:hAnsi="Times New Roman" w:cs="Times New Roman"/>
          <w:color w:val="auto"/>
          <w:u w:val="none"/>
        </w:rPr>
        <w:t>⑧为保证项目各项环保设施的正常运转，减少或防范污染事故，制定各项管理操作规范，并定期检查操作人员的操作技能，在实际工作中检验各项操作规范的可行性。</w:t>
      </w:r>
    </w:p>
    <w:p w14:paraId="2D26A292">
      <w:pPr>
        <w:pStyle w:val="4"/>
        <w:ind w:left="0" w:leftChars="0" w:firstLineChars="0"/>
        <w:rPr>
          <w:rFonts w:hint="default" w:ascii="Times New Roman" w:hAnsi="Times New Roman" w:cs="Times New Roman"/>
          <w:color w:val="auto"/>
          <w:u w:val="none"/>
        </w:rPr>
      </w:pPr>
      <w:bookmarkStart w:id="220" w:name="_Toc405366417"/>
      <w:bookmarkStart w:id="221" w:name="_Toc11914806"/>
      <w:bookmarkStart w:id="222" w:name="_Toc385515508"/>
      <w:bookmarkStart w:id="223" w:name="_Toc25806"/>
      <w:r>
        <w:rPr>
          <w:rFonts w:hint="default" w:ascii="Times New Roman" w:hAnsi="Times New Roman" w:cs="Times New Roman"/>
          <w:color w:val="auto"/>
          <w:u w:val="none"/>
        </w:rPr>
        <w:t>环境监测计划</w:t>
      </w:r>
      <w:bookmarkEnd w:id="217"/>
      <w:bookmarkEnd w:id="218"/>
      <w:bookmarkEnd w:id="219"/>
      <w:bookmarkEnd w:id="220"/>
      <w:bookmarkEnd w:id="221"/>
      <w:bookmarkEnd w:id="222"/>
      <w:bookmarkEnd w:id="223"/>
    </w:p>
    <w:p w14:paraId="2D2ABA9A">
      <w:pPr>
        <w:pStyle w:val="5"/>
        <w:rPr>
          <w:rFonts w:hint="default" w:ascii="Times New Roman" w:hAnsi="Times New Roman" w:cs="Times New Roman"/>
          <w:color w:val="auto"/>
          <w:u w:val="none"/>
        </w:rPr>
      </w:pPr>
      <w:bookmarkStart w:id="224" w:name="_Toc359485744"/>
      <w:bookmarkStart w:id="225" w:name="_Toc286232360"/>
      <w:bookmarkStart w:id="226" w:name="_Toc360204350"/>
      <w:r>
        <w:rPr>
          <w:rFonts w:hint="default" w:ascii="Times New Roman" w:hAnsi="Times New Roman" w:cs="Times New Roman"/>
          <w:color w:val="auto"/>
          <w:u w:val="none"/>
        </w:rPr>
        <w:t xml:space="preserve">设置和维护监测设施 </w:t>
      </w:r>
    </w:p>
    <w:p w14:paraId="304CFB5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建设单位应按照规定设置满足开展监测所需要的监测设施。废水排放口，废气（采样）监测平台、监测断面和监测孔的设置应符合监测规范要求。监测平台应便于开展监测活动，应能保证监测人员的安全。</w:t>
      </w:r>
    </w:p>
    <w:p w14:paraId="7EA16E5E">
      <w:pPr>
        <w:pStyle w:val="5"/>
        <w:rPr>
          <w:rFonts w:hint="default" w:ascii="Times New Roman" w:hAnsi="Times New Roman" w:cs="Times New Roman"/>
          <w:color w:val="auto"/>
          <w:u w:val="none"/>
        </w:rPr>
      </w:pPr>
      <w:r>
        <w:rPr>
          <w:rFonts w:hint="default" w:ascii="Times New Roman" w:hAnsi="Times New Roman" w:cs="Times New Roman"/>
          <w:color w:val="auto"/>
          <w:u w:val="none"/>
        </w:rPr>
        <w:t>环境监测机构与人员</w:t>
      </w:r>
      <w:bookmarkEnd w:id="224"/>
      <w:bookmarkEnd w:id="225"/>
      <w:bookmarkEnd w:id="226"/>
    </w:p>
    <w:p w14:paraId="23F2947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本次工程建成运行后的污染源监测委托其它有资质的检（监）测机构代其开展自行监测。</w:t>
      </w:r>
    </w:p>
    <w:p w14:paraId="01BDD1C4">
      <w:pPr>
        <w:pStyle w:val="5"/>
        <w:rPr>
          <w:rFonts w:hint="default" w:ascii="Times New Roman" w:hAnsi="Times New Roman" w:cs="Times New Roman"/>
          <w:color w:val="auto"/>
          <w:u w:val="none"/>
        </w:rPr>
      </w:pPr>
      <w:r>
        <w:rPr>
          <w:rFonts w:hint="default" w:ascii="Times New Roman" w:hAnsi="Times New Roman" w:cs="Times New Roman"/>
          <w:color w:val="auto"/>
          <w:u w:val="none"/>
        </w:rPr>
        <w:t>做好监测质量保证与质量控制</w:t>
      </w:r>
    </w:p>
    <w:p w14:paraId="501246A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建设单位应建立自行监测质量管理制度，按照相关技术规范要求做好监测质量保证与质量控制。</w:t>
      </w:r>
    </w:p>
    <w:p w14:paraId="146BE2D9">
      <w:pPr>
        <w:pStyle w:val="5"/>
        <w:rPr>
          <w:rFonts w:hint="default" w:ascii="Times New Roman" w:hAnsi="Times New Roman" w:cs="Times New Roman"/>
          <w:color w:val="auto"/>
          <w:u w:val="none"/>
        </w:rPr>
      </w:pPr>
      <w:r>
        <w:rPr>
          <w:rFonts w:hint="default" w:ascii="Times New Roman" w:hAnsi="Times New Roman" w:cs="Times New Roman"/>
          <w:color w:val="auto"/>
          <w:u w:val="none"/>
        </w:rPr>
        <w:t>记录和保存监测数据</w:t>
      </w:r>
    </w:p>
    <w:p w14:paraId="36970B8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排污单位应做好与监测相关的数据记录，按照规定进行保存，并依据相关法规向社会公开监测结果</w:t>
      </w:r>
    </w:p>
    <w:p w14:paraId="3B2346C5">
      <w:pPr>
        <w:pStyle w:val="5"/>
        <w:rPr>
          <w:rFonts w:hint="default" w:ascii="Times New Roman" w:hAnsi="Times New Roman" w:cs="Times New Roman"/>
          <w:color w:val="auto"/>
          <w:u w:val="none"/>
        </w:rPr>
      </w:pPr>
      <w:bookmarkStart w:id="227" w:name="_Toc359485745"/>
      <w:bookmarkStart w:id="228" w:name="_Toc360204351"/>
      <w:bookmarkStart w:id="229" w:name="_Toc286232361"/>
      <w:r>
        <w:rPr>
          <w:rFonts w:hint="default" w:ascii="Times New Roman" w:hAnsi="Times New Roman" w:cs="Times New Roman"/>
          <w:color w:val="auto"/>
          <w:u w:val="none"/>
        </w:rPr>
        <w:t>监测</w:t>
      </w:r>
      <w:bookmarkEnd w:id="227"/>
      <w:bookmarkEnd w:id="228"/>
      <w:bookmarkEnd w:id="229"/>
      <w:r>
        <w:rPr>
          <w:rFonts w:hint="default" w:ascii="Times New Roman" w:hAnsi="Times New Roman" w:cs="Times New Roman"/>
          <w:color w:val="auto"/>
          <w:u w:val="none"/>
        </w:rPr>
        <w:t>计划</w:t>
      </w:r>
    </w:p>
    <w:p w14:paraId="011C1C5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（1）污染源监测计划</w:t>
      </w:r>
    </w:p>
    <w:p w14:paraId="7A141F03">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szCs w:val="20"/>
          <w:u w:val="none"/>
        </w:rPr>
        <w:t>根据《排污许可证申请与核发技术规范 总则》（HJ942—2018）、</w:t>
      </w:r>
      <w:r>
        <w:rPr>
          <w:rFonts w:hint="default" w:ascii="Times New Roman" w:hAnsi="Times New Roman" w:cs="Times New Roman"/>
          <w:color w:val="auto"/>
          <w:kern w:val="0"/>
          <w:u w:val="none"/>
          <w:lang w:bidi="ar"/>
        </w:rPr>
        <w:t>《排污单位自行监测技术指南电镀工业》（HJ985-2018）</w:t>
      </w:r>
      <w:r>
        <w:rPr>
          <w:rFonts w:hint="default" w:ascii="Times New Roman" w:hAnsi="Times New Roman" w:cs="Times New Roman"/>
          <w:color w:val="auto"/>
          <w:szCs w:val="20"/>
          <w:u w:val="none"/>
        </w:rPr>
        <w:t>排污单位中的相关规定，</w:t>
      </w:r>
      <w:r>
        <w:rPr>
          <w:rFonts w:hint="default" w:ascii="Times New Roman" w:hAnsi="Times New Roman" w:cs="Times New Roman"/>
          <w:color w:val="auto"/>
          <w:u w:val="none"/>
        </w:rPr>
        <w:t>项目的污染源监测计划如表9.2-1所示，各监测项目的监测方法按照规定的标准监测分析方法执行。</w:t>
      </w:r>
    </w:p>
    <w:p w14:paraId="23CBAD17">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表9.2-1  污染源监测计划</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02"/>
        <w:gridCol w:w="2459"/>
        <w:gridCol w:w="2930"/>
        <w:gridCol w:w="2228"/>
      </w:tblGrid>
      <w:tr w14:paraId="1F655B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29" w:type="pct"/>
            <w:vAlign w:val="center"/>
          </w:tcPr>
          <w:p w14:paraId="07A542FD">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名称</w:t>
            </w:r>
          </w:p>
        </w:tc>
        <w:tc>
          <w:tcPr>
            <w:tcW w:w="1443" w:type="pct"/>
            <w:vAlign w:val="center"/>
          </w:tcPr>
          <w:p w14:paraId="26A7E237">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监测点位</w:t>
            </w:r>
          </w:p>
        </w:tc>
        <w:tc>
          <w:tcPr>
            <w:tcW w:w="1719" w:type="pct"/>
            <w:vAlign w:val="center"/>
          </w:tcPr>
          <w:p w14:paraId="0725E0DC">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监测项目</w:t>
            </w:r>
          </w:p>
        </w:tc>
        <w:tc>
          <w:tcPr>
            <w:tcW w:w="1307" w:type="pct"/>
            <w:vAlign w:val="center"/>
          </w:tcPr>
          <w:p w14:paraId="7B861B1E">
            <w:pPr>
              <w:pStyle w:val="41"/>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监测频率</w:t>
            </w:r>
          </w:p>
        </w:tc>
      </w:tr>
      <w:tr w14:paraId="079DA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29" w:type="pct"/>
            <w:vMerge w:val="restart"/>
            <w:vAlign w:val="center"/>
          </w:tcPr>
          <w:p w14:paraId="4B9F4648">
            <w:pPr>
              <w:pStyle w:val="41"/>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废气</w:t>
            </w:r>
          </w:p>
        </w:tc>
        <w:tc>
          <w:tcPr>
            <w:tcW w:w="1443" w:type="pct"/>
            <w:vAlign w:val="center"/>
          </w:tcPr>
          <w:p w14:paraId="0FC200A8">
            <w:pPr>
              <w:pStyle w:val="41"/>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DA</w:t>
            </w:r>
            <w:r>
              <w:rPr>
                <w:rFonts w:hint="eastAsia" w:cs="Times New Roman"/>
                <w:color w:val="auto"/>
                <w:kern w:val="2"/>
                <w:u w:val="none"/>
                <w:lang w:val="en-US" w:eastAsia="zh-CN"/>
              </w:rPr>
              <w:t>001排气筒</w:t>
            </w:r>
          </w:p>
        </w:tc>
        <w:tc>
          <w:tcPr>
            <w:tcW w:w="1719" w:type="pct"/>
            <w:vAlign w:val="center"/>
          </w:tcPr>
          <w:p w14:paraId="6573381D">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硫酸雾、氮氧化物</w:t>
            </w:r>
          </w:p>
        </w:tc>
        <w:tc>
          <w:tcPr>
            <w:tcW w:w="1307" w:type="pct"/>
            <w:vAlign w:val="center"/>
          </w:tcPr>
          <w:p w14:paraId="5B44901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半年一次</w:t>
            </w:r>
          </w:p>
        </w:tc>
      </w:tr>
      <w:tr w14:paraId="22BCCD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29" w:type="pct"/>
            <w:vMerge w:val="continue"/>
            <w:vAlign w:val="center"/>
          </w:tcPr>
          <w:p w14:paraId="4FF7C5B3">
            <w:pPr>
              <w:pStyle w:val="41"/>
              <w:rPr>
                <w:rFonts w:hint="default" w:ascii="Times New Roman" w:hAnsi="Times New Roman" w:cs="Times New Roman"/>
                <w:color w:val="auto"/>
                <w:kern w:val="2"/>
                <w:u w:val="none"/>
              </w:rPr>
            </w:pPr>
          </w:p>
        </w:tc>
        <w:tc>
          <w:tcPr>
            <w:tcW w:w="1443" w:type="pct"/>
            <w:vAlign w:val="center"/>
          </w:tcPr>
          <w:p w14:paraId="0846EB80">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DA002排气筒</w:t>
            </w:r>
          </w:p>
        </w:tc>
        <w:tc>
          <w:tcPr>
            <w:tcW w:w="1719" w:type="pct"/>
            <w:vAlign w:val="center"/>
          </w:tcPr>
          <w:p w14:paraId="4D594600">
            <w:pPr>
              <w:pStyle w:val="41"/>
              <w:rPr>
                <w:rFonts w:hint="default" w:cs="Times New Roman"/>
                <w:color w:val="auto"/>
                <w:kern w:val="2"/>
                <w:u w:val="none"/>
                <w:lang w:val="en-US" w:eastAsia="zh-CN"/>
              </w:rPr>
            </w:pPr>
            <w:r>
              <w:rPr>
                <w:rFonts w:hint="eastAsia" w:cs="Times New Roman"/>
                <w:color w:val="auto"/>
                <w:kern w:val="2"/>
                <w:u w:val="none"/>
                <w:lang w:val="en-US" w:eastAsia="zh-CN"/>
              </w:rPr>
              <w:t>铬酸雾</w:t>
            </w:r>
          </w:p>
        </w:tc>
        <w:tc>
          <w:tcPr>
            <w:tcW w:w="1307" w:type="pct"/>
            <w:vAlign w:val="center"/>
          </w:tcPr>
          <w:p w14:paraId="0E07802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半年一次</w:t>
            </w:r>
          </w:p>
        </w:tc>
      </w:tr>
      <w:tr w14:paraId="547C21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29" w:type="pct"/>
            <w:vMerge w:val="continue"/>
            <w:vAlign w:val="center"/>
          </w:tcPr>
          <w:p w14:paraId="178EAF6A">
            <w:pPr>
              <w:pStyle w:val="41"/>
              <w:rPr>
                <w:rFonts w:hint="default" w:ascii="Times New Roman" w:hAnsi="Times New Roman" w:cs="Times New Roman"/>
                <w:color w:val="auto"/>
                <w:kern w:val="2"/>
                <w:u w:val="none"/>
              </w:rPr>
            </w:pPr>
          </w:p>
        </w:tc>
        <w:tc>
          <w:tcPr>
            <w:tcW w:w="1443" w:type="pct"/>
            <w:vAlign w:val="center"/>
          </w:tcPr>
          <w:p w14:paraId="6F9125B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厂界无组织废气</w:t>
            </w:r>
          </w:p>
        </w:tc>
        <w:tc>
          <w:tcPr>
            <w:tcW w:w="1719" w:type="pct"/>
            <w:vAlign w:val="center"/>
          </w:tcPr>
          <w:p w14:paraId="7C15579B">
            <w:pPr>
              <w:pStyle w:val="41"/>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硫酸雾、氮氧化物、铬酸雾</w:t>
            </w:r>
          </w:p>
        </w:tc>
        <w:tc>
          <w:tcPr>
            <w:tcW w:w="1307" w:type="pct"/>
            <w:vAlign w:val="center"/>
          </w:tcPr>
          <w:p w14:paraId="12065B0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半年一次</w:t>
            </w:r>
          </w:p>
        </w:tc>
      </w:tr>
      <w:tr w14:paraId="76A3D0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29" w:type="pct"/>
            <w:vAlign w:val="center"/>
          </w:tcPr>
          <w:p w14:paraId="541A3981">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w:t>
            </w:r>
          </w:p>
        </w:tc>
        <w:tc>
          <w:tcPr>
            <w:tcW w:w="1443" w:type="pct"/>
            <w:vAlign w:val="center"/>
          </w:tcPr>
          <w:p w14:paraId="0C43CEB6">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生产废水排放口（DW002）</w:t>
            </w:r>
          </w:p>
        </w:tc>
        <w:tc>
          <w:tcPr>
            <w:tcW w:w="1719" w:type="pct"/>
            <w:vAlign w:val="center"/>
          </w:tcPr>
          <w:p w14:paraId="32EA0FC3">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pH、流量COD、NH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-N、总磷、总氮、总镍、总铬、总铜</w:t>
            </w:r>
          </w:p>
        </w:tc>
        <w:tc>
          <w:tcPr>
            <w:tcW w:w="1307" w:type="pct"/>
            <w:vAlign w:val="center"/>
          </w:tcPr>
          <w:p w14:paraId="6C73F344">
            <w:pPr>
              <w:pStyle w:val="41"/>
              <w:rPr>
                <w:rFonts w:hint="default" w:ascii="Times New Roman" w:hAnsi="Times New Roman" w:eastAsia="宋体" w:cs="Times New Roman"/>
                <w:color w:val="auto"/>
                <w:kern w:val="2"/>
                <w:u w:val="none"/>
                <w:lang w:val="en-US" w:eastAsia="zh-CN"/>
              </w:rPr>
            </w:pPr>
            <w:r>
              <w:rPr>
                <w:rFonts w:hint="default" w:ascii="Times New Roman" w:hAnsi="Times New Roman" w:eastAsia="宋体" w:cs="Times New Roman"/>
                <w:color w:val="auto"/>
                <w:kern w:val="2"/>
                <w:u w:val="none"/>
                <w:lang w:val="en-US" w:eastAsia="zh-CN"/>
              </w:rPr>
              <w:t>在线监控</w:t>
            </w:r>
          </w:p>
        </w:tc>
      </w:tr>
      <w:tr w14:paraId="721FC9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29" w:type="pct"/>
            <w:vAlign w:val="center"/>
          </w:tcPr>
          <w:p w14:paraId="03EC69C9">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噪声</w:t>
            </w:r>
          </w:p>
        </w:tc>
        <w:tc>
          <w:tcPr>
            <w:tcW w:w="1443" w:type="pct"/>
            <w:vAlign w:val="center"/>
          </w:tcPr>
          <w:p w14:paraId="74C37FEA">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厂界</w:t>
            </w:r>
          </w:p>
        </w:tc>
        <w:tc>
          <w:tcPr>
            <w:tcW w:w="1719" w:type="pct"/>
            <w:vAlign w:val="center"/>
          </w:tcPr>
          <w:p w14:paraId="6174CBA5">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等效连续A声级</w:t>
            </w:r>
          </w:p>
        </w:tc>
        <w:tc>
          <w:tcPr>
            <w:tcW w:w="1307" w:type="pct"/>
            <w:vAlign w:val="center"/>
          </w:tcPr>
          <w:p w14:paraId="0DA77ABC">
            <w:pPr>
              <w:pStyle w:val="41"/>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季度一次</w:t>
            </w:r>
          </w:p>
        </w:tc>
      </w:tr>
    </w:tbl>
    <w:p w14:paraId="3CAAB76D">
      <w:pPr>
        <w:ind w:firstLine="480"/>
        <w:rPr>
          <w:rFonts w:hint="default" w:ascii="Times New Roman" w:hAnsi="Times New Roman" w:cs="Times New Roman"/>
          <w:color w:val="auto"/>
          <w:u w:val="none"/>
        </w:rPr>
      </w:pPr>
      <w:bookmarkStart w:id="230" w:name="_Toc405366419"/>
      <w:bookmarkStart w:id="231" w:name="_Toc385515510"/>
      <w:bookmarkStart w:id="232" w:name="_Toc313105802"/>
      <w:bookmarkStart w:id="233" w:name="_Toc11914807"/>
      <w:r>
        <w:rPr>
          <w:rFonts w:hint="default" w:ascii="Times New Roman" w:hAnsi="Times New Roman" w:cs="Times New Roman"/>
          <w:color w:val="auto"/>
          <w:u w:val="none"/>
        </w:rPr>
        <w:t>（2）环境质量监测</w:t>
      </w:r>
    </w:p>
    <w:p w14:paraId="40205F8B">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根据《工业企业土壤和地下水自行监测 技术指南》，本项目</w:t>
      </w:r>
      <w:r>
        <w:rPr>
          <w:rFonts w:hint="default" w:ascii="Times New Roman" w:hAnsi="Times New Roman" w:cs="Times New Roman"/>
          <w:color w:val="auto"/>
          <w:kern w:val="0"/>
          <w:u w:val="none"/>
          <w:lang w:bidi="ar"/>
        </w:rPr>
        <w:t>对企业周边环境质量现状（地下水、土壤等）进行定期监测</w:t>
      </w:r>
      <w:r>
        <w:rPr>
          <w:rFonts w:hint="default" w:ascii="Times New Roman" w:hAnsi="Times New Roman" w:cs="Times New Roman"/>
          <w:color w:val="auto"/>
          <w:u w:val="none"/>
        </w:rPr>
        <w:t>，项目的环境监测计划如表9.2-2所示。</w:t>
      </w:r>
    </w:p>
    <w:p w14:paraId="79E49B59">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 9.2-2 环境质量监测计划表</w:t>
      </w:r>
    </w:p>
    <w:tbl>
      <w:tblPr>
        <w:tblStyle w:val="30"/>
        <w:tblW w:w="501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34"/>
        <w:gridCol w:w="1803"/>
        <w:gridCol w:w="1591"/>
        <w:gridCol w:w="3838"/>
      </w:tblGrid>
      <w:tr w14:paraId="46FBA5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130" w:type="dxa"/>
            <w:tcBorders>
              <w:tl2br w:val="nil"/>
              <w:tr2bl w:val="nil"/>
            </w:tcBorders>
          </w:tcPr>
          <w:p w14:paraId="605E123E">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类型</w:t>
            </w:r>
          </w:p>
        </w:tc>
        <w:tc>
          <w:tcPr>
            <w:tcW w:w="1797" w:type="dxa"/>
            <w:tcBorders>
              <w:tl2br w:val="nil"/>
              <w:tr2bl w:val="nil"/>
            </w:tcBorders>
          </w:tcPr>
          <w:p w14:paraId="60302927">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采样口位置</w:t>
            </w:r>
          </w:p>
        </w:tc>
        <w:tc>
          <w:tcPr>
            <w:tcW w:w="1585" w:type="dxa"/>
            <w:tcBorders>
              <w:tl2br w:val="nil"/>
              <w:tr2bl w:val="nil"/>
            </w:tcBorders>
          </w:tcPr>
          <w:p w14:paraId="7FD985C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监测频率</w:t>
            </w:r>
          </w:p>
        </w:tc>
        <w:tc>
          <w:tcPr>
            <w:tcW w:w="3824" w:type="dxa"/>
            <w:tcBorders>
              <w:tl2br w:val="nil"/>
              <w:tr2bl w:val="nil"/>
            </w:tcBorders>
          </w:tcPr>
          <w:p w14:paraId="142FBDC1">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监测项目</w:t>
            </w:r>
          </w:p>
        </w:tc>
      </w:tr>
      <w:tr w14:paraId="0D483E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130" w:type="dxa"/>
            <w:tcBorders>
              <w:tl2br w:val="nil"/>
              <w:tr2bl w:val="nil"/>
            </w:tcBorders>
            <w:vAlign w:val="center"/>
          </w:tcPr>
          <w:p w14:paraId="35915E2E">
            <w:pPr>
              <w:pStyle w:val="41"/>
              <w:rPr>
                <w:rFonts w:hint="default" w:ascii="Times New Roman" w:hAnsi="Times New Roman" w:cs="Times New Roman"/>
                <w:color w:val="auto"/>
                <w:u w:val="none"/>
              </w:rPr>
            </w:pPr>
            <w:r>
              <w:rPr>
                <w:rFonts w:hint="default" w:ascii="Times New Roman" w:hAnsi="Times New Roman" w:cs="Times New Roman"/>
                <w:color w:val="auto"/>
                <w:u w:val="none"/>
              </w:rPr>
              <w:t>土壤</w:t>
            </w:r>
          </w:p>
        </w:tc>
        <w:tc>
          <w:tcPr>
            <w:tcW w:w="1797" w:type="dxa"/>
            <w:tcBorders>
              <w:tl2br w:val="nil"/>
              <w:tr2bl w:val="nil"/>
            </w:tcBorders>
            <w:vAlign w:val="center"/>
          </w:tcPr>
          <w:p w14:paraId="2F238BCA">
            <w:pPr>
              <w:pStyle w:val="41"/>
              <w:rPr>
                <w:rFonts w:hint="default" w:ascii="Times New Roman" w:hAnsi="Times New Roman" w:cs="Times New Roman"/>
                <w:color w:val="auto"/>
                <w:u w:val="none"/>
              </w:rPr>
            </w:pPr>
            <w:r>
              <w:rPr>
                <w:rFonts w:hint="default" w:ascii="Times New Roman" w:hAnsi="Times New Roman" w:cs="Times New Roman"/>
                <w:color w:val="auto"/>
                <w:u w:val="none"/>
              </w:rPr>
              <w:t>场区范围内污水处理站、生产厂房旁</w:t>
            </w:r>
          </w:p>
        </w:tc>
        <w:tc>
          <w:tcPr>
            <w:tcW w:w="1585" w:type="dxa"/>
            <w:tcBorders>
              <w:tl2br w:val="nil"/>
              <w:tr2bl w:val="nil"/>
            </w:tcBorders>
            <w:vAlign w:val="center"/>
          </w:tcPr>
          <w:p w14:paraId="787C43F7">
            <w:pPr>
              <w:pStyle w:val="41"/>
              <w:rPr>
                <w:rFonts w:hint="default" w:ascii="Times New Roman" w:hAnsi="Times New Roman" w:cs="Times New Roman"/>
                <w:color w:val="auto"/>
                <w:u w:val="none"/>
              </w:rPr>
            </w:pPr>
            <w:r>
              <w:rPr>
                <w:rFonts w:hint="default" w:ascii="Times New Roman" w:hAnsi="Times New Roman" w:cs="Times New Roman"/>
                <w:color w:val="auto"/>
                <w:u w:val="none"/>
              </w:rPr>
              <w:t>一年一次</w:t>
            </w:r>
          </w:p>
        </w:tc>
        <w:tc>
          <w:tcPr>
            <w:tcW w:w="3824" w:type="dxa"/>
            <w:tcBorders>
              <w:tl2br w:val="nil"/>
              <w:tr2bl w:val="nil"/>
            </w:tcBorders>
            <w:vAlign w:val="center"/>
          </w:tcPr>
          <w:p w14:paraId="43E12B12">
            <w:pPr>
              <w:pStyle w:val="41"/>
              <w:rPr>
                <w:rFonts w:hint="default" w:ascii="Times New Roman" w:hAnsi="Times New Roman" w:cs="Times New Roman"/>
                <w:color w:val="auto"/>
                <w:u w:val="none"/>
              </w:rPr>
            </w:pPr>
            <w:r>
              <w:rPr>
                <w:rFonts w:hint="default" w:ascii="Times New Roman" w:hAnsi="Times New Roman" w:cs="Times New Roman"/>
                <w:color w:val="auto"/>
                <w:u w:val="none"/>
              </w:rPr>
              <w:t>监测因子：石油烃、镍、铬、铜</w:t>
            </w:r>
          </w:p>
        </w:tc>
      </w:tr>
      <w:tr w14:paraId="15EA2C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130" w:type="dxa"/>
            <w:tcBorders>
              <w:tl2br w:val="nil"/>
              <w:tr2bl w:val="nil"/>
            </w:tcBorders>
            <w:vAlign w:val="center"/>
          </w:tcPr>
          <w:p w14:paraId="12E6CF9B">
            <w:pPr>
              <w:pStyle w:val="41"/>
              <w:rPr>
                <w:rFonts w:hint="default" w:ascii="Times New Roman" w:hAnsi="Times New Roman" w:cs="Times New Roman"/>
                <w:color w:val="auto"/>
                <w:u w:val="none"/>
              </w:rPr>
            </w:pPr>
            <w:r>
              <w:rPr>
                <w:rFonts w:hint="default" w:ascii="Times New Roman" w:hAnsi="Times New Roman" w:cs="Times New Roman"/>
                <w:color w:val="auto"/>
                <w:u w:val="none"/>
              </w:rPr>
              <w:t>地下水</w:t>
            </w:r>
          </w:p>
        </w:tc>
        <w:tc>
          <w:tcPr>
            <w:tcW w:w="1797" w:type="dxa"/>
            <w:tcBorders>
              <w:tl2br w:val="nil"/>
              <w:tr2bl w:val="nil"/>
            </w:tcBorders>
            <w:vAlign w:val="center"/>
          </w:tcPr>
          <w:p w14:paraId="145D729E">
            <w:pPr>
              <w:pStyle w:val="41"/>
              <w:rPr>
                <w:rFonts w:hint="default" w:ascii="Times New Roman" w:hAnsi="Times New Roman" w:cs="Times New Roman"/>
                <w:color w:val="auto"/>
                <w:u w:val="none"/>
              </w:rPr>
            </w:pPr>
            <w:r>
              <w:rPr>
                <w:rFonts w:hint="default" w:ascii="Times New Roman" w:hAnsi="Times New Roman" w:cs="Times New Roman"/>
                <w:color w:val="auto"/>
                <w:u w:val="none"/>
              </w:rPr>
              <w:t>设置在污水处理站下游，设长期监测井</w:t>
            </w:r>
          </w:p>
        </w:tc>
        <w:tc>
          <w:tcPr>
            <w:tcW w:w="1585" w:type="dxa"/>
            <w:tcBorders>
              <w:tl2br w:val="nil"/>
              <w:tr2bl w:val="nil"/>
            </w:tcBorders>
            <w:vAlign w:val="center"/>
          </w:tcPr>
          <w:p w14:paraId="7C2860BA">
            <w:pPr>
              <w:pStyle w:val="41"/>
              <w:rPr>
                <w:rFonts w:hint="default" w:ascii="Times New Roman" w:hAnsi="Times New Roman" w:cs="Times New Roman"/>
                <w:color w:val="auto"/>
                <w:u w:val="none"/>
              </w:rPr>
            </w:pPr>
            <w:r>
              <w:rPr>
                <w:rFonts w:hint="default" w:ascii="Times New Roman" w:hAnsi="Times New Roman" w:cs="Times New Roman"/>
                <w:color w:val="auto"/>
                <w:u w:val="none"/>
              </w:rPr>
              <w:t>一年一次</w:t>
            </w:r>
          </w:p>
        </w:tc>
        <w:tc>
          <w:tcPr>
            <w:tcW w:w="3824" w:type="dxa"/>
            <w:tcBorders>
              <w:tl2br w:val="nil"/>
              <w:tr2bl w:val="nil"/>
            </w:tcBorders>
            <w:vAlign w:val="center"/>
          </w:tcPr>
          <w:p w14:paraId="6CD71860">
            <w:pPr>
              <w:pStyle w:val="41"/>
              <w:rPr>
                <w:rFonts w:hint="default" w:ascii="Times New Roman" w:hAnsi="Times New Roman" w:cs="Times New Roman"/>
                <w:color w:val="auto"/>
                <w:u w:val="none"/>
              </w:rPr>
            </w:pPr>
            <w:r>
              <w:rPr>
                <w:rFonts w:hint="default" w:ascii="Times New Roman" w:hAnsi="Times New Roman" w:cs="Times New Roman"/>
                <w:color w:val="auto"/>
                <w:u w:val="none"/>
              </w:rPr>
              <w:t>监测因子：总铬、总镍、总铜</w:t>
            </w:r>
          </w:p>
        </w:tc>
      </w:tr>
    </w:tbl>
    <w:p w14:paraId="7401228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上述环境质量监测可委托有资质单位进行监测，监测结果和污染防治设施运行情况等以报表形式上报当地环境保护主管部门。</w:t>
      </w:r>
    </w:p>
    <w:p w14:paraId="3AE2C9F3">
      <w:pPr>
        <w:pStyle w:val="4"/>
        <w:ind w:left="0" w:leftChars="0" w:firstLineChars="0"/>
        <w:rPr>
          <w:rFonts w:hint="default" w:ascii="Times New Roman" w:hAnsi="Times New Roman" w:cs="Times New Roman"/>
          <w:color w:val="auto"/>
          <w:u w:val="none"/>
        </w:rPr>
      </w:pPr>
      <w:bookmarkStart w:id="234" w:name="_Toc12223"/>
      <w:r>
        <w:rPr>
          <w:rFonts w:hint="default" w:ascii="Times New Roman" w:hAnsi="Times New Roman" w:cs="Times New Roman"/>
          <w:color w:val="auto"/>
          <w:u w:val="none"/>
        </w:rPr>
        <w:t>竣工环境保护</w:t>
      </w:r>
      <w:bookmarkEnd w:id="230"/>
      <w:bookmarkEnd w:id="231"/>
      <w:bookmarkEnd w:id="232"/>
      <w:r>
        <w:rPr>
          <w:rFonts w:hint="default" w:ascii="Times New Roman" w:hAnsi="Times New Roman" w:cs="Times New Roman"/>
          <w:color w:val="auto"/>
          <w:u w:val="none"/>
        </w:rPr>
        <w:t>验收</w:t>
      </w:r>
      <w:bookmarkEnd w:id="233"/>
      <w:bookmarkEnd w:id="234"/>
    </w:p>
    <w:p w14:paraId="162A649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为贯彻落实新修改的《建设项目环境保护管理条例》，规范建设项目竣工后建设单位自主开展环境保护验收的程序和标准。根据《建设项目竣工环境保护验收暂行办法》（国环规环评〔2017〕4 号）（以下简称《暂行办法》），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具体验收流程见下图 9.3-1</w:t>
      </w:r>
    </w:p>
    <w:p w14:paraId="04AE7BA9">
      <w:pPr>
        <w:pStyle w:val="38"/>
        <w:rPr>
          <w:rFonts w:hint="default" w:ascii="Times New Roman" w:hAnsi="Times New Roman" w:cs="Times New Roman"/>
          <w:b/>
          <w:bCs/>
          <w:color w:val="auto"/>
          <w:u w:val="none"/>
        </w:rPr>
      </w:pPr>
      <w:r>
        <w:rPr>
          <w:rFonts w:hint="default" w:ascii="Times New Roman" w:hAnsi="Times New Roman" w:cs="Times New Roman"/>
          <w:b/>
          <w:bCs/>
          <w:color w:val="auto"/>
          <w:u w:val="none"/>
        </w:rPr>
        <w:drawing>
          <wp:anchor distT="0" distB="0" distL="114300" distR="114300" simplePos="0" relativeHeight="251660288" behindDoc="0" locked="0" layoutInCell="1" allowOverlap="1">
            <wp:simplePos x="0" y="0"/>
            <wp:positionH relativeFrom="page">
              <wp:posOffset>1162050</wp:posOffset>
            </wp:positionH>
            <wp:positionV relativeFrom="paragraph">
              <wp:posOffset>31750</wp:posOffset>
            </wp:positionV>
            <wp:extent cx="5285105" cy="965835"/>
            <wp:effectExtent l="0" t="0" r="10795" b="5715"/>
            <wp:wrapTopAndBottom/>
            <wp:docPr id="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3.jpeg"/>
                    <pic:cNvPicPr>
                      <a:picLocks noChangeAspect="1"/>
                    </pic:cNvPicPr>
                  </pic:nvPicPr>
                  <pic:blipFill>
                    <a:blip r:embed="rId55"/>
                    <a:stretch>
                      <a:fillRect/>
                    </a:stretch>
                  </pic:blipFill>
                  <pic:spPr>
                    <a:xfrm>
                      <a:off x="0" y="0"/>
                      <a:ext cx="5285105" cy="965835"/>
                    </a:xfrm>
                    <a:prstGeom prst="rect">
                      <a:avLst/>
                    </a:prstGeom>
                    <a:noFill/>
                    <a:ln>
                      <a:noFill/>
                    </a:ln>
                  </pic:spPr>
                </pic:pic>
              </a:graphicData>
            </a:graphic>
          </wp:anchor>
        </w:drawing>
      </w:r>
      <w:r>
        <w:rPr>
          <w:rFonts w:hint="default" w:ascii="Times New Roman" w:hAnsi="Times New Roman" w:cs="Times New Roman"/>
          <w:b/>
          <w:bCs/>
          <w:color w:val="auto"/>
          <w:u w:val="none"/>
        </w:rPr>
        <w:t>图9.3-1</w:t>
      </w:r>
      <w:r>
        <w:rPr>
          <w:rFonts w:hint="eastAsia" w:cs="Times New Roman"/>
          <w:b/>
          <w:bCs/>
          <w:color w:val="auto"/>
          <w:u w:val="none"/>
          <w:lang w:val="en-US" w:eastAsia="zh-CN"/>
        </w:rPr>
        <w:t xml:space="preserve">  </w:t>
      </w:r>
      <w:r>
        <w:rPr>
          <w:rFonts w:hint="default" w:ascii="Times New Roman" w:hAnsi="Times New Roman" w:cs="Times New Roman"/>
          <w:b/>
          <w:bCs/>
          <w:color w:val="auto"/>
          <w:u w:val="none"/>
        </w:rPr>
        <w:t>竣工环保验收流程图</w:t>
      </w:r>
    </w:p>
    <w:p w14:paraId="492387A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验收程序简述及相关要求如下：</w:t>
      </w:r>
    </w:p>
    <w:p w14:paraId="2C4C1A0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建设单位如实查验、监测记载环保设施的建设和调试情况。调试期间，建设单位应当确保该期间污染物排放符合国家和地方的有关污染物排放标准和排污许可等相关规定。环境保护设施未与主体工程同时建成的，或者应当取得排污许可证但未取得的，建设单位不得对该建设项目环境保护设施进行调试。</w:t>
      </w:r>
    </w:p>
    <w:p w14:paraId="7173041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（2）编制验收调查报告，建设单位不具备自主验收能力的可以委托有能力的技术机构编制。</w:t>
      </w:r>
    </w:p>
    <w:p w14:paraId="43B9EBE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验收监测调查报告编制完成后，建设单位应当根据验收调查报告结论，逐一检查是否存在《建设项目竣工环保验收暂行办法》中第八条所列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w:t>
      </w:r>
    </w:p>
    <w:p w14:paraId="51202DD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验收调查报告编制完成后5个工作日内，公开验收报告，公示的期限不得少于20个工作日，同步公开环保设施竣工日期以及对环保设施公开调试的起始日期。建设单位公开上述信息的同时，应当向所在地县级以上环境保护主管部门报送相关信息，并接受监督检查。</w:t>
      </w:r>
    </w:p>
    <w:p w14:paraId="5C739FB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（5）验收调查报告公示期满后5个工作日内，建设单位应当登录全国建设项目竣工环境保护验收信息平台，填报建设项目基本信息、环境保护设施验收情况等相关信息，环境保护主管部门对上述信息予以公开。</w:t>
      </w:r>
    </w:p>
    <w:p w14:paraId="7254B5F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6）纳入排污许可管理的建设项目，排污单位应当在项目产生实际污染物排放之前，按照国家排污许可有关管理规定要求，申请排污许可证。建设项目验收报告中与污染物排放相关主要内容应当纳入项目验收完成排污许可证执行年报。本项目属于重点管理行业，2019年开始实施排污许可制度，本项目建设单位应该根据《排污许可管理办法（试行）》要求在国家排污许可信息公开系统申请办理排污许可。</w:t>
      </w:r>
    </w:p>
    <w:p w14:paraId="6DE813CA">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按照建设项目竣工环境保护验收要求，本项目投资建设的主要环保设施验收应符合表9.3-1的要求。</w:t>
      </w:r>
    </w:p>
    <w:p w14:paraId="2FABAE1D">
      <w:pPr>
        <w:pStyle w:val="38"/>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u w:val="none"/>
        </w:rPr>
      </w:pPr>
      <w:r>
        <w:rPr>
          <w:rFonts w:hint="default" w:ascii="Times New Roman" w:hAnsi="Times New Roman" w:cs="Times New Roman"/>
          <w:b/>
          <w:bCs/>
          <w:color w:val="auto"/>
          <w:u w:val="none"/>
        </w:rPr>
        <w:t>表9.3-1  本工程竣工环境保护验收一览表</w:t>
      </w:r>
    </w:p>
    <w:tbl>
      <w:tblPr>
        <w:tblStyle w:val="30"/>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57" w:type="dxa"/>
          <w:bottom w:w="0" w:type="dxa"/>
          <w:right w:w="57" w:type="dxa"/>
        </w:tblCellMar>
      </w:tblPr>
      <w:tblGrid>
        <w:gridCol w:w="487"/>
        <w:gridCol w:w="534"/>
        <w:gridCol w:w="1065"/>
        <w:gridCol w:w="1831"/>
        <w:gridCol w:w="1491"/>
        <w:gridCol w:w="920"/>
        <w:gridCol w:w="2089"/>
      </w:tblGrid>
      <w:tr w14:paraId="721EA1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Align w:val="center"/>
          </w:tcPr>
          <w:p w14:paraId="15E65450">
            <w:pPr>
              <w:pStyle w:val="41"/>
              <w:widowControl w:val="0"/>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类别</w:t>
            </w:r>
          </w:p>
        </w:tc>
        <w:tc>
          <w:tcPr>
            <w:tcW w:w="949" w:type="pct"/>
            <w:gridSpan w:val="2"/>
            <w:vAlign w:val="center"/>
          </w:tcPr>
          <w:p w14:paraId="0A654D8E">
            <w:pPr>
              <w:pStyle w:val="41"/>
              <w:widowControl w:val="0"/>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治理项目</w:t>
            </w:r>
          </w:p>
        </w:tc>
        <w:tc>
          <w:tcPr>
            <w:tcW w:w="1087" w:type="pct"/>
            <w:vAlign w:val="center"/>
          </w:tcPr>
          <w:p w14:paraId="54AF9FB8">
            <w:pPr>
              <w:pStyle w:val="41"/>
              <w:widowControl w:val="0"/>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治理设施或措施内容</w:t>
            </w:r>
          </w:p>
        </w:tc>
        <w:tc>
          <w:tcPr>
            <w:tcW w:w="885" w:type="pct"/>
            <w:vAlign w:val="center"/>
          </w:tcPr>
          <w:p w14:paraId="329B86AD">
            <w:pPr>
              <w:pStyle w:val="41"/>
              <w:widowControl w:val="0"/>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监测点位</w:t>
            </w:r>
          </w:p>
        </w:tc>
        <w:tc>
          <w:tcPr>
            <w:tcW w:w="546" w:type="pct"/>
            <w:vAlign w:val="center"/>
          </w:tcPr>
          <w:p w14:paraId="2441171E">
            <w:pPr>
              <w:pStyle w:val="41"/>
              <w:widowControl w:val="0"/>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监测因子</w:t>
            </w:r>
          </w:p>
        </w:tc>
        <w:tc>
          <w:tcPr>
            <w:tcW w:w="1240" w:type="pct"/>
            <w:vAlign w:val="center"/>
          </w:tcPr>
          <w:p w14:paraId="2F3E8D1B">
            <w:pPr>
              <w:pStyle w:val="41"/>
              <w:widowControl w:val="0"/>
              <w:rPr>
                <w:rFonts w:hint="default" w:ascii="Times New Roman" w:hAnsi="Times New Roman" w:cs="Times New Roman"/>
                <w:b/>
                <w:bCs/>
                <w:color w:val="auto"/>
                <w:kern w:val="2"/>
                <w:u w:val="none"/>
              </w:rPr>
            </w:pPr>
            <w:r>
              <w:rPr>
                <w:rFonts w:hint="default" w:ascii="Times New Roman" w:hAnsi="Times New Roman" w:cs="Times New Roman"/>
                <w:b/>
                <w:bCs/>
                <w:color w:val="auto"/>
                <w:kern w:val="2"/>
                <w:u w:val="none"/>
              </w:rPr>
              <w:t>验收标准</w:t>
            </w:r>
          </w:p>
        </w:tc>
      </w:tr>
      <w:tr w14:paraId="4299EF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restart"/>
            <w:vAlign w:val="center"/>
          </w:tcPr>
          <w:p w14:paraId="3E499CD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废气</w:t>
            </w:r>
          </w:p>
        </w:tc>
        <w:tc>
          <w:tcPr>
            <w:tcW w:w="317" w:type="pct"/>
            <w:vAlign w:val="center"/>
          </w:tcPr>
          <w:p w14:paraId="5243892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生产车间</w:t>
            </w:r>
          </w:p>
        </w:tc>
        <w:tc>
          <w:tcPr>
            <w:tcW w:w="632" w:type="pct"/>
            <w:vAlign w:val="center"/>
          </w:tcPr>
          <w:p w14:paraId="33DF5093">
            <w:pPr>
              <w:pStyle w:val="41"/>
              <w:widowControl w:val="0"/>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阳极氧化生产线产生的硫酸</w:t>
            </w:r>
            <w:r>
              <w:rPr>
                <w:rFonts w:hint="eastAsia" w:cs="Times New Roman"/>
                <w:color w:val="auto"/>
                <w:kern w:val="2"/>
                <w:u w:val="none"/>
                <w:lang w:eastAsia="zh-CN"/>
              </w:rPr>
              <w:t>、</w:t>
            </w:r>
            <w:r>
              <w:rPr>
                <w:rFonts w:hint="eastAsia" w:cs="Times New Roman"/>
                <w:color w:val="auto"/>
                <w:kern w:val="2"/>
                <w:u w:val="none"/>
                <w:lang w:val="en-US" w:eastAsia="zh-CN"/>
              </w:rPr>
              <w:t>氮氧化物</w:t>
            </w:r>
          </w:p>
        </w:tc>
        <w:tc>
          <w:tcPr>
            <w:tcW w:w="1087" w:type="pct"/>
            <w:vAlign w:val="center"/>
          </w:tcPr>
          <w:p w14:paraId="1DE2CA58">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两级碱性喷淋塔</w:t>
            </w:r>
            <w:r>
              <w:rPr>
                <w:rFonts w:hint="default" w:ascii="Times New Roman" w:hAnsi="Times New Roman" w:cs="Times New Roman"/>
                <w:color w:val="auto"/>
                <w:kern w:val="2"/>
                <w:u w:val="none"/>
              </w:rPr>
              <w:t>+25.5m排气筒（DA0</w:t>
            </w:r>
            <w:r>
              <w:rPr>
                <w:rFonts w:hint="default" w:ascii="Times New Roman" w:hAnsi="Times New Roman" w:cs="Times New Roman"/>
                <w:color w:val="auto"/>
                <w:kern w:val="2"/>
                <w:u w:val="none"/>
                <w:lang w:val="en-US" w:eastAsia="zh-CN"/>
              </w:rPr>
              <w:t>01</w:t>
            </w:r>
            <w:r>
              <w:rPr>
                <w:rFonts w:hint="default" w:ascii="Times New Roman" w:hAnsi="Times New Roman" w:cs="Times New Roman"/>
                <w:color w:val="auto"/>
                <w:kern w:val="2"/>
                <w:u w:val="none"/>
              </w:rPr>
              <w:t>）</w:t>
            </w:r>
          </w:p>
        </w:tc>
        <w:tc>
          <w:tcPr>
            <w:tcW w:w="885" w:type="pct"/>
            <w:vAlign w:val="center"/>
          </w:tcPr>
          <w:p w14:paraId="3C2B5D2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DA0</w:t>
            </w:r>
            <w:r>
              <w:rPr>
                <w:rFonts w:hint="eastAsia" w:cs="Times New Roman"/>
                <w:color w:val="auto"/>
                <w:kern w:val="2"/>
                <w:u w:val="none"/>
                <w:lang w:val="en-US" w:eastAsia="zh-CN"/>
              </w:rPr>
              <w:t>01</w:t>
            </w:r>
            <w:r>
              <w:rPr>
                <w:rFonts w:hint="default" w:ascii="Times New Roman" w:hAnsi="Times New Roman" w:cs="Times New Roman"/>
                <w:color w:val="auto"/>
                <w:kern w:val="2"/>
                <w:u w:val="none"/>
              </w:rPr>
              <w:t>排气筒进出口</w:t>
            </w:r>
          </w:p>
        </w:tc>
        <w:tc>
          <w:tcPr>
            <w:tcW w:w="546" w:type="pct"/>
            <w:vAlign w:val="center"/>
          </w:tcPr>
          <w:p w14:paraId="08D0C94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硫酸、氮氧化物</w:t>
            </w:r>
          </w:p>
        </w:tc>
        <w:tc>
          <w:tcPr>
            <w:tcW w:w="1240" w:type="pct"/>
            <w:vMerge w:val="restart"/>
            <w:vAlign w:val="center"/>
          </w:tcPr>
          <w:p w14:paraId="521348B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《电镀污染物排放标准》（GB21900-2008）表5中标准</w:t>
            </w:r>
          </w:p>
        </w:tc>
      </w:tr>
      <w:tr w14:paraId="39DB70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410" w:hRule="atLeast"/>
          <w:jc w:val="center"/>
        </w:trPr>
        <w:tc>
          <w:tcPr>
            <w:tcW w:w="289" w:type="pct"/>
            <w:vMerge w:val="continue"/>
            <w:vAlign w:val="center"/>
          </w:tcPr>
          <w:p w14:paraId="29FF2ABE">
            <w:pPr>
              <w:pStyle w:val="41"/>
              <w:widowControl w:val="0"/>
              <w:rPr>
                <w:rFonts w:hint="default" w:ascii="Times New Roman" w:hAnsi="Times New Roman" w:cs="Times New Roman"/>
                <w:color w:val="auto"/>
                <w:kern w:val="2"/>
                <w:u w:val="none"/>
              </w:rPr>
            </w:pPr>
          </w:p>
        </w:tc>
        <w:tc>
          <w:tcPr>
            <w:tcW w:w="317" w:type="pct"/>
            <w:vAlign w:val="center"/>
          </w:tcPr>
          <w:p w14:paraId="4652A26F">
            <w:pPr>
              <w:pStyle w:val="41"/>
              <w:widowControl w:val="0"/>
              <w:rPr>
                <w:rFonts w:hint="default" w:ascii="Times New Roman" w:hAnsi="Times New Roman" w:cs="Times New Roman"/>
                <w:color w:val="auto"/>
                <w:kern w:val="2"/>
                <w:u w:val="none"/>
              </w:rPr>
            </w:pPr>
            <w:r>
              <w:rPr>
                <w:rFonts w:hint="eastAsia" w:cs="Times New Roman"/>
                <w:color w:val="auto"/>
                <w:kern w:val="2"/>
                <w:u w:val="none"/>
                <w:lang w:val="en-US" w:eastAsia="zh-CN"/>
              </w:rPr>
              <w:t>硫酸雾、氮氧化物</w:t>
            </w:r>
          </w:p>
        </w:tc>
        <w:tc>
          <w:tcPr>
            <w:tcW w:w="632" w:type="pct"/>
            <w:vAlign w:val="center"/>
          </w:tcPr>
          <w:p w14:paraId="47762CDF">
            <w:pPr>
              <w:pStyle w:val="41"/>
              <w:widowControl w:val="0"/>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铬酸盐封闭</w:t>
            </w:r>
            <w:r>
              <w:rPr>
                <w:rFonts w:hint="eastAsia" w:cs="Times New Roman"/>
                <w:color w:val="auto"/>
                <w:kern w:val="2"/>
                <w:u w:val="none"/>
                <w:lang w:val="en-US" w:eastAsia="zh-CN"/>
              </w:rPr>
              <w:t>产生铬酸雾</w:t>
            </w:r>
          </w:p>
        </w:tc>
        <w:tc>
          <w:tcPr>
            <w:tcW w:w="1087" w:type="pct"/>
            <w:shd w:val="clear" w:color="auto" w:fill="auto"/>
            <w:vAlign w:val="center"/>
          </w:tcPr>
          <w:p w14:paraId="213E7842">
            <w:pPr>
              <w:pStyle w:val="41"/>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两级碱性喷淋塔</w:t>
            </w:r>
            <w:r>
              <w:rPr>
                <w:rFonts w:hint="default" w:ascii="Times New Roman" w:hAnsi="Times New Roman" w:cs="Times New Roman"/>
                <w:color w:val="auto"/>
                <w:kern w:val="2"/>
                <w:u w:val="none"/>
              </w:rPr>
              <w:t>+25.5m排气筒（DA0</w:t>
            </w:r>
            <w:r>
              <w:rPr>
                <w:rFonts w:hint="default" w:ascii="Times New Roman" w:hAnsi="Times New Roman" w:cs="Times New Roman"/>
                <w:color w:val="auto"/>
                <w:kern w:val="2"/>
                <w:u w:val="none"/>
                <w:lang w:val="en-US" w:eastAsia="zh-CN"/>
              </w:rPr>
              <w:t>0</w:t>
            </w:r>
            <w:r>
              <w:rPr>
                <w:rFonts w:hint="eastAsia" w:cs="Times New Roman"/>
                <w:color w:val="auto"/>
                <w:kern w:val="2"/>
                <w:u w:val="none"/>
                <w:lang w:val="en-US" w:eastAsia="zh-CN"/>
              </w:rPr>
              <w:t>2</w:t>
            </w:r>
            <w:r>
              <w:rPr>
                <w:rFonts w:hint="default" w:ascii="Times New Roman" w:hAnsi="Times New Roman" w:cs="Times New Roman"/>
                <w:color w:val="auto"/>
                <w:kern w:val="2"/>
                <w:u w:val="none"/>
              </w:rPr>
              <w:t>）</w:t>
            </w:r>
          </w:p>
        </w:tc>
        <w:tc>
          <w:tcPr>
            <w:tcW w:w="885" w:type="pct"/>
            <w:vAlign w:val="center"/>
          </w:tcPr>
          <w:p w14:paraId="6796B08B">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DA0</w:t>
            </w:r>
            <w:r>
              <w:rPr>
                <w:rFonts w:hint="eastAsia" w:cs="Times New Roman"/>
                <w:color w:val="auto"/>
                <w:kern w:val="2"/>
                <w:u w:val="none"/>
                <w:lang w:val="en-US" w:eastAsia="zh-CN"/>
              </w:rPr>
              <w:t>02</w:t>
            </w:r>
            <w:r>
              <w:rPr>
                <w:rFonts w:hint="default" w:ascii="Times New Roman" w:hAnsi="Times New Roman" w:cs="Times New Roman"/>
                <w:color w:val="auto"/>
                <w:kern w:val="2"/>
                <w:u w:val="none"/>
              </w:rPr>
              <w:t>排气筒进出口</w:t>
            </w:r>
          </w:p>
        </w:tc>
        <w:tc>
          <w:tcPr>
            <w:tcW w:w="546" w:type="pct"/>
            <w:vAlign w:val="center"/>
          </w:tcPr>
          <w:p w14:paraId="0AC2606E">
            <w:pPr>
              <w:pStyle w:val="41"/>
              <w:widowControl w:val="0"/>
              <w:rPr>
                <w:rFonts w:hint="eastAsia"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铬酸雾</w:t>
            </w:r>
          </w:p>
        </w:tc>
        <w:tc>
          <w:tcPr>
            <w:tcW w:w="1240" w:type="pct"/>
            <w:vMerge w:val="continue"/>
            <w:vAlign w:val="center"/>
          </w:tcPr>
          <w:p w14:paraId="11C89DDD">
            <w:pPr>
              <w:pStyle w:val="41"/>
              <w:widowControl w:val="0"/>
              <w:rPr>
                <w:rFonts w:hint="default" w:ascii="Times New Roman" w:hAnsi="Times New Roman" w:cs="Times New Roman"/>
                <w:color w:val="auto"/>
                <w:kern w:val="2"/>
                <w:u w:val="none"/>
              </w:rPr>
            </w:pPr>
          </w:p>
        </w:tc>
      </w:tr>
      <w:tr w14:paraId="774533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continue"/>
            <w:vAlign w:val="center"/>
          </w:tcPr>
          <w:p w14:paraId="711BC7EE">
            <w:pPr>
              <w:pStyle w:val="41"/>
              <w:widowControl w:val="0"/>
              <w:rPr>
                <w:rFonts w:hint="default" w:ascii="Times New Roman" w:hAnsi="Times New Roman" w:cs="Times New Roman"/>
                <w:color w:val="auto"/>
                <w:kern w:val="2"/>
                <w:u w:val="none"/>
              </w:rPr>
            </w:pPr>
          </w:p>
        </w:tc>
        <w:tc>
          <w:tcPr>
            <w:tcW w:w="949" w:type="pct"/>
            <w:gridSpan w:val="2"/>
            <w:vAlign w:val="center"/>
          </w:tcPr>
          <w:p w14:paraId="13E8ABA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087" w:type="pct"/>
            <w:vAlign w:val="center"/>
          </w:tcPr>
          <w:p w14:paraId="00FBBA2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885" w:type="pct"/>
            <w:vAlign w:val="center"/>
          </w:tcPr>
          <w:p w14:paraId="37E6D3E5">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厂界</w:t>
            </w:r>
          </w:p>
        </w:tc>
        <w:tc>
          <w:tcPr>
            <w:tcW w:w="546" w:type="pct"/>
            <w:vAlign w:val="center"/>
          </w:tcPr>
          <w:p w14:paraId="0AA298F2">
            <w:pPr>
              <w:pStyle w:val="41"/>
              <w:widowControl w:val="0"/>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硫酸雾、氮氧化物、铬酸雾</w:t>
            </w:r>
          </w:p>
        </w:tc>
        <w:tc>
          <w:tcPr>
            <w:tcW w:w="1240" w:type="pct"/>
            <w:vAlign w:val="center"/>
          </w:tcPr>
          <w:p w14:paraId="0E640CD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《大气污染物排放标准》（GB16297-1996）无组织排放要求</w:t>
            </w:r>
          </w:p>
        </w:tc>
      </w:tr>
      <w:tr w14:paraId="078B90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restart"/>
            <w:vAlign w:val="center"/>
          </w:tcPr>
          <w:p w14:paraId="7808778B">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w:t>
            </w:r>
          </w:p>
        </w:tc>
        <w:tc>
          <w:tcPr>
            <w:tcW w:w="949" w:type="pct"/>
            <w:gridSpan w:val="2"/>
            <w:vAlign w:val="center"/>
          </w:tcPr>
          <w:p w14:paraId="2D2E6187">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w:t>
            </w:r>
          </w:p>
        </w:tc>
        <w:tc>
          <w:tcPr>
            <w:tcW w:w="1087" w:type="pct"/>
            <w:vAlign w:val="center"/>
          </w:tcPr>
          <w:p w14:paraId="755955C4">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含镍废水处理系统</w:t>
            </w:r>
          </w:p>
        </w:tc>
        <w:tc>
          <w:tcPr>
            <w:tcW w:w="885" w:type="pct"/>
            <w:vAlign w:val="center"/>
          </w:tcPr>
          <w:p w14:paraId="47E48D4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不外排</w:t>
            </w:r>
          </w:p>
        </w:tc>
        <w:tc>
          <w:tcPr>
            <w:tcW w:w="546" w:type="pct"/>
            <w:vAlign w:val="center"/>
          </w:tcPr>
          <w:p w14:paraId="66ACCA6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77C0C0C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r>
      <w:tr w14:paraId="650EC7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continue"/>
            <w:vAlign w:val="center"/>
          </w:tcPr>
          <w:p w14:paraId="7823C6DB">
            <w:pPr>
              <w:pStyle w:val="41"/>
              <w:widowControl w:val="0"/>
              <w:rPr>
                <w:rFonts w:hint="default" w:ascii="Times New Roman" w:hAnsi="Times New Roman" w:cs="Times New Roman"/>
                <w:color w:val="auto"/>
                <w:kern w:val="2"/>
                <w:u w:val="none"/>
              </w:rPr>
            </w:pPr>
          </w:p>
        </w:tc>
        <w:tc>
          <w:tcPr>
            <w:tcW w:w="949" w:type="pct"/>
            <w:gridSpan w:val="2"/>
            <w:vAlign w:val="center"/>
          </w:tcPr>
          <w:p w14:paraId="1F608897">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w:t>
            </w:r>
          </w:p>
        </w:tc>
        <w:tc>
          <w:tcPr>
            <w:tcW w:w="1087" w:type="pct"/>
            <w:vAlign w:val="center"/>
          </w:tcPr>
          <w:p w14:paraId="5B2392D2">
            <w:pPr>
              <w:pStyle w:val="41"/>
              <w:rPr>
                <w:rFonts w:hint="default" w:ascii="Times New Roman" w:hAnsi="Times New Roman" w:cs="Times New Roman"/>
                <w:color w:val="auto"/>
                <w:u w:val="none"/>
              </w:rPr>
            </w:pPr>
            <w:r>
              <w:rPr>
                <w:rFonts w:hint="default" w:ascii="Times New Roman" w:hAnsi="Times New Roman" w:cs="Times New Roman"/>
                <w:color w:val="auto"/>
                <w:u w:val="none"/>
              </w:rPr>
              <w:t>含镍废液处理系统</w:t>
            </w:r>
          </w:p>
        </w:tc>
        <w:tc>
          <w:tcPr>
            <w:tcW w:w="885" w:type="pct"/>
            <w:vAlign w:val="center"/>
          </w:tcPr>
          <w:p w14:paraId="5E40607B">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不外排</w:t>
            </w:r>
          </w:p>
        </w:tc>
        <w:tc>
          <w:tcPr>
            <w:tcW w:w="546" w:type="pct"/>
            <w:vAlign w:val="center"/>
          </w:tcPr>
          <w:p w14:paraId="622EAED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3ADE6AE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r>
      <w:tr w14:paraId="75F1E6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continue"/>
            <w:vAlign w:val="center"/>
          </w:tcPr>
          <w:p w14:paraId="4205CE23">
            <w:pPr>
              <w:pStyle w:val="41"/>
              <w:widowControl w:val="0"/>
              <w:rPr>
                <w:rFonts w:hint="default" w:ascii="Times New Roman" w:hAnsi="Times New Roman" w:cs="Times New Roman"/>
                <w:color w:val="auto"/>
                <w:kern w:val="2"/>
                <w:u w:val="none"/>
              </w:rPr>
            </w:pPr>
          </w:p>
        </w:tc>
        <w:tc>
          <w:tcPr>
            <w:tcW w:w="949" w:type="pct"/>
            <w:gridSpan w:val="2"/>
            <w:vAlign w:val="center"/>
          </w:tcPr>
          <w:p w14:paraId="6772557D">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w:t>
            </w:r>
          </w:p>
        </w:tc>
        <w:tc>
          <w:tcPr>
            <w:tcW w:w="1087" w:type="pct"/>
            <w:vAlign w:val="center"/>
          </w:tcPr>
          <w:p w14:paraId="02DC4467">
            <w:pPr>
              <w:pStyle w:val="41"/>
              <w:rPr>
                <w:rFonts w:hint="default" w:ascii="Times New Roman" w:hAnsi="Times New Roman" w:cs="Times New Roman"/>
                <w:color w:val="auto"/>
                <w:u w:val="none"/>
              </w:rPr>
            </w:pPr>
            <w:r>
              <w:rPr>
                <w:rFonts w:hint="default" w:ascii="Times New Roman" w:hAnsi="Times New Roman" w:cs="Times New Roman"/>
                <w:color w:val="auto"/>
                <w:u w:val="none"/>
              </w:rPr>
              <w:t>含铬废水处理系统</w:t>
            </w:r>
          </w:p>
        </w:tc>
        <w:tc>
          <w:tcPr>
            <w:tcW w:w="885" w:type="pct"/>
            <w:vAlign w:val="center"/>
          </w:tcPr>
          <w:p w14:paraId="29BB452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不外排</w:t>
            </w:r>
          </w:p>
        </w:tc>
        <w:tc>
          <w:tcPr>
            <w:tcW w:w="546" w:type="pct"/>
            <w:vAlign w:val="center"/>
          </w:tcPr>
          <w:p w14:paraId="42313EC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4DF971E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r>
      <w:tr w14:paraId="7CEAEF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continue"/>
            <w:vAlign w:val="center"/>
          </w:tcPr>
          <w:p w14:paraId="1E6D1252">
            <w:pPr>
              <w:pStyle w:val="41"/>
              <w:widowControl w:val="0"/>
              <w:rPr>
                <w:rFonts w:hint="default" w:ascii="Times New Roman" w:hAnsi="Times New Roman" w:cs="Times New Roman"/>
                <w:color w:val="auto"/>
                <w:kern w:val="2"/>
                <w:u w:val="none"/>
              </w:rPr>
            </w:pPr>
          </w:p>
        </w:tc>
        <w:tc>
          <w:tcPr>
            <w:tcW w:w="949" w:type="pct"/>
            <w:gridSpan w:val="2"/>
            <w:vAlign w:val="center"/>
          </w:tcPr>
          <w:p w14:paraId="40718EEF">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w:t>
            </w:r>
          </w:p>
        </w:tc>
        <w:tc>
          <w:tcPr>
            <w:tcW w:w="1087" w:type="pct"/>
            <w:vAlign w:val="center"/>
          </w:tcPr>
          <w:p w14:paraId="38A74423">
            <w:pPr>
              <w:pStyle w:val="41"/>
              <w:rPr>
                <w:rFonts w:hint="default" w:ascii="Times New Roman" w:hAnsi="Times New Roman" w:cs="Times New Roman"/>
                <w:color w:val="auto"/>
                <w:u w:val="none"/>
              </w:rPr>
            </w:pPr>
            <w:r>
              <w:rPr>
                <w:rFonts w:hint="default" w:ascii="Times New Roman" w:hAnsi="Times New Roman" w:cs="Times New Roman"/>
                <w:color w:val="auto"/>
                <w:u w:val="none"/>
              </w:rPr>
              <w:t>含磷废水处理系统</w:t>
            </w:r>
          </w:p>
        </w:tc>
        <w:tc>
          <w:tcPr>
            <w:tcW w:w="885" w:type="pct"/>
            <w:vAlign w:val="center"/>
          </w:tcPr>
          <w:p w14:paraId="1893BE2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不外排</w:t>
            </w:r>
          </w:p>
        </w:tc>
        <w:tc>
          <w:tcPr>
            <w:tcW w:w="546" w:type="pct"/>
            <w:vAlign w:val="center"/>
          </w:tcPr>
          <w:p w14:paraId="2420531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454EEFD5">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r>
      <w:tr w14:paraId="514874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Merge w:val="continue"/>
            <w:vAlign w:val="center"/>
          </w:tcPr>
          <w:p w14:paraId="2B20BD32">
            <w:pPr>
              <w:pStyle w:val="41"/>
              <w:widowControl w:val="0"/>
              <w:rPr>
                <w:rFonts w:hint="default" w:ascii="Times New Roman" w:hAnsi="Times New Roman" w:cs="Times New Roman"/>
                <w:color w:val="auto"/>
                <w:kern w:val="2"/>
                <w:u w:val="none"/>
              </w:rPr>
            </w:pPr>
          </w:p>
        </w:tc>
        <w:tc>
          <w:tcPr>
            <w:tcW w:w="949" w:type="pct"/>
            <w:gridSpan w:val="2"/>
            <w:vAlign w:val="center"/>
          </w:tcPr>
          <w:p w14:paraId="2CE11F68">
            <w:pPr>
              <w:pStyle w:val="41"/>
              <w:rPr>
                <w:rFonts w:hint="default" w:ascii="Times New Roman" w:hAnsi="Times New Roman" w:cs="Times New Roman"/>
                <w:color w:val="auto"/>
                <w:u w:val="none"/>
              </w:rPr>
            </w:pPr>
            <w:r>
              <w:rPr>
                <w:rFonts w:hint="default" w:ascii="Times New Roman" w:hAnsi="Times New Roman" w:cs="Times New Roman"/>
                <w:color w:val="auto"/>
                <w:u w:val="none"/>
              </w:rPr>
              <w:t>综合废水</w:t>
            </w:r>
          </w:p>
        </w:tc>
        <w:tc>
          <w:tcPr>
            <w:tcW w:w="1087" w:type="pct"/>
            <w:vAlign w:val="center"/>
          </w:tcPr>
          <w:p w14:paraId="1A7A2F8F">
            <w:pPr>
              <w:pStyle w:val="41"/>
              <w:rPr>
                <w:rFonts w:hint="default" w:ascii="Times New Roman" w:hAnsi="Times New Roman" w:cs="Times New Roman"/>
                <w:color w:val="auto"/>
                <w:u w:val="none"/>
              </w:rPr>
            </w:pPr>
            <w:r>
              <w:rPr>
                <w:rFonts w:hint="default" w:ascii="Times New Roman" w:hAnsi="Times New Roman" w:cs="Times New Roman"/>
                <w:color w:val="auto"/>
                <w:u w:val="none"/>
              </w:rPr>
              <w:t>综合废水处理系统</w:t>
            </w:r>
          </w:p>
        </w:tc>
        <w:tc>
          <w:tcPr>
            <w:tcW w:w="885" w:type="pct"/>
            <w:vAlign w:val="center"/>
          </w:tcPr>
          <w:p w14:paraId="11A9BA8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DW002生产废水排口</w:t>
            </w:r>
          </w:p>
        </w:tc>
        <w:tc>
          <w:tcPr>
            <w:tcW w:w="546" w:type="pct"/>
            <w:vAlign w:val="center"/>
          </w:tcPr>
          <w:p w14:paraId="67BE05C8">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COD、动植物油类、</w:t>
            </w:r>
            <w:r>
              <w:rPr>
                <w:rFonts w:hint="default" w:ascii="Times New Roman" w:hAnsi="Times New Roman" w:cs="Times New Roman"/>
                <w:color w:val="auto"/>
                <w:u w:val="none"/>
              </w:rPr>
              <w:t>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-N、总磷、总氮、总镍、总铬、总铜</w:t>
            </w:r>
          </w:p>
        </w:tc>
        <w:tc>
          <w:tcPr>
            <w:tcW w:w="1240" w:type="pct"/>
            <w:vAlign w:val="center"/>
          </w:tcPr>
          <w:p w14:paraId="01EC0F1F">
            <w:pPr>
              <w:pStyle w:val="41"/>
              <w:widowControl w:val="0"/>
              <w:rPr>
                <w:rFonts w:hint="default" w:ascii="Times New Roman" w:hAnsi="Times New Roman" w:cs="Times New Roman"/>
                <w:color w:val="auto"/>
                <w:kern w:val="2"/>
                <w:u w:val="none"/>
              </w:rPr>
            </w:pPr>
            <w:r>
              <w:rPr>
                <w:rFonts w:hint="eastAsia"/>
                <w:kern w:val="2"/>
                <w:u w:val="single"/>
              </w:rPr>
              <w:t>湖南城陵矶临港产业新区污水处理厂</w:t>
            </w:r>
            <w:r>
              <w:rPr>
                <w:rFonts w:hint="eastAsia"/>
                <w:kern w:val="2"/>
                <w:u w:val="single"/>
                <w:lang w:val="en-US" w:eastAsia="zh-CN"/>
              </w:rPr>
              <w:t>纳管协议</w:t>
            </w:r>
            <w:r>
              <w:rPr>
                <w:rFonts w:hint="eastAsia"/>
                <w:kern w:val="2"/>
                <w:u w:val="single"/>
              </w:rPr>
              <w:t>标准（</w:t>
            </w:r>
            <w:r>
              <w:rPr>
                <w:u w:val="single"/>
              </w:rPr>
              <w:t>总镍、</w:t>
            </w:r>
            <w:r>
              <w:rPr>
                <w:rFonts w:hint="eastAsia"/>
                <w:u w:val="single"/>
              </w:rPr>
              <w:t>总铬、总铜未检出</w:t>
            </w:r>
            <w:r>
              <w:rPr>
                <w:rFonts w:hint="eastAsia"/>
                <w:kern w:val="2"/>
                <w:u w:val="single"/>
              </w:rPr>
              <w:t>）</w:t>
            </w:r>
          </w:p>
        </w:tc>
      </w:tr>
      <w:tr w14:paraId="508BF87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Align w:val="center"/>
          </w:tcPr>
          <w:p w14:paraId="720C693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噪声</w:t>
            </w:r>
          </w:p>
        </w:tc>
        <w:tc>
          <w:tcPr>
            <w:tcW w:w="949" w:type="pct"/>
            <w:gridSpan w:val="2"/>
            <w:vAlign w:val="center"/>
          </w:tcPr>
          <w:p w14:paraId="576B555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主要噪声设备</w:t>
            </w:r>
          </w:p>
        </w:tc>
        <w:tc>
          <w:tcPr>
            <w:tcW w:w="1087" w:type="pct"/>
            <w:vAlign w:val="center"/>
          </w:tcPr>
          <w:p w14:paraId="38D38BD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选用低噪声设备，采取减振基座、消声器、设备房、隔声墙等减噪</w:t>
            </w:r>
          </w:p>
        </w:tc>
        <w:tc>
          <w:tcPr>
            <w:tcW w:w="885" w:type="pct"/>
            <w:vAlign w:val="center"/>
          </w:tcPr>
          <w:p w14:paraId="78F74B0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厂界</w:t>
            </w:r>
          </w:p>
        </w:tc>
        <w:tc>
          <w:tcPr>
            <w:tcW w:w="546" w:type="pct"/>
            <w:vAlign w:val="center"/>
          </w:tcPr>
          <w:p w14:paraId="5E2A90D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Leq(A)</w:t>
            </w:r>
          </w:p>
        </w:tc>
        <w:tc>
          <w:tcPr>
            <w:tcW w:w="1240" w:type="pct"/>
            <w:vAlign w:val="center"/>
          </w:tcPr>
          <w:p w14:paraId="68A589D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《工业企业厂界环境噪声排放标准》（GB12348-2008）相关标准</w:t>
            </w:r>
          </w:p>
        </w:tc>
      </w:tr>
      <w:tr w14:paraId="0B3F6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Align w:val="center"/>
          </w:tcPr>
          <w:p w14:paraId="416C1EB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一般工业固体废物</w:t>
            </w:r>
          </w:p>
        </w:tc>
        <w:tc>
          <w:tcPr>
            <w:tcW w:w="949" w:type="pct"/>
            <w:gridSpan w:val="2"/>
            <w:vAlign w:val="center"/>
          </w:tcPr>
          <w:p w14:paraId="35E5CBF5">
            <w:pPr>
              <w:pStyle w:val="41"/>
              <w:rPr>
                <w:rFonts w:hint="default" w:ascii="Times New Roman" w:hAnsi="Times New Roman" w:cs="Times New Roman"/>
                <w:color w:val="auto"/>
                <w:u w:val="none"/>
              </w:rPr>
            </w:pPr>
            <w:r>
              <w:rPr>
                <w:rFonts w:hint="default" w:ascii="Times New Roman" w:hAnsi="Times New Roman" w:cs="Times New Roman"/>
                <w:color w:val="auto"/>
                <w:u w:val="none"/>
                <w:lang w:val="en-US" w:eastAsia="zh-CN"/>
              </w:rPr>
              <w:t>纯水系统</w:t>
            </w:r>
            <w:r>
              <w:rPr>
                <w:rFonts w:hint="default" w:ascii="Times New Roman" w:hAnsi="Times New Roman" w:cs="Times New Roman"/>
                <w:color w:val="auto"/>
                <w:u w:val="none"/>
              </w:rPr>
              <w:t>废活性炭及废RO反渗透膜</w:t>
            </w:r>
          </w:p>
        </w:tc>
        <w:tc>
          <w:tcPr>
            <w:tcW w:w="1087" w:type="pct"/>
            <w:vAlign w:val="center"/>
          </w:tcPr>
          <w:p w14:paraId="40AE585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由设备的保养公司进行更换并回收处理</w:t>
            </w:r>
          </w:p>
        </w:tc>
        <w:tc>
          <w:tcPr>
            <w:tcW w:w="885" w:type="pct"/>
            <w:vAlign w:val="center"/>
          </w:tcPr>
          <w:p w14:paraId="4BD2E8E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546" w:type="pct"/>
            <w:vAlign w:val="center"/>
          </w:tcPr>
          <w:p w14:paraId="475ADB8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55BDA478">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是否按要求处理</w:t>
            </w:r>
          </w:p>
        </w:tc>
      </w:tr>
      <w:tr w14:paraId="2D4BA6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Align w:val="center"/>
          </w:tcPr>
          <w:p w14:paraId="0B1752B4">
            <w:pPr>
              <w:pStyle w:val="41"/>
              <w:widowControl w:val="0"/>
              <w:rPr>
                <w:rFonts w:hint="default" w:ascii="Times New Roman" w:hAnsi="Times New Roman" w:eastAsia="Calibri" w:cs="Times New Roman"/>
                <w:color w:val="auto"/>
                <w:kern w:val="2"/>
                <w:u w:val="none"/>
              </w:rPr>
            </w:pPr>
            <w:r>
              <w:rPr>
                <w:rFonts w:hint="default" w:ascii="Times New Roman" w:hAnsi="Times New Roman" w:cs="Times New Roman"/>
                <w:color w:val="auto"/>
                <w:kern w:val="2"/>
                <w:u w:val="none"/>
              </w:rPr>
              <w:t>危险废物</w:t>
            </w:r>
          </w:p>
        </w:tc>
        <w:tc>
          <w:tcPr>
            <w:tcW w:w="949" w:type="pct"/>
            <w:gridSpan w:val="2"/>
            <w:vAlign w:val="center"/>
          </w:tcPr>
          <w:p w14:paraId="4D90A346">
            <w:pPr>
              <w:pStyle w:val="41"/>
              <w:rPr>
                <w:rFonts w:hint="default" w:ascii="Times New Roman" w:hAnsi="Times New Roman" w:cs="Times New Roman"/>
                <w:color w:val="auto"/>
                <w:kern w:val="2"/>
                <w:u w:val="none"/>
              </w:rPr>
            </w:pPr>
            <w:r>
              <w:rPr>
                <w:rFonts w:hint="default" w:ascii="Times New Roman" w:hAnsi="Times New Roman" w:cs="Times New Roman"/>
                <w:color w:val="auto"/>
                <w:u w:val="none"/>
              </w:rPr>
              <w:t>危险废物包括危险化学品废包装、废槽渣、含磷废水处理系统浓缩液、含镍污泥、含铬污泥、含镍结晶盐、含铬结晶盐、中水回用和废水处理废RO反渗透膜、废滤芯、废机油</w:t>
            </w:r>
          </w:p>
        </w:tc>
        <w:tc>
          <w:tcPr>
            <w:tcW w:w="1087" w:type="pct"/>
            <w:vAlign w:val="center"/>
          </w:tcPr>
          <w:p w14:paraId="36A686E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在转移前分类暂存于危废暂存间（</w:t>
            </w:r>
            <w:r>
              <w:rPr>
                <w:rFonts w:hint="eastAsia" w:cs="Times New Roman"/>
                <w:color w:val="auto"/>
                <w:kern w:val="2"/>
                <w:u w:val="none"/>
                <w:lang w:val="en-US" w:eastAsia="zh-CN"/>
              </w:rPr>
              <w:t>1</w:t>
            </w:r>
            <w:r>
              <w:rPr>
                <w:rFonts w:hint="default" w:ascii="Times New Roman" w:hAnsi="Times New Roman" w:cs="Times New Roman"/>
                <w:color w:val="auto"/>
                <w:kern w:val="2"/>
                <w:u w:val="none"/>
              </w:rPr>
              <w:t>个，总面积</w:t>
            </w:r>
            <w:r>
              <w:rPr>
                <w:rFonts w:hint="eastAsia" w:cs="Times New Roman"/>
                <w:color w:val="auto"/>
                <w:kern w:val="2"/>
                <w:u w:val="none"/>
                <w:lang w:val="en-US" w:eastAsia="zh-CN"/>
              </w:rPr>
              <w:t>1</w:t>
            </w:r>
            <w:r>
              <w:rPr>
                <w:rFonts w:hint="default" w:ascii="Times New Roman" w:hAnsi="Times New Roman" w:cs="Times New Roman"/>
                <w:color w:val="auto"/>
                <w:kern w:val="2"/>
                <w:u w:val="none"/>
              </w:rPr>
              <w:t>00m</w:t>
            </w:r>
            <w:r>
              <w:rPr>
                <w:rFonts w:hint="default" w:ascii="Times New Roman" w:hAnsi="Times New Roman" w:cs="Times New Roman"/>
                <w:color w:val="auto"/>
                <w:kern w:val="2"/>
                <w:u w:val="none"/>
                <w:vertAlign w:val="superscript"/>
              </w:rPr>
              <w:t>2</w:t>
            </w:r>
            <w:r>
              <w:rPr>
                <w:rFonts w:hint="default" w:ascii="Times New Roman" w:hAnsi="Times New Roman" w:cs="Times New Roman"/>
                <w:color w:val="auto"/>
                <w:kern w:val="2"/>
                <w:u w:val="none"/>
              </w:rPr>
              <w:t>），并按危废要求进行管理。定期交由有资质的单位处理</w:t>
            </w:r>
          </w:p>
        </w:tc>
        <w:tc>
          <w:tcPr>
            <w:tcW w:w="885" w:type="pct"/>
            <w:vAlign w:val="center"/>
          </w:tcPr>
          <w:p w14:paraId="1BC9EF3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546" w:type="pct"/>
            <w:vAlign w:val="center"/>
          </w:tcPr>
          <w:p w14:paraId="4A03619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6C69A83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是否设置危废暂存间，危废是否交由有资质的单位处理</w:t>
            </w:r>
          </w:p>
        </w:tc>
      </w:tr>
      <w:tr w14:paraId="41331E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23" w:hRule="atLeast"/>
          <w:jc w:val="center"/>
        </w:trPr>
        <w:tc>
          <w:tcPr>
            <w:tcW w:w="289" w:type="pct"/>
            <w:vAlign w:val="center"/>
          </w:tcPr>
          <w:p w14:paraId="5CA35714">
            <w:pPr>
              <w:pStyle w:val="41"/>
              <w:widowControl w:val="0"/>
              <w:rPr>
                <w:rFonts w:hint="default" w:ascii="Times New Roman" w:hAnsi="Times New Roman" w:eastAsia="Calibri" w:cs="Times New Roman"/>
                <w:color w:val="auto"/>
                <w:kern w:val="2"/>
                <w:u w:val="none"/>
              </w:rPr>
            </w:pPr>
            <w:r>
              <w:rPr>
                <w:rFonts w:hint="default" w:ascii="Times New Roman" w:hAnsi="Times New Roman" w:cs="Times New Roman"/>
                <w:color w:val="auto"/>
                <w:kern w:val="2"/>
                <w:u w:val="none"/>
              </w:rPr>
              <w:t>生活垃圾</w:t>
            </w:r>
          </w:p>
        </w:tc>
        <w:tc>
          <w:tcPr>
            <w:tcW w:w="949" w:type="pct"/>
            <w:gridSpan w:val="2"/>
            <w:vAlign w:val="center"/>
          </w:tcPr>
          <w:p w14:paraId="4D4E6D0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生活垃圾</w:t>
            </w:r>
          </w:p>
        </w:tc>
        <w:tc>
          <w:tcPr>
            <w:tcW w:w="1087" w:type="pct"/>
            <w:vAlign w:val="center"/>
          </w:tcPr>
          <w:p w14:paraId="4358A0F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交环卫部门处理</w:t>
            </w:r>
          </w:p>
        </w:tc>
        <w:tc>
          <w:tcPr>
            <w:tcW w:w="885" w:type="pct"/>
            <w:vAlign w:val="center"/>
          </w:tcPr>
          <w:p w14:paraId="01ED305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546" w:type="pct"/>
            <w:vAlign w:val="center"/>
          </w:tcPr>
          <w:p w14:paraId="54C7A3BB">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240" w:type="pct"/>
            <w:vAlign w:val="center"/>
          </w:tcPr>
          <w:p w14:paraId="20302A45">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是否按要求处理</w:t>
            </w:r>
          </w:p>
        </w:tc>
      </w:tr>
    </w:tbl>
    <w:p w14:paraId="618D5241">
      <w:pPr>
        <w:pStyle w:val="4"/>
        <w:ind w:left="0" w:leftChars="0" w:firstLineChars="0"/>
        <w:rPr>
          <w:rFonts w:hint="default" w:ascii="Times New Roman" w:hAnsi="Times New Roman" w:cs="Times New Roman"/>
          <w:color w:val="auto"/>
          <w:u w:val="none"/>
        </w:rPr>
      </w:pPr>
      <w:bookmarkStart w:id="235" w:name="_Toc14078"/>
      <w:r>
        <w:rPr>
          <w:rFonts w:hint="default" w:ascii="Times New Roman" w:hAnsi="Times New Roman" w:cs="Times New Roman"/>
          <w:color w:val="auto"/>
          <w:u w:val="none"/>
        </w:rPr>
        <w:t>排污口规范化管理</w:t>
      </w:r>
      <w:bookmarkEnd w:id="201"/>
      <w:bookmarkEnd w:id="202"/>
      <w:bookmarkEnd w:id="203"/>
      <w:bookmarkEnd w:id="204"/>
      <w:bookmarkEnd w:id="235"/>
    </w:p>
    <w:p w14:paraId="0D2B8B88">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根据《关于开展排放口规范化整治工作的通知》（国家环境保护总局环发[1999]24号）和《排放口规范化整治技术》（国家环境保护总局环发[1999]24号文）文件的要求，一切新建、改建的排污单位以及限期治理的排污单位，必须在建设污染治理设施的同时，建设规范化排污口。因此，建设单位在投产时，各类排污口必须规范化建设和管理，而且规范化工作应与污染治理同步实施，即治理设施完工时，规范化工作必须同时完成，并列入污染物治理设施的验收内容。</w:t>
      </w:r>
    </w:p>
    <w:p w14:paraId="22D7E71E">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排污口是企业排放污染物进入环境的通道，强化排污口的管理是实施污染物总量控制的基础工作之一，也是区域环境管理逐步实现污染物排放的科学化、定量化的重要手段。</w:t>
      </w:r>
    </w:p>
    <w:p w14:paraId="693D4F09">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（1）工艺废气排放口</w:t>
      </w:r>
    </w:p>
    <w:p w14:paraId="4F017326">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本项目</w:t>
      </w:r>
      <w:r>
        <w:rPr>
          <w:rFonts w:hint="default" w:ascii="Times New Roman" w:hAnsi="Times New Roman" w:cs="Times New Roman"/>
          <w:color w:val="auto"/>
          <w:u w:val="none"/>
        </w:rPr>
        <w:t>阳极氧化线</w:t>
      </w:r>
      <w:r>
        <w:rPr>
          <w:rFonts w:hint="default" w:ascii="Times New Roman" w:hAnsi="Times New Roman" w:cs="Times New Roman"/>
          <w:color w:val="auto"/>
          <w:u w:val="none"/>
          <w:lang w:val="zh-CN"/>
        </w:rPr>
        <w:t>废气进出、排放口应设置采样口，采样口的设置应符合《污染源监测技术规范》要求，同时安装环境图形标志。</w:t>
      </w:r>
    </w:p>
    <w:p w14:paraId="31642E0A">
      <w:pPr>
        <w:ind w:firstLine="480"/>
        <w:jc w:val="left"/>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（2）污水排放口</w:t>
      </w:r>
    </w:p>
    <w:p w14:paraId="7FA504E2">
      <w:pPr>
        <w:ind w:firstLine="480"/>
        <w:jc w:val="left"/>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项目废水总排口应按照《污染源监测技术规范》设置规范的、便于测量流量和流速的测流段和采样点，安装环境图形标志。</w:t>
      </w:r>
    </w:p>
    <w:p w14:paraId="6B0954AF">
      <w:pPr>
        <w:ind w:firstLine="480"/>
        <w:jc w:val="left"/>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（3）固废贮存场所</w:t>
      </w:r>
    </w:p>
    <w:p w14:paraId="4115FE9D">
      <w:pPr>
        <w:ind w:firstLine="480"/>
        <w:jc w:val="left"/>
        <w:rPr>
          <w:rFonts w:hint="default" w:ascii="Times New Roman" w:hAnsi="Times New Roman" w:cs="Times New Roman"/>
          <w:color w:val="auto"/>
          <w:u w:val="none"/>
          <w:lang w:val="zh-CN"/>
        </w:rPr>
      </w:pPr>
      <w:r>
        <w:rPr>
          <w:rFonts w:hint="default" w:ascii="Times New Roman" w:hAnsi="Times New Roman" w:cs="Times New Roman"/>
          <w:color w:val="auto"/>
          <w:u w:val="none"/>
          <w:lang w:val="zh-CN"/>
        </w:rPr>
        <w:t>本项目固废贮存场所应按照GB15562.2安装环境图形标志。</w:t>
      </w:r>
    </w:p>
    <w:p w14:paraId="4B4CA2B2">
      <w:pPr>
        <w:pStyle w:val="5"/>
        <w:rPr>
          <w:rFonts w:hint="default" w:ascii="Times New Roman" w:hAnsi="Times New Roman" w:cs="Times New Roman"/>
          <w:color w:val="auto"/>
          <w:u w:val="none"/>
        </w:rPr>
      </w:pPr>
      <w:r>
        <w:rPr>
          <w:rFonts w:hint="default" w:ascii="Times New Roman" w:hAnsi="Times New Roman" w:cs="Times New Roman"/>
          <w:color w:val="auto"/>
          <w:u w:val="none"/>
        </w:rPr>
        <w:t>排污口立标管理</w:t>
      </w:r>
    </w:p>
    <w:p w14:paraId="4B5D634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按《环境保护图形标志—排放口（源）》（GB15562.1-1995）规定的图形，在各气、水、声排污口（源）挂牌标识，做到各排污口（源）的环保标志明显，便于企业管理和公众监督。</w:t>
      </w:r>
    </w:p>
    <w:p w14:paraId="0D1F483E">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此外，应注意以下几点：</w:t>
      </w:r>
    </w:p>
    <w:p w14:paraId="104C7B85">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排污口的环保图形标志牌应设置在靠近采样点的醒目处，标志牌设置高度为其上边缘距离地面约2米；排污口和固体废物堆置场以设置方形标志牌为主，亦可根据情况设置立面或平面固定式标志牌；</w:t>
      </w:r>
    </w:p>
    <w:p w14:paraId="69988D4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废水排放口和固体废物堆场，应设置提示性环境保护图形标志牌。并在以后的运行过程中按照以上原则对排污口进行规范化管理。</w:t>
      </w:r>
    </w:p>
    <w:p w14:paraId="6FD3BF08">
      <w:pPr>
        <w:pStyle w:val="5"/>
        <w:rPr>
          <w:rFonts w:hint="default" w:ascii="Times New Roman" w:hAnsi="Times New Roman" w:cs="Times New Roman"/>
          <w:color w:val="auto"/>
          <w:u w:val="none"/>
        </w:rPr>
      </w:pPr>
      <w:bookmarkStart w:id="236" w:name="8.3.3排污口建档管理"/>
      <w:bookmarkEnd w:id="236"/>
      <w:r>
        <w:rPr>
          <w:rFonts w:hint="default" w:ascii="Times New Roman" w:hAnsi="Times New Roman" w:cs="Times New Roman"/>
          <w:color w:val="auto"/>
          <w:u w:val="none"/>
        </w:rPr>
        <w:t>排污口建档管理</w:t>
      </w:r>
    </w:p>
    <w:p w14:paraId="035A26F1">
      <w:pPr>
        <w:ind w:firstLine="480"/>
        <w:rPr>
          <w:rFonts w:hint="default" w:ascii="Times New Roman" w:hAnsi="Times New Roman" w:cs="Times New Roman"/>
          <w:color w:val="auto"/>
          <w:u w:val="none"/>
        </w:rPr>
      </w:pPr>
      <w:r>
        <w:rPr>
          <w:rFonts w:hint="default" w:ascii="Times New Roman" w:hAnsi="Times New Roman" w:cs="Times New Roman"/>
          <w:color w:val="auto"/>
          <w:u w:val="none"/>
        </w:rPr>
        <w:t>公司在以后的生产过程中应做到：</w:t>
      </w:r>
    </w:p>
    <w:p w14:paraId="18EA9F6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使用国家环保总局统一印制的《中华人民共和国规范化排污口标志登记证》， 并按要求填写有关内容；</w:t>
      </w:r>
    </w:p>
    <w:p w14:paraId="401D616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根据排污口管理内容要求，项目建成投产后，应将主要污染物种类、数量、浓度、排放去向、立标情况及设施运行情况记录于档案。</w:t>
      </w:r>
    </w:p>
    <w:p w14:paraId="6C29E34C">
      <w:pPr>
        <w:pStyle w:val="5"/>
        <w:rPr>
          <w:rFonts w:hint="default" w:ascii="Times New Roman" w:hAnsi="Times New Roman" w:cs="Times New Roman"/>
          <w:b/>
          <w:bCs/>
          <w:color w:val="auto"/>
          <w:kern w:val="0"/>
          <w:u w:val="none"/>
        </w:rPr>
      </w:pPr>
      <w:r>
        <w:rPr>
          <w:rFonts w:hint="default" w:ascii="Times New Roman" w:hAnsi="Times New Roman" w:cs="Times New Roman"/>
          <w:b/>
          <w:bCs/>
          <w:color w:val="auto"/>
          <w:u w:val="none"/>
        </w:rPr>
        <w:t>排污管理要求</w:t>
      </w:r>
    </w:p>
    <w:p w14:paraId="05FF786E">
      <w:pPr>
        <w:ind w:firstLine="480"/>
        <w:rPr>
          <w:rFonts w:hint="default" w:ascii="Times New Roman" w:hAnsi="Times New Roman" w:cs="Times New Roman"/>
          <w:color w:val="FF0000"/>
          <w:u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5B4273B">
      <w:pPr>
        <w:pStyle w:val="38"/>
        <w:rPr>
          <w:rFonts w:hint="default" w:ascii="Times New Roman" w:hAnsi="Times New Roman" w:cs="Times New Roman"/>
          <w:b/>
          <w:bCs/>
          <w:color w:val="auto"/>
          <w:u w:val="none"/>
        </w:rPr>
      </w:pPr>
      <w:bookmarkStart w:id="237" w:name="8.3.4排污管理要求"/>
      <w:bookmarkEnd w:id="237"/>
      <w:r>
        <w:rPr>
          <w:rFonts w:hint="default" w:ascii="Times New Roman" w:hAnsi="Times New Roman" w:cs="Times New Roman"/>
          <w:b/>
          <w:bCs/>
          <w:color w:val="auto"/>
          <w:u w:val="none"/>
        </w:rPr>
        <w:t>表9.4-1 项目废气、废水、固废产排污环节、污染物种类、排放形式、污染治理工艺及对应排放口类型一览表</w:t>
      </w:r>
    </w:p>
    <w:tbl>
      <w:tblPr>
        <w:tblStyle w:val="30"/>
        <w:tblW w:w="1474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5"/>
        <w:gridCol w:w="1486"/>
        <w:gridCol w:w="1589"/>
        <w:gridCol w:w="1830"/>
        <w:gridCol w:w="1888"/>
        <w:gridCol w:w="1897"/>
        <w:gridCol w:w="3773"/>
        <w:gridCol w:w="1302"/>
      </w:tblGrid>
      <w:tr w14:paraId="52694C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975" w:type="dxa"/>
            <w:vAlign w:val="center"/>
          </w:tcPr>
          <w:p w14:paraId="3B173066">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污染类别</w:t>
            </w:r>
          </w:p>
        </w:tc>
        <w:tc>
          <w:tcPr>
            <w:tcW w:w="1486" w:type="dxa"/>
            <w:vAlign w:val="center"/>
          </w:tcPr>
          <w:p w14:paraId="6241D9FF">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生产单元</w:t>
            </w:r>
          </w:p>
        </w:tc>
        <w:tc>
          <w:tcPr>
            <w:tcW w:w="1589" w:type="dxa"/>
            <w:vAlign w:val="center"/>
          </w:tcPr>
          <w:p w14:paraId="789299F4">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生产工艺</w:t>
            </w:r>
          </w:p>
        </w:tc>
        <w:tc>
          <w:tcPr>
            <w:tcW w:w="1830" w:type="dxa"/>
            <w:vAlign w:val="center"/>
          </w:tcPr>
          <w:p w14:paraId="74682EB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产排污环节</w:t>
            </w:r>
          </w:p>
        </w:tc>
        <w:tc>
          <w:tcPr>
            <w:tcW w:w="1888" w:type="dxa"/>
            <w:vAlign w:val="center"/>
          </w:tcPr>
          <w:p w14:paraId="4F1D62AD">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污染物种类</w:t>
            </w:r>
          </w:p>
        </w:tc>
        <w:tc>
          <w:tcPr>
            <w:tcW w:w="1897" w:type="dxa"/>
            <w:vAlign w:val="center"/>
          </w:tcPr>
          <w:p w14:paraId="28BDE8B5">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排放形式/去向</w:t>
            </w:r>
          </w:p>
        </w:tc>
        <w:tc>
          <w:tcPr>
            <w:tcW w:w="3773" w:type="dxa"/>
            <w:vAlign w:val="center"/>
          </w:tcPr>
          <w:p w14:paraId="5E9749EC">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污染治理工艺</w:t>
            </w:r>
          </w:p>
        </w:tc>
        <w:tc>
          <w:tcPr>
            <w:tcW w:w="1302" w:type="dxa"/>
            <w:vAlign w:val="center"/>
          </w:tcPr>
          <w:p w14:paraId="670CC850">
            <w:pPr>
              <w:pStyle w:val="41"/>
              <w:rPr>
                <w:rFonts w:hint="default" w:ascii="Times New Roman" w:hAnsi="Times New Roman" w:cs="Times New Roman"/>
                <w:b/>
                <w:bCs/>
                <w:color w:val="auto"/>
                <w:u w:val="none"/>
              </w:rPr>
            </w:pPr>
            <w:r>
              <w:rPr>
                <w:rFonts w:hint="default" w:ascii="Times New Roman" w:hAnsi="Times New Roman" w:cs="Times New Roman"/>
                <w:b/>
                <w:bCs/>
                <w:color w:val="auto"/>
                <w:u w:val="none"/>
              </w:rPr>
              <w:t>排放口类型</w:t>
            </w:r>
          </w:p>
        </w:tc>
      </w:tr>
      <w:tr w14:paraId="260AA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restart"/>
            <w:tcBorders>
              <w:top w:val="single" w:color="auto" w:sz="4" w:space="0"/>
            </w:tcBorders>
            <w:vAlign w:val="center"/>
          </w:tcPr>
          <w:p w14:paraId="78F9E66F">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废气</w:t>
            </w:r>
          </w:p>
        </w:tc>
        <w:tc>
          <w:tcPr>
            <w:tcW w:w="1486" w:type="dxa"/>
            <w:vAlign w:val="center"/>
          </w:tcPr>
          <w:p w14:paraId="0CE44396">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阳极氧化线1</w:t>
            </w:r>
          </w:p>
        </w:tc>
        <w:tc>
          <w:tcPr>
            <w:tcW w:w="1589" w:type="dxa"/>
            <w:vMerge w:val="restart"/>
            <w:vAlign w:val="center"/>
          </w:tcPr>
          <w:p w14:paraId="791DB72F">
            <w:pPr>
              <w:pStyle w:val="41"/>
              <w:rPr>
                <w:rFonts w:hint="eastAsia" w:ascii="Times New Roman" w:hAnsi="Times New Roman" w:eastAsia="宋体" w:cs="Times New Roman"/>
                <w:color w:val="auto"/>
                <w:u w:val="none"/>
                <w:lang w:eastAsia="zh-CN"/>
              </w:rPr>
            </w:pPr>
            <w:r>
              <w:rPr>
                <w:rFonts w:hint="eastAsia" w:cs="Times New Roman"/>
                <w:color w:val="auto"/>
                <w:u w:val="none"/>
                <w:lang w:val="en-US" w:eastAsia="zh-CN"/>
              </w:rPr>
              <w:t>氧化</w:t>
            </w:r>
          </w:p>
        </w:tc>
        <w:tc>
          <w:tcPr>
            <w:tcW w:w="1830" w:type="dxa"/>
            <w:vMerge w:val="restart"/>
            <w:vAlign w:val="center"/>
          </w:tcPr>
          <w:p w14:paraId="26DEF05B">
            <w:pPr>
              <w:pStyle w:val="41"/>
              <w:rPr>
                <w:rFonts w:hint="default" w:ascii="Times New Roman" w:hAnsi="Times New Roman" w:cs="Times New Roman"/>
                <w:color w:val="auto"/>
                <w:u w:val="none"/>
              </w:rPr>
            </w:pPr>
            <w:r>
              <w:rPr>
                <w:rFonts w:hint="eastAsia" w:cs="Times New Roman"/>
                <w:color w:val="auto"/>
                <w:u w:val="none"/>
                <w:lang w:val="en-US" w:eastAsia="zh-CN"/>
              </w:rPr>
              <w:t>氧化</w:t>
            </w:r>
          </w:p>
        </w:tc>
        <w:tc>
          <w:tcPr>
            <w:tcW w:w="1888" w:type="dxa"/>
            <w:vMerge w:val="restart"/>
            <w:vAlign w:val="center"/>
          </w:tcPr>
          <w:p w14:paraId="695EA8FD">
            <w:pPr>
              <w:pStyle w:val="41"/>
              <w:rPr>
                <w:rFonts w:hint="default" w:ascii="Times New Roman" w:hAnsi="Times New Roman" w:eastAsia="宋体" w:cs="Times New Roman"/>
                <w:color w:val="auto"/>
                <w:u w:val="none"/>
                <w:lang w:val="en-US" w:eastAsia="zh-CN"/>
              </w:rPr>
            </w:pPr>
            <w:r>
              <w:rPr>
                <w:rFonts w:hint="eastAsia" w:cs="Times New Roman"/>
                <w:color w:val="auto"/>
                <w:u w:val="none"/>
                <w:lang w:val="en-US" w:eastAsia="zh-CN"/>
              </w:rPr>
              <w:t>硫酸雾、氮氧化物</w:t>
            </w:r>
          </w:p>
        </w:tc>
        <w:tc>
          <w:tcPr>
            <w:tcW w:w="1897" w:type="dxa"/>
            <w:vMerge w:val="restart"/>
            <w:vAlign w:val="center"/>
          </w:tcPr>
          <w:p w14:paraId="635BC835">
            <w:pPr>
              <w:pStyle w:val="41"/>
              <w:rPr>
                <w:rFonts w:hint="default" w:ascii="Times New Roman" w:hAnsi="Times New Roman" w:cs="Times New Roman"/>
                <w:color w:val="auto"/>
                <w:u w:val="none"/>
              </w:rPr>
            </w:pPr>
            <w:r>
              <w:rPr>
                <w:rFonts w:hint="default" w:ascii="Times New Roman" w:hAnsi="Times New Roman" w:cs="Times New Roman"/>
                <w:color w:val="auto"/>
                <w:u w:val="none"/>
              </w:rPr>
              <w:t>有组织排放有组织排放</w:t>
            </w:r>
          </w:p>
        </w:tc>
        <w:tc>
          <w:tcPr>
            <w:tcW w:w="3773" w:type="dxa"/>
            <w:vMerge w:val="restart"/>
            <w:vAlign w:val="center"/>
          </w:tcPr>
          <w:p w14:paraId="1D6876DD">
            <w:pPr>
              <w:pStyle w:val="41"/>
              <w:rPr>
                <w:rFonts w:hint="default" w:ascii="Times New Roman" w:hAnsi="Times New Roman" w:cs="Times New Roman"/>
                <w:color w:val="auto"/>
                <w:u w:val="none"/>
              </w:rPr>
            </w:pPr>
            <w:r>
              <w:rPr>
                <w:rFonts w:hint="default" w:ascii="Times New Roman" w:hAnsi="Times New Roman" w:cs="Times New Roman"/>
                <w:color w:val="auto"/>
                <w:u w:val="none"/>
              </w:rPr>
              <w:t>两级碱性喷淋塔</w:t>
            </w:r>
          </w:p>
        </w:tc>
        <w:tc>
          <w:tcPr>
            <w:tcW w:w="1302" w:type="dxa"/>
            <w:vMerge w:val="restart"/>
            <w:vAlign w:val="center"/>
          </w:tcPr>
          <w:p w14:paraId="6E54BBFF">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一般排放口</w:t>
            </w:r>
          </w:p>
        </w:tc>
      </w:tr>
      <w:tr w14:paraId="54DD29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975" w:type="dxa"/>
            <w:vMerge w:val="continue"/>
            <w:vAlign w:val="center"/>
          </w:tcPr>
          <w:p w14:paraId="6B03B15F">
            <w:pPr>
              <w:pStyle w:val="41"/>
              <w:rPr>
                <w:rFonts w:hint="default" w:ascii="Times New Roman" w:hAnsi="Times New Roman" w:cs="Times New Roman"/>
                <w:color w:val="auto"/>
                <w:u w:val="none"/>
              </w:rPr>
            </w:pPr>
          </w:p>
        </w:tc>
        <w:tc>
          <w:tcPr>
            <w:tcW w:w="1486" w:type="dxa"/>
            <w:vAlign w:val="center"/>
          </w:tcPr>
          <w:p w14:paraId="4AEBD725">
            <w:pPr>
              <w:pStyle w:val="41"/>
              <w:rPr>
                <w:rFonts w:hint="default" w:ascii="Times New Roman" w:hAnsi="Times New Roman" w:cs="Times New Roman"/>
                <w:color w:val="auto"/>
                <w:u w:val="none"/>
              </w:rPr>
            </w:pPr>
            <w:r>
              <w:rPr>
                <w:rFonts w:hint="default" w:ascii="Times New Roman" w:hAnsi="Times New Roman" w:cs="Times New Roman"/>
                <w:color w:val="auto"/>
                <w:u w:val="none"/>
              </w:rPr>
              <w:t>阳极氧化线2</w:t>
            </w:r>
          </w:p>
        </w:tc>
        <w:tc>
          <w:tcPr>
            <w:tcW w:w="1589" w:type="dxa"/>
            <w:vMerge w:val="continue"/>
            <w:vAlign w:val="center"/>
          </w:tcPr>
          <w:p w14:paraId="1F7704AF">
            <w:pPr>
              <w:pStyle w:val="41"/>
              <w:rPr>
                <w:rFonts w:hint="default" w:ascii="Times New Roman" w:hAnsi="Times New Roman" w:cs="Times New Roman"/>
                <w:color w:val="auto"/>
                <w:u w:val="none"/>
              </w:rPr>
            </w:pPr>
          </w:p>
        </w:tc>
        <w:tc>
          <w:tcPr>
            <w:tcW w:w="1830" w:type="dxa"/>
            <w:vMerge w:val="continue"/>
            <w:vAlign w:val="center"/>
          </w:tcPr>
          <w:p w14:paraId="7539C522">
            <w:pPr>
              <w:pStyle w:val="41"/>
              <w:rPr>
                <w:rFonts w:hint="default" w:ascii="Times New Roman" w:hAnsi="Times New Roman" w:cs="Times New Roman"/>
                <w:color w:val="auto"/>
                <w:u w:val="none"/>
              </w:rPr>
            </w:pPr>
          </w:p>
        </w:tc>
        <w:tc>
          <w:tcPr>
            <w:tcW w:w="1888" w:type="dxa"/>
            <w:vMerge w:val="continue"/>
            <w:vAlign w:val="center"/>
          </w:tcPr>
          <w:p w14:paraId="480B5CAC">
            <w:pPr>
              <w:pStyle w:val="41"/>
              <w:rPr>
                <w:rFonts w:hint="default" w:ascii="Times New Roman" w:hAnsi="Times New Roman" w:cs="Times New Roman"/>
                <w:color w:val="auto"/>
                <w:u w:val="none"/>
              </w:rPr>
            </w:pPr>
          </w:p>
        </w:tc>
        <w:tc>
          <w:tcPr>
            <w:tcW w:w="1897" w:type="dxa"/>
            <w:vMerge w:val="continue"/>
            <w:vAlign w:val="center"/>
          </w:tcPr>
          <w:p w14:paraId="7DB5F01E">
            <w:pPr>
              <w:pStyle w:val="41"/>
              <w:rPr>
                <w:rFonts w:hint="default" w:ascii="Times New Roman" w:hAnsi="Times New Roman" w:cs="Times New Roman"/>
                <w:color w:val="auto"/>
                <w:u w:val="none"/>
              </w:rPr>
            </w:pPr>
          </w:p>
        </w:tc>
        <w:tc>
          <w:tcPr>
            <w:tcW w:w="3773" w:type="dxa"/>
            <w:vMerge w:val="continue"/>
            <w:vAlign w:val="center"/>
          </w:tcPr>
          <w:p w14:paraId="462A50A9">
            <w:pPr>
              <w:pStyle w:val="41"/>
              <w:rPr>
                <w:rFonts w:hint="default" w:ascii="Times New Roman" w:hAnsi="Times New Roman" w:cs="Times New Roman"/>
                <w:color w:val="auto"/>
                <w:u w:val="none"/>
              </w:rPr>
            </w:pPr>
          </w:p>
        </w:tc>
        <w:tc>
          <w:tcPr>
            <w:tcW w:w="1302" w:type="dxa"/>
            <w:vMerge w:val="continue"/>
            <w:vAlign w:val="center"/>
          </w:tcPr>
          <w:p w14:paraId="70386B5B">
            <w:pPr>
              <w:pStyle w:val="41"/>
              <w:rPr>
                <w:rFonts w:hint="default" w:ascii="Times New Roman" w:hAnsi="Times New Roman" w:cs="Times New Roman"/>
                <w:color w:val="auto"/>
                <w:u w:val="none"/>
              </w:rPr>
            </w:pPr>
          </w:p>
        </w:tc>
      </w:tr>
      <w:tr w14:paraId="394D2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975" w:type="dxa"/>
            <w:vMerge w:val="continue"/>
            <w:vAlign w:val="center"/>
          </w:tcPr>
          <w:p w14:paraId="58DF6C03">
            <w:pPr>
              <w:pStyle w:val="41"/>
              <w:rPr>
                <w:rFonts w:hint="default" w:ascii="Times New Roman" w:hAnsi="Times New Roman" w:cs="Times New Roman"/>
                <w:color w:val="auto"/>
                <w:u w:val="none"/>
              </w:rPr>
            </w:pPr>
          </w:p>
        </w:tc>
        <w:tc>
          <w:tcPr>
            <w:tcW w:w="1486" w:type="dxa"/>
            <w:vAlign w:val="center"/>
          </w:tcPr>
          <w:p w14:paraId="6D8F1567">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铬酸盐封闭</w:t>
            </w:r>
            <w:r>
              <w:rPr>
                <w:rFonts w:hint="eastAsia" w:cs="Times New Roman"/>
                <w:color w:val="auto"/>
                <w:u w:val="none"/>
                <w:lang w:val="en-US" w:eastAsia="zh-CN"/>
              </w:rPr>
              <w:t>1</w:t>
            </w:r>
          </w:p>
        </w:tc>
        <w:tc>
          <w:tcPr>
            <w:tcW w:w="1589" w:type="dxa"/>
            <w:vMerge w:val="restart"/>
            <w:vAlign w:val="center"/>
          </w:tcPr>
          <w:p w14:paraId="6E6ED05A">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1830" w:type="dxa"/>
            <w:vMerge w:val="restart"/>
            <w:vAlign w:val="center"/>
          </w:tcPr>
          <w:p w14:paraId="201DEC29">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w:t>
            </w:r>
          </w:p>
        </w:tc>
        <w:tc>
          <w:tcPr>
            <w:tcW w:w="1888" w:type="dxa"/>
            <w:vMerge w:val="restart"/>
            <w:vAlign w:val="center"/>
          </w:tcPr>
          <w:p w14:paraId="6DC8326F">
            <w:pPr>
              <w:pStyle w:val="41"/>
              <w:rPr>
                <w:rFonts w:hint="eastAsia" w:ascii="Times New Roman" w:hAnsi="Times New Roman" w:eastAsia="宋体" w:cs="Times New Roman"/>
                <w:color w:val="auto"/>
                <w:u w:val="none"/>
                <w:lang w:val="en-US" w:eastAsia="zh-CN"/>
              </w:rPr>
            </w:pPr>
            <w:r>
              <w:rPr>
                <w:rFonts w:hint="eastAsia" w:cs="Times New Roman"/>
                <w:color w:val="auto"/>
                <w:u w:val="none"/>
                <w:lang w:val="en-US" w:eastAsia="zh-CN"/>
              </w:rPr>
              <w:t>铬酸雾</w:t>
            </w:r>
          </w:p>
        </w:tc>
        <w:tc>
          <w:tcPr>
            <w:tcW w:w="1897" w:type="dxa"/>
            <w:vMerge w:val="restart"/>
            <w:vAlign w:val="center"/>
          </w:tcPr>
          <w:p w14:paraId="1229EDA1">
            <w:pPr>
              <w:pStyle w:val="41"/>
              <w:rPr>
                <w:rFonts w:hint="default" w:ascii="Times New Roman" w:hAnsi="Times New Roman" w:cs="Times New Roman"/>
                <w:color w:val="auto"/>
                <w:u w:val="none"/>
              </w:rPr>
            </w:pPr>
            <w:r>
              <w:rPr>
                <w:rFonts w:hint="default" w:ascii="Times New Roman" w:hAnsi="Times New Roman" w:cs="Times New Roman"/>
                <w:color w:val="auto"/>
                <w:u w:val="none"/>
              </w:rPr>
              <w:t>有组织排放有组织排放</w:t>
            </w:r>
          </w:p>
        </w:tc>
        <w:tc>
          <w:tcPr>
            <w:tcW w:w="3773" w:type="dxa"/>
            <w:vMerge w:val="restart"/>
            <w:vAlign w:val="center"/>
          </w:tcPr>
          <w:p w14:paraId="5AFAE93C">
            <w:pPr>
              <w:pStyle w:val="41"/>
              <w:rPr>
                <w:rFonts w:hint="default" w:ascii="Times New Roman" w:hAnsi="Times New Roman" w:cs="Times New Roman"/>
                <w:color w:val="auto"/>
                <w:u w:val="none"/>
              </w:rPr>
            </w:pPr>
            <w:r>
              <w:rPr>
                <w:rFonts w:hint="default" w:ascii="Times New Roman" w:hAnsi="Times New Roman" w:cs="Times New Roman"/>
                <w:color w:val="auto"/>
                <w:u w:val="none"/>
              </w:rPr>
              <w:t>两级碱性喷淋塔</w:t>
            </w:r>
          </w:p>
        </w:tc>
        <w:tc>
          <w:tcPr>
            <w:tcW w:w="1302" w:type="dxa"/>
            <w:vMerge w:val="restart"/>
            <w:vAlign w:val="center"/>
          </w:tcPr>
          <w:p w14:paraId="569E89B0">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一般排放口</w:t>
            </w:r>
          </w:p>
        </w:tc>
      </w:tr>
      <w:tr w14:paraId="47E611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4" w:hRule="atLeast"/>
          <w:jc w:val="center"/>
        </w:trPr>
        <w:tc>
          <w:tcPr>
            <w:tcW w:w="975" w:type="dxa"/>
            <w:vMerge w:val="continue"/>
            <w:vAlign w:val="center"/>
          </w:tcPr>
          <w:p w14:paraId="274160CA">
            <w:pPr>
              <w:pStyle w:val="41"/>
            </w:pPr>
          </w:p>
        </w:tc>
        <w:tc>
          <w:tcPr>
            <w:tcW w:w="1486" w:type="dxa"/>
            <w:vAlign w:val="center"/>
          </w:tcPr>
          <w:p w14:paraId="5241C2D8">
            <w:pPr>
              <w:pStyle w:val="41"/>
              <w:rPr>
                <w:rFonts w:hint="eastAsia" w:ascii="Times New Roman" w:hAnsi="Times New Roman" w:eastAsia="宋体" w:cs="Times New Roman"/>
                <w:color w:val="auto"/>
                <w:u w:val="none"/>
                <w:lang w:val="en-US" w:eastAsia="zh-CN"/>
              </w:rPr>
            </w:pPr>
            <w:r>
              <w:rPr>
                <w:rFonts w:hint="default" w:ascii="Times New Roman" w:hAnsi="Times New Roman" w:cs="Times New Roman"/>
                <w:color w:val="auto"/>
                <w:u w:val="none"/>
              </w:rPr>
              <w:t>铬酸盐封闭</w:t>
            </w:r>
            <w:r>
              <w:rPr>
                <w:rFonts w:hint="eastAsia" w:cs="Times New Roman"/>
                <w:color w:val="auto"/>
                <w:u w:val="none"/>
                <w:lang w:val="en-US" w:eastAsia="zh-CN"/>
              </w:rPr>
              <w:t>2</w:t>
            </w:r>
          </w:p>
        </w:tc>
        <w:tc>
          <w:tcPr>
            <w:tcW w:w="1589" w:type="dxa"/>
            <w:vMerge w:val="continue"/>
            <w:vAlign w:val="center"/>
          </w:tcPr>
          <w:p w14:paraId="4606F8F8">
            <w:pPr>
              <w:pStyle w:val="41"/>
              <w:rPr>
                <w:rFonts w:hint="default" w:ascii="Times New Roman" w:hAnsi="Times New Roman" w:cs="Times New Roman"/>
                <w:color w:val="auto"/>
                <w:u w:val="none"/>
              </w:rPr>
            </w:pPr>
          </w:p>
        </w:tc>
        <w:tc>
          <w:tcPr>
            <w:tcW w:w="1830" w:type="dxa"/>
            <w:vMerge w:val="continue"/>
            <w:vAlign w:val="center"/>
          </w:tcPr>
          <w:p w14:paraId="3EAF6B2C">
            <w:pPr>
              <w:pStyle w:val="41"/>
              <w:rPr>
                <w:rFonts w:hint="default" w:ascii="Times New Roman" w:hAnsi="Times New Roman" w:cs="Times New Roman"/>
                <w:color w:val="auto"/>
                <w:u w:val="none"/>
              </w:rPr>
            </w:pPr>
          </w:p>
        </w:tc>
        <w:tc>
          <w:tcPr>
            <w:tcW w:w="1888" w:type="dxa"/>
            <w:vMerge w:val="continue"/>
            <w:vAlign w:val="center"/>
          </w:tcPr>
          <w:p w14:paraId="61E293CD">
            <w:pPr>
              <w:pStyle w:val="41"/>
              <w:rPr>
                <w:rFonts w:hint="default" w:ascii="Times New Roman" w:hAnsi="Times New Roman" w:cs="Times New Roman"/>
                <w:color w:val="auto"/>
                <w:u w:val="none"/>
              </w:rPr>
            </w:pPr>
          </w:p>
        </w:tc>
        <w:tc>
          <w:tcPr>
            <w:tcW w:w="1897" w:type="dxa"/>
            <w:vMerge w:val="continue"/>
            <w:vAlign w:val="center"/>
          </w:tcPr>
          <w:p w14:paraId="17687B69">
            <w:pPr>
              <w:pStyle w:val="41"/>
              <w:rPr>
                <w:rFonts w:hint="default" w:ascii="Times New Roman" w:hAnsi="Times New Roman" w:cs="Times New Roman"/>
                <w:color w:val="auto"/>
                <w:u w:val="none"/>
              </w:rPr>
            </w:pPr>
          </w:p>
        </w:tc>
        <w:tc>
          <w:tcPr>
            <w:tcW w:w="3773" w:type="dxa"/>
            <w:vMerge w:val="continue"/>
            <w:vAlign w:val="center"/>
          </w:tcPr>
          <w:p w14:paraId="19AA9EDD">
            <w:pPr>
              <w:pStyle w:val="41"/>
              <w:rPr>
                <w:rFonts w:hint="default" w:ascii="Times New Roman" w:hAnsi="Times New Roman" w:cs="Times New Roman"/>
                <w:color w:val="auto"/>
                <w:u w:val="none"/>
              </w:rPr>
            </w:pPr>
          </w:p>
        </w:tc>
        <w:tc>
          <w:tcPr>
            <w:tcW w:w="1302" w:type="dxa"/>
            <w:vMerge w:val="continue"/>
            <w:vAlign w:val="center"/>
          </w:tcPr>
          <w:p w14:paraId="73FCBF3F">
            <w:pPr>
              <w:pStyle w:val="41"/>
              <w:rPr>
                <w:rFonts w:hint="default" w:ascii="Times New Roman" w:hAnsi="Times New Roman" w:cs="Times New Roman"/>
                <w:color w:val="auto"/>
                <w:u w:val="none"/>
              </w:rPr>
            </w:pPr>
          </w:p>
        </w:tc>
      </w:tr>
      <w:tr w14:paraId="436523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975" w:type="dxa"/>
            <w:vMerge w:val="restart"/>
            <w:tcBorders>
              <w:top w:val="single" w:color="auto" w:sz="4" w:space="0"/>
            </w:tcBorders>
            <w:vAlign w:val="center"/>
          </w:tcPr>
          <w:p w14:paraId="39DC17D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w:t>
            </w:r>
          </w:p>
        </w:tc>
        <w:tc>
          <w:tcPr>
            <w:tcW w:w="1486" w:type="dxa"/>
            <w:vAlign w:val="center"/>
          </w:tcPr>
          <w:p w14:paraId="0DCAA62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生活污水</w:t>
            </w:r>
          </w:p>
        </w:tc>
        <w:tc>
          <w:tcPr>
            <w:tcW w:w="1589" w:type="dxa"/>
            <w:vAlign w:val="center"/>
          </w:tcPr>
          <w:p w14:paraId="33507AF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830" w:type="dxa"/>
            <w:vAlign w:val="center"/>
          </w:tcPr>
          <w:p w14:paraId="4AE5682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员工生活</w:t>
            </w:r>
          </w:p>
        </w:tc>
        <w:tc>
          <w:tcPr>
            <w:tcW w:w="1888" w:type="dxa"/>
            <w:vAlign w:val="center"/>
          </w:tcPr>
          <w:p w14:paraId="648F19E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COD、BOD</w:t>
            </w:r>
            <w:r>
              <w:rPr>
                <w:rFonts w:hint="default" w:ascii="Times New Roman" w:hAnsi="Times New Roman" w:cs="Times New Roman"/>
                <w:color w:val="auto"/>
                <w:kern w:val="2"/>
                <w:u w:val="none"/>
                <w:vertAlign w:val="subscript"/>
              </w:rPr>
              <w:t>5</w:t>
            </w:r>
            <w:r>
              <w:rPr>
                <w:rFonts w:hint="default" w:ascii="Times New Roman" w:hAnsi="Times New Roman" w:cs="Times New Roman"/>
                <w:color w:val="auto"/>
                <w:kern w:val="2"/>
                <w:u w:val="none"/>
              </w:rPr>
              <w:t>、氨氮、动植物油类、TP、SS</w:t>
            </w:r>
          </w:p>
        </w:tc>
        <w:tc>
          <w:tcPr>
            <w:tcW w:w="1897" w:type="dxa"/>
            <w:vAlign w:val="center"/>
          </w:tcPr>
          <w:p w14:paraId="3705240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市政污水管网</w:t>
            </w:r>
          </w:p>
        </w:tc>
        <w:tc>
          <w:tcPr>
            <w:tcW w:w="3773" w:type="dxa"/>
            <w:vAlign w:val="center"/>
          </w:tcPr>
          <w:p w14:paraId="3217E9C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化粪池</w:t>
            </w:r>
          </w:p>
        </w:tc>
        <w:tc>
          <w:tcPr>
            <w:tcW w:w="1302" w:type="dxa"/>
            <w:vAlign w:val="center"/>
          </w:tcPr>
          <w:p w14:paraId="159DED3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一般排放口</w:t>
            </w:r>
          </w:p>
        </w:tc>
      </w:tr>
      <w:tr w14:paraId="0E528D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975" w:type="dxa"/>
            <w:vMerge w:val="continue"/>
            <w:vAlign w:val="center"/>
          </w:tcPr>
          <w:p w14:paraId="2FF0C6D8">
            <w:pPr>
              <w:pStyle w:val="41"/>
              <w:widowControl w:val="0"/>
              <w:rPr>
                <w:rFonts w:hint="default" w:ascii="Times New Roman" w:hAnsi="Times New Roman" w:cs="Times New Roman"/>
                <w:color w:val="auto"/>
                <w:kern w:val="2"/>
                <w:u w:val="none"/>
              </w:rPr>
            </w:pPr>
          </w:p>
        </w:tc>
        <w:tc>
          <w:tcPr>
            <w:tcW w:w="1486" w:type="dxa"/>
            <w:vAlign w:val="center"/>
          </w:tcPr>
          <w:p w14:paraId="42D40CB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生产废水</w:t>
            </w:r>
          </w:p>
        </w:tc>
        <w:tc>
          <w:tcPr>
            <w:tcW w:w="1589" w:type="dxa"/>
            <w:vAlign w:val="center"/>
          </w:tcPr>
          <w:p w14:paraId="4A3A657F">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830" w:type="dxa"/>
            <w:vAlign w:val="center"/>
          </w:tcPr>
          <w:p w14:paraId="16C354F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生产</w:t>
            </w:r>
          </w:p>
        </w:tc>
        <w:tc>
          <w:tcPr>
            <w:tcW w:w="1888" w:type="dxa"/>
            <w:vAlign w:val="center"/>
          </w:tcPr>
          <w:p w14:paraId="2A4E091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COD、BOD</w:t>
            </w:r>
            <w:r>
              <w:rPr>
                <w:rFonts w:hint="default" w:ascii="Times New Roman" w:hAnsi="Times New Roman" w:cs="Times New Roman"/>
                <w:color w:val="auto"/>
                <w:kern w:val="2"/>
                <w:u w:val="none"/>
                <w:vertAlign w:val="subscript"/>
              </w:rPr>
              <w:t>5</w:t>
            </w:r>
            <w:r>
              <w:rPr>
                <w:rFonts w:hint="default" w:ascii="Times New Roman" w:hAnsi="Times New Roman" w:cs="Times New Roman"/>
                <w:color w:val="auto"/>
                <w:kern w:val="2"/>
                <w:u w:val="none"/>
              </w:rPr>
              <w:t>、氨氮、石油类、TP、SS</w:t>
            </w:r>
          </w:p>
        </w:tc>
        <w:tc>
          <w:tcPr>
            <w:tcW w:w="1897" w:type="dxa"/>
            <w:vAlign w:val="center"/>
          </w:tcPr>
          <w:p w14:paraId="5AB06EB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市政污水管网</w:t>
            </w:r>
          </w:p>
        </w:tc>
        <w:tc>
          <w:tcPr>
            <w:tcW w:w="3773" w:type="dxa"/>
            <w:vAlign w:val="center"/>
          </w:tcPr>
          <w:p w14:paraId="3BF7A730">
            <w:pPr>
              <w:pStyle w:val="41"/>
              <w:widowControl w:val="0"/>
              <w:rPr>
                <w:rFonts w:hint="default" w:ascii="Times New Roman" w:hAnsi="Times New Roman" w:eastAsia="宋体" w:cs="Times New Roman"/>
                <w:color w:val="auto"/>
                <w:kern w:val="2"/>
                <w:u w:val="none"/>
                <w:lang w:val="en-US" w:eastAsia="zh-CN"/>
              </w:rPr>
            </w:pPr>
            <w:r>
              <w:rPr>
                <w:rFonts w:hint="default" w:ascii="Times New Roman" w:hAnsi="Times New Roman" w:cs="Times New Roman"/>
                <w:color w:val="auto"/>
                <w:kern w:val="2"/>
                <w:u w:val="none"/>
              </w:rPr>
              <w:t>含镍（铬）废水：中和预处理后接入多级膜系统浓缩与纯化，水进行回用，浓缩液至高浓度含镍废水池再处理含镍（铬）废液：沉淀处理，处理后水接入蒸发结晶系统实现含镍废水零排放含磷废水：采用蒸发浓缩工艺，冷凝水至化抛后道水洗槽，浓缩液委外含油废水</w:t>
            </w:r>
            <w:r>
              <w:rPr>
                <w:rFonts w:hint="eastAsia" w:cs="Times New Roman"/>
                <w:color w:val="auto"/>
                <w:kern w:val="2"/>
                <w:u w:val="none"/>
                <w:lang w:eastAsia="zh-CN"/>
              </w:rPr>
              <w:t>；</w:t>
            </w:r>
            <w:r>
              <w:rPr>
                <w:rFonts w:hint="default" w:ascii="Times New Roman" w:hAnsi="Times New Roman" w:cs="Times New Roman"/>
                <w:color w:val="auto"/>
                <w:kern w:val="2"/>
                <w:u w:val="none"/>
              </w:rPr>
              <w:t>碱废液：中和后，进入</w:t>
            </w:r>
            <w:r>
              <w:rPr>
                <w:rFonts w:hint="default" w:ascii="Times New Roman" w:hAnsi="Times New Roman" w:cs="Times New Roman"/>
                <w:color w:val="auto"/>
                <w:u w:val="none"/>
              </w:rPr>
              <w:t>综合废水</w:t>
            </w:r>
            <w:r>
              <w:rPr>
                <w:rFonts w:hint="default" w:ascii="Times New Roman" w:hAnsi="Times New Roman" w:cs="Times New Roman"/>
                <w:color w:val="auto"/>
                <w:kern w:val="2"/>
                <w:u w:val="none"/>
              </w:rPr>
              <w:t>处理系统（化学沉淀预处理后接入生化系统达标排放）</w:t>
            </w:r>
            <w:r>
              <w:rPr>
                <w:rFonts w:hint="eastAsia" w:cs="Times New Roman"/>
                <w:color w:val="auto"/>
                <w:kern w:val="2"/>
                <w:u w:val="none"/>
                <w:lang w:eastAsia="zh-CN"/>
              </w:rPr>
              <w:t>；</w:t>
            </w:r>
            <w:r>
              <w:rPr>
                <w:rFonts w:hint="default" w:ascii="Times New Roman" w:hAnsi="Times New Roman" w:cs="Times New Roman"/>
                <w:color w:val="auto"/>
                <w:u w:val="none"/>
              </w:rPr>
              <w:t>综合废水</w:t>
            </w:r>
            <w:r>
              <w:rPr>
                <w:rFonts w:hint="default" w:ascii="Times New Roman" w:hAnsi="Times New Roman" w:cs="Times New Roman"/>
                <w:color w:val="auto"/>
                <w:kern w:val="2"/>
                <w:u w:val="none"/>
              </w:rPr>
              <w:t>：化学沉淀预处理后</w:t>
            </w:r>
            <w:r>
              <w:rPr>
                <w:rFonts w:hint="eastAsia" w:cs="Times New Roman"/>
                <w:color w:val="auto"/>
                <w:kern w:val="2"/>
                <w:u w:val="none"/>
                <w:lang w:val="en-US" w:eastAsia="zh-CN"/>
              </w:rPr>
              <w:t>进入污水处理站</w:t>
            </w:r>
          </w:p>
        </w:tc>
        <w:tc>
          <w:tcPr>
            <w:tcW w:w="1302" w:type="dxa"/>
            <w:vAlign w:val="center"/>
          </w:tcPr>
          <w:p w14:paraId="4996811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一般排放口</w:t>
            </w:r>
          </w:p>
        </w:tc>
      </w:tr>
      <w:tr w14:paraId="30219A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94" w:hRule="atLeast"/>
          <w:jc w:val="center"/>
        </w:trPr>
        <w:tc>
          <w:tcPr>
            <w:tcW w:w="975" w:type="dxa"/>
            <w:vAlign w:val="center"/>
          </w:tcPr>
          <w:p w14:paraId="0E3597E3">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一般工业固体废物</w:t>
            </w:r>
          </w:p>
        </w:tc>
        <w:tc>
          <w:tcPr>
            <w:tcW w:w="1486" w:type="dxa"/>
            <w:vAlign w:val="center"/>
          </w:tcPr>
          <w:p w14:paraId="076168D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纯水制备</w:t>
            </w:r>
          </w:p>
        </w:tc>
        <w:tc>
          <w:tcPr>
            <w:tcW w:w="1589" w:type="dxa"/>
            <w:vAlign w:val="center"/>
          </w:tcPr>
          <w:p w14:paraId="0A2A6AD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制纯水工序</w:t>
            </w:r>
          </w:p>
        </w:tc>
        <w:tc>
          <w:tcPr>
            <w:tcW w:w="1830" w:type="dxa"/>
            <w:vAlign w:val="center"/>
          </w:tcPr>
          <w:p w14:paraId="519F982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制纯水工序</w:t>
            </w:r>
          </w:p>
        </w:tc>
        <w:tc>
          <w:tcPr>
            <w:tcW w:w="1888" w:type="dxa"/>
            <w:vAlign w:val="center"/>
          </w:tcPr>
          <w:p w14:paraId="577C03AC">
            <w:pPr>
              <w:pStyle w:val="41"/>
              <w:rPr>
                <w:rFonts w:hint="default" w:ascii="Times New Roman" w:hAnsi="Times New Roman" w:cs="Times New Roman"/>
                <w:color w:val="auto"/>
                <w:u w:val="none"/>
              </w:rPr>
            </w:pPr>
            <w:r>
              <w:rPr>
                <w:rFonts w:hint="default" w:ascii="Times New Roman" w:hAnsi="Times New Roman" w:cs="Times New Roman"/>
                <w:color w:val="auto"/>
                <w:u w:val="none"/>
              </w:rPr>
              <w:t>废活性炭及废RO反渗透膜</w:t>
            </w:r>
          </w:p>
        </w:tc>
        <w:tc>
          <w:tcPr>
            <w:tcW w:w="1897" w:type="dxa"/>
            <w:vAlign w:val="center"/>
          </w:tcPr>
          <w:p w14:paraId="0EFB4C2C">
            <w:pPr>
              <w:pStyle w:val="41"/>
              <w:rPr>
                <w:rFonts w:hint="default" w:ascii="Times New Roman" w:hAnsi="Times New Roman" w:cs="Times New Roman"/>
                <w:color w:val="auto"/>
                <w:u w:val="none"/>
              </w:rPr>
            </w:pPr>
            <w:r>
              <w:rPr>
                <w:rFonts w:hint="default" w:ascii="Times New Roman" w:hAnsi="Times New Roman" w:cs="Times New Roman"/>
                <w:color w:val="auto"/>
                <w:kern w:val="2"/>
                <w:u w:val="none"/>
              </w:rPr>
              <w:t>外售</w:t>
            </w:r>
          </w:p>
        </w:tc>
        <w:tc>
          <w:tcPr>
            <w:tcW w:w="3773" w:type="dxa"/>
            <w:vAlign w:val="center"/>
          </w:tcPr>
          <w:p w14:paraId="60293655">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一般工业固废暂存间，外售综合利用</w:t>
            </w:r>
          </w:p>
        </w:tc>
        <w:tc>
          <w:tcPr>
            <w:tcW w:w="1302" w:type="dxa"/>
            <w:vAlign w:val="center"/>
          </w:tcPr>
          <w:p w14:paraId="0D7CEE2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r>
      <w:tr w14:paraId="0BFA2E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975" w:type="dxa"/>
            <w:vMerge w:val="restart"/>
            <w:vAlign w:val="center"/>
          </w:tcPr>
          <w:p w14:paraId="3EA6A893">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w:t>
            </w:r>
          </w:p>
        </w:tc>
        <w:tc>
          <w:tcPr>
            <w:tcW w:w="1486" w:type="dxa"/>
            <w:vAlign w:val="center"/>
          </w:tcPr>
          <w:p w14:paraId="30ECEFAB">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危险化学品使用过程</w:t>
            </w:r>
          </w:p>
        </w:tc>
        <w:tc>
          <w:tcPr>
            <w:tcW w:w="1589" w:type="dxa"/>
            <w:vAlign w:val="center"/>
          </w:tcPr>
          <w:p w14:paraId="0A2171C4">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830" w:type="dxa"/>
            <w:vAlign w:val="center"/>
          </w:tcPr>
          <w:p w14:paraId="12E2933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险化学品使用过程</w:t>
            </w:r>
          </w:p>
        </w:tc>
        <w:tc>
          <w:tcPr>
            <w:tcW w:w="1888" w:type="dxa"/>
            <w:vAlign w:val="center"/>
          </w:tcPr>
          <w:p w14:paraId="4CEED68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危险化学品废包装</w:t>
            </w:r>
          </w:p>
        </w:tc>
        <w:tc>
          <w:tcPr>
            <w:tcW w:w="1897" w:type="dxa"/>
            <w:vAlign w:val="center"/>
          </w:tcPr>
          <w:p w14:paraId="2501752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3985DDD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47322205">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17F02E3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258" w:hRule="atLeast"/>
          <w:jc w:val="center"/>
        </w:trPr>
        <w:tc>
          <w:tcPr>
            <w:tcW w:w="975" w:type="dxa"/>
            <w:vMerge w:val="continue"/>
            <w:vAlign w:val="center"/>
          </w:tcPr>
          <w:p w14:paraId="4FF77C99">
            <w:pPr>
              <w:pStyle w:val="41"/>
              <w:widowControl w:val="0"/>
              <w:rPr>
                <w:rFonts w:hint="default" w:ascii="Times New Roman" w:hAnsi="Times New Roman" w:cs="Times New Roman"/>
                <w:color w:val="auto"/>
                <w:kern w:val="2"/>
                <w:u w:val="none"/>
              </w:rPr>
            </w:pPr>
          </w:p>
        </w:tc>
        <w:tc>
          <w:tcPr>
            <w:tcW w:w="1486" w:type="dxa"/>
            <w:vAlign w:val="center"/>
          </w:tcPr>
          <w:p w14:paraId="14F3FB83">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阳极氧化线</w:t>
            </w:r>
          </w:p>
        </w:tc>
        <w:tc>
          <w:tcPr>
            <w:tcW w:w="1589" w:type="dxa"/>
            <w:vAlign w:val="center"/>
          </w:tcPr>
          <w:p w14:paraId="113B8626">
            <w:pPr>
              <w:pStyle w:val="41"/>
              <w:widowControl w:val="0"/>
              <w:rPr>
                <w:rFonts w:hint="default" w:ascii="Times New Roman" w:hAnsi="Times New Roman" w:eastAsia="宋体" w:cs="Times New Roman"/>
                <w:color w:val="auto"/>
                <w:kern w:val="2"/>
                <w:u w:val="none"/>
                <w:lang w:val="en-US" w:eastAsia="zh-CN"/>
              </w:rPr>
            </w:pPr>
            <w:r>
              <w:rPr>
                <w:rFonts w:hint="eastAsia" w:cs="Times New Roman"/>
                <w:color w:val="auto"/>
                <w:kern w:val="2"/>
                <w:u w:val="none"/>
                <w:lang w:val="en-US" w:eastAsia="zh-CN"/>
              </w:rPr>
              <w:t>氧化工序</w:t>
            </w:r>
          </w:p>
        </w:tc>
        <w:tc>
          <w:tcPr>
            <w:tcW w:w="1830" w:type="dxa"/>
            <w:vAlign w:val="center"/>
          </w:tcPr>
          <w:p w14:paraId="4219E440">
            <w:pPr>
              <w:pStyle w:val="41"/>
              <w:widowControl w:val="0"/>
              <w:rPr>
                <w:rFonts w:hint="default" w:ascii="Times New Roman" w:hAnsi="Times New Roman" w:cs="Times New Roman"/>
                <w:color w:val="auto"/>
                <w:kern w:val="2"/>
                <w:u w:val="none"/>
              </w:rPr>
            </w:pPr>
            <w:r>
              <w:rPr>
                <w:rFonts w:hint="eastAsia" w:cs="Times New Roman"/>
                <w:color w:val="auto"/>
                <w:kern w:val="2"/>
                <w:u w:val="none"/>
                <w:lang w:val="en-US" w:eastAsia="zh-CN"/>
              </w:rPr>
              <w:t>氧化工序</w:t>
            </w:r>
          </w:p>
        </w:tc>
        <w:tc>
          <w:tcPr>
            <w:tcW w:w="1888" w:type="dxa"/>
            <w:vAlign w:val="center"/>
          </w:tcPr>
          <w:p w14:paraId="1CC47D15">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废槽渣</w:t>
            </w:r>
          </w:p>
        </w:tc>
        <w:tc>
          <w:tcPr>
            <w:tcW w:w="1897" w:type="dxa"/>
            <w:vAlign w:val="center"/>
          </w:tcPr>
          <w:p w14:paraId="2503EBB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6513981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0ACA4F83">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266AB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75" w:type="dxa"/>
            <w:vMerge w:val="continue"/>
            <w:vAlign w:val="center"/>
          </w:tcPr>
          <w:p w14:paraId="6ED553B0">
            <w:pPr>
              <w:pStyle w:val="41"/>
              <w:widowControl w:val="0"/>
              <w:rPr>
                <w:rFonts w:hint="default" w:ascii="Times New Roman" w:hAnsi="Times New Roman" w:cs="Times New Roman"/>
                <w:color w:val="auto"/>
                <w:kern w:val="2"/>
                <w:u w:val="none"/>
              </w:rPr>
            </w:pPr>
          </w:p>
        </w:tc>
        <w:tc>
          <w:tcPr>
            <w:tcW w:w="1486" w:type="dxa"/>
            <w:vAlign w:val="center"/>
          </w:tcPr>
          <w:p w14:paraId="6D31B200">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含磷废水处理系统</w:t>
            </w:r>
          </w:p>
        </w:tc>
        <w:tc>
          <w:tcPr>
            <w:tcW w:w="1589" w:type="dxa"/>
            <w:vAlign w:val="center"/>
          </w:tcPr>
          <w:p w14:paraId="55F785D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w:t>
            </w:r>
          </w:p>
        </w:tc>
        <w:tc>
          <w:tcPr>
            <w:tcW w:w="1830" w:type="dxa"/>
            <w:vAlign w:val="center"/>
          </w:tcPr>
          <w:p w14:paraId="7061605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废水处理站</w:t>
            </w:r>
          </w:p>
        </w:tc>
        <w:tc>
          <w:tcPr>
            <w:tcW w:w="1888" w:type="dxa"/>
            <w:vAlign w:val="center"/>
          </w:tcPr>
          <w:p w14:paraId="50299736">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含磷废水处理系统浓缩液</w:t>
            </w:r>
          </w:p>
        </w:tc>
        <w:tc>
          <w:tcPr>
            <w:tcW w:w="1897" w:type="dxa"/>
            <w:vAlign w:val="center"/>
          </w:tcPr>
          <w:p w14:paraId="330B205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6D6B861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0B5B5C0B">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3D6E867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975" w:type="dxa"/>
            <w:vMerge w:val="continue"/>
            <w:vAlign w:val="center"/>
          </w:tcPr>
          <w:p w14:paraId="42BCBE74">
            <w:pPr>
              <w:pStyle w:val="41"/>
              <w:widowControl w:val="0"/>
              <w:rPr>
                <w:rFonts w:hint="default" w:ascii="Times New Roman" w:hAnsi="Times New Roman" w:cs="Times New Roman"/>
                <w:color w:val="auto"/>
                <w:kern w:val="2"/>
                <w:u w:val="none"/>
              </w:rPr>
            </w:pPr>
          </w:p>
        </w:tc>
        <w:tc>
          <w:tcPr>
            <w:tcW w:w="1486" w:type="dxa"/>
            <w:vAlign w:val="center"/>
          </w:tcPr>
          <w:p w14:paraId="0CB3FC4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重金属废水处理系统</w:t>
            </w:r>
          </w:p>
        </w:tc>
        <w:tc>
          <w:tcPr>
            <w:tcW w:w="1589" w:type="dxa"/>
            <w:vAlign w:val="center"/>
          </w:tcPr>
          <w:p w14:paraId="1F6D73B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w:t>
            </w:r>
          </w:p>
        </w:tc>
        <w:tc>
          <w:tcPr>
            <w:tcW w:w="1830" w:type="dxa"/>
            <w:vAlign w:val="center"/>
          </w:tcPr>
          <w:p w14:paraId="1E4C939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废水处理站</w:t>
            </w:r>
          </w:p>
        </w:tc>
        <w:tc>
          <w:tcPr>
            <w:tcW w:w="1888" w:type="dxa"/>
            <w:vAlign w:val="center"/>
          </w:tcPr>
          <w:p w14:paraId="6CF6847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含镍、含铬废水处理系统污泥</w:t>
            </w:r>
          </w:p>
        </w:tc>
        <w:tc>
          <w:tcPr>
            <w:tcW w:w="1897" w:type="dxa"/>
            <w:vAlign w:val="center"/>
          </w:tcPr>
          <w:p w14:paraId="4912731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72C19AA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2C914F14">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542196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9" w:hRule="atLeast"/>
          <w:jc w:val="center"/>
        </w:trPr>
        <w:tc>
          <w:tcPr>
            <w:tcW w:w="975" w:type="dxa"/>
            <w:vMerge w:val="continue"/>
            <w:vAlign w:val="center"/>
          </w:tcPr>
          <w:p w14:paraId="1C537982">
            <w:pPr>
              <w:pStyle w:val="41"/>
              <w:widowControl w:val="0"/>
              <w:rPr>
                <w:rFonts w:hint="default" w:ascii="Times New Roman" w:hAnsi="Times New Roman" w:cs="Times New Roman"/>
                <w:color w:val="auto"/>
                <w:kern w:val="2"/>
                <w:u w:val="none"/>
              </w:rPr>
            </w:pPr>
          </w:p>
        </w:tc>
        <w:tc>
          <w:tcPr>
            <w:tcW w:w="1486" w:type="dxa"/>
            <w:vAlign w:val="center"/>
          </w:tcPr>
          <w:p w14:paraId="3672269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重金属废水处理系统</w:t>
            </w:r>
          </w:p>
        </w:tc>
        <w:tc>
          <w:tcPr>
            <w:tcW w:w="1589" w:type="dxa"/>
            <w:vAlign w:val="center"/>
          </w:tcPr>
          <w:p w14:paraId="7F935B6E">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w:t>
            </w:r>
          </w:p>
        </w:tc>
        <w:tc>
          <w:tcPr>
            <w:tcW w:w="1830" w:type="dxa"/>
            <w:vAlign w:val="center"/>
          </w:tcPr>
          <w:p w14:paraId="0D6C89D9">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废水处理站</w:t>
            </w:r>
          </w:p>
        </w:tc>
        <w:tc>
          <w:tcPr>
            <w:tcW w:w="1888" w:type="dxa"/>
            <w:vAlign w:val="center"/>
          </w:tcPr>
          <w:p w14:paraId="7E2D19A3">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含镍、含铬结晶盐</w:t>
            </w:r>
          </w:p>
        </w:tc>
        <w:tc>
          <w:tcPr>
            <w:tcW w:w="1897" w:type="dxa"/>
            <w:vAlign w:val="center"/>
          </w:tcPr>
          <w:p w14:paraId="42C2570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175D681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5BE64718">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598D4C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84" w:hRule="atLeast"/>
          <w:jc w:val="center"/>
        </w:trPr>
        <w:tc>
          <w:tcPr>
            <w:tcW w:w="975" w:type="dxa"/>
            <w:vMerge w:val="continue"/>
            <w:vAlign w:val="center"/>
          </w:tcPr>
          <w:p w14:paraId="6F3DA095">
            <w:pPr>
              <w:pStyle w:val="41"/>
              <w:widowControl w:val="0"/>
              <w:rPr>
                <w:rFonts w:hint="default" w:ascii="Times New Roman" w:hAnsi="Times New Roman" w:cs="Times New Roman"/>
                <w:color w:val="auto"/>
                <w:kern w:val="2"/>
                <w:u w:val="none"/>
              </w:rPr>
            </w:pPr>
          </w:p>
        </w:tc>
        <w:tc>
          <w:tcPr>
            <w:tcW w:w="1486" w:type="dxa"/>
            <w:vAlign w:val="center"/>
          </w:tcPr>
          <w:p w14:paraId="16979CB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中水回用和废水处理</w:t>
            </w:r>
            <w:r>
              <w:rPr>
                <w:rFonts w:hint="default" w:ascii="Times New Roman" w:hAnsi="Times New Roman" w:cs="Times New Roman"/>
                <w:color w:val="auto"/>
                <w:kern w:val="2"/>
                <w:u w:val="none"/>
              </w:rPr>
              <w:t>系统</w:t>
            </w:r>
          </w:p>
        </w:tc>
        <w:tc>
          <w:tcPr>
            <w:tcW w:w="1589" w:type="dxa"/>
            <w:vAlign w:val="center"/>
          </w:tcPr>
          <w:p w14:paraId="7575DABD">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中水回用和废水处理</w:t>
            </w:r>
            <w:r>
              <w:rPr>
                <w:rFonts w:hint="default" w:ascii="Times New Roman" w:hAnsi="Times New Roman" w:cs="Times New Roman"/>
                <w:color w:val="auto"/>
                <w:kern w:val="2"/>
                <w:u w:val="none"/>
              </w:rPr>
              <w:t>系统</w:t>
            </w:r>
          </w:p>
        </w:tc>
        <w:tc>
          <w:tcPr>
            <w:tcW w:w="1830" w:type="dxa"/>
            <w:vAlign w:val="center"/>
          </w:tcPr>
          <w:p w14:paraId="54816A27">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u w:val="none"/>
              </w:rPr>
              <w:t>中水回用和废水处理</w:t>
            </w:r>
            <w:r>
              <w:rPr>
                <w:rFonts w:hint="default" w:ascii="Times New Roman" w:hAnsi="Times New Roman" w:cs="Times New Roman"/>
                <w:color w:val="auto"/>
                <w:kern w:val="2"/>
                <w:u w:val="none"/>
              </w:rPr>
              <w:t>系统</w:t>
            </w:r>
          </w:p>
        </w:tc>
        <w:tc>
          <w:tcPr>
            <w:tcW w:w="1888" w:type="dxa"/>
            <w:vAlign w:val="center"/>
          </w:tcPr>
          <w:p w14:paraId="3FC8662C">
            <w:pPr>
              <w:pStyle w:val="41"/>
              <w:rPr>
                <w:rFonts w:hint="default" w:ascii="Times New Roman" w:hAnsi="Times New Roman" w:cs="Times New Roman"/>
                <w:color w:val="auto"/>
                <w:u w:val="none"/>
              </w:rPr>
            </w:pPr>
            <w:r>
              <w:rPr>
                <w:rFonts w:hint="default" w:ascii="Times New Roman" w:hAnsi="Times New Roman" w:cs="Times New Roman"/>
                <w:color w:val="auto"/>
                <w:u w:val="none"/>
              </w:rPr>
              <w:t>废RO反渗透膜</w:t>
            </w:r>
          </w:p>
        </w:tc>
        <w:tc>
          <w:tcPr>
            <w:tcW w:w="1897" w:type="dxa"/>
            <w:vAlign w:val="center"/>
          </w:tcPr>
          <w:p w14:paraId="3A51ABF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1FBA9D06">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065D155C">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2BA97E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975" w:type="dxa"/>
            <w:vMerge w:val="continue"/>
            <w:vAlign w:val="center"/>
          </w:tcPr>
          <w:p w14:paraId="7C32F26A">
            <w:pPr>
              <w:pStyle w:val="41"/>
              <w:widowControl w:val="0"/>
              <w:rPr>
                <w:rFonts w:hint="default" w:ascii="Times New Roman" w:hAnsi="Times New Roman" w:cs="Times New Roman"/>
                <w:color w:val="auto"/>
                <w:kern w:val="2"/>
                <w:u w:val="none"/>
              </w:rPr>
            </w:pPr>
          </w:p>
        </w:tc>
        <w:tc>
          <w:tcPr>
            <w:tcW w:w="1486" w:type="dxa"/>
            <w:vAlign w:val="center"/>
          </w:tcPr>
          <w:p w14:paraId="7A807AB9">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设备定期保养过程</w:t>
            </w:r>
          </w:p>
        </w:tc>
        <w:tc>
          <w:tcPr>
            <w:tcW w:w="1589" w:type="dxa"/>
            <w:vAlign w:val="center"/>
          </w:tcPr>
          <w:p w14:paraId="303661B4">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设备定期保养过程</w:t>
            </w:r>
          </w:p>
        </w:tc>
        <w:tc>
          <w:tcPr>
            <w:tcW w:w="1830" w:type="dxa"/>
            <w:vAlign w:val="center"/>
          </w:tcPr>
          <w:p w14:paraId="3C1BBB32">
            <w:pPr>
              <w:pStyle w:val="41"/>
              <w:widowControl w:val="0"/>
              <w:rPr>
                <w:rFonts w:hint="default" w:ascii="Times New Roman" w:hAnsi="Times New Roman" w:cs="Times New Roman"/>
                <w:color w:val="auto"/>
                <w:u w:val="none"/>
              </w:rPr>
            </w:pPr>
            <w:r>
              <w:rPr>
                <w:rFonts w:hint="default" w:ascii="Times New Roman" w:hAnsi="Times New Roman" w:cs="Times New Roman"/>
                <w:color w:val="auto"/>
                <w:u w:val="none"/>
              </w:rPr>
              <w:t>设备定期保养过程</w:t>
            </w:r>
          </w:p>
        </w:tc>
        <w:tc>
          <w:tcPr>
            <w:tcW w:w="1888" w:type="dxa"/>
            <w:vAlign w:val="center"/>
          </w:tcPr>
          <w:p w14:paraId="6B765587">
            <w:pPr>
              <w:pStyle w:val="41"/>
              <w:rPr>
                <w:rFonts w:hint="default" w:ascii="Times New Roman" w:hAnsi="Times New Roman" w:cs="Times New Roman"/>
                <w:color w:val="auto"/>
                <w:u w:val="none"/>
              </w:rPr>
            </w:pPr>
            <w:r>
              <w:rPr>
                <w:rFonts w:hint="default" w:ascii="Times New Roman" w:hAnsi="Times New Roman" w:cs="Times New Roman"/>
                <w:color w:val="auto"/>
                <w:u w:val="none"/>
              </w:rPr>
              <w:t>废机油</w:t>
            </w:r>
          </w:p>
        </w:tc>
        <w:tc>
          <w:tcPr>
            <w:tcW w:w="1897" w:type="dxa"/>
            <w:vAlign w:val="center"/>
          </w:tcPr>
          <w:p w14:paraId="0372366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交由有资质单位处理</w:t>
            </w:r>
          </w:p>
        </w:tc>
        <w:tc>
          <w:tcPr>
            <w:tcW w:w="3773" w:type="dxa"/>
            <w:vAlign w:val="center"/>
          </w:tcPr>
          <w:p w14:paraId="5AC54C51">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危险废物暂存间，交由有资质单位处理</w:t>
            </w:r>
          </w:p>
        </w:tc>
        <w:tc>
          <w:tcPr>
            <w:tcW w:w="1302" w:type="dxa"/>
            <w:vAlign w:val="center"/>
          </w:tcPr>
          <w:p w14:paraId="1F0A00A3">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r w14:paraId="728CC6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975" w:type="dxa"/>
            <w:vAlign w:val="center"/>
          </w:tcPr>
          <w:p w14:paraId="43363D4A">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生活垃圾</w:t>
            </w:r>
          </w:p>
        </w:tc>
        <w:tc>
          <w:tcPr>
            <w:tcW w:w="1486" w:type="dxa"/>
            <w:vAlign w:val="center"/>
          </w:tcPr>
          <w:p w14:paraId="5F41F0D2">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生活</w:t>
            </w:r>
          </w:p>
        </w:tc>
        <w:tc>
          <w:tcPr>
            <w:tcW w:w="1589" w:type="dxa"/>
            <w:vAlign w:val="center"/>
          </w:tcPr>
          <w:p w14:paraId="7EB3460B">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w:t>
            </w:r>
          </w:p>
        </w:tc>
        <w:tc>
          <w:tcPr>
            <w:tcW w:w="1830" w:type="dxa"/>
            <w:vAlign w:val="center"/>
          </w:tcPr>
          <w:p w14:paraId="62FAE08C">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生活</w:t>
            </w:r>
          </w:p>
        </w:tc>
        <w:tc>
          <w:tcPr>
            <w:tcW w:w="1888" w:type="dxa"/>
            <w:vAlign w:val="center"/>
          </w:tcPr>
          <w:p w14:paraId="70923580">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生活垃圾</w:t>
            </w:r>
          </w:p>
        </w:tc>
        <w:tc>
          <w:tcPr>
            <w:tcW w:w="1897" w:type="dxa"/>
            <w:vAlign w:val="center"/>
          </w:tcPr>
          <w:p w14:paraId="1BF8DF78">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环卫部门</w:t>
            </w:r>
          </w:p>
        </w:tc>
        <w:tc>
          <w:tcPr>
            <w:tcW w:w="3773" w:type="dxa"/>
            <w:vAlign w:val="center"/>
          </w:tcPr>
          <w:p w14:paraId="12F2BF45">
            <w:pPr>
              <w:pStyle w:val="41"/>
              <w:widowControl w:val="0"/>
              <w:rPr>
                <w:rFonts w:hint="default" w:ascii="Times New Roman" w:hAnsi="Times New Roman" w:cs="Times New Roman"/>
                <w:color w:val="auto"/>
                <w:kern w:val="2"/>
                <w:u w:val="none"/>
              </w:rPr>
            </w:pPr>
            <w:r>
              <w:rPr>
                <w:rFonts w:hint="default" w:ascii="Times New Roman" w:hAnsi="Times New Roman" w:cs="Times New Roman"/>
                <w:color w:val="auto"/>
                <w:kern w:val="2"/>
                <w:u w:val="none"/>
              </w:rPr>
              <w:t>环卫部门统一处理</w:t>
            </w:r>
          </w:p>
        </w:tc>
        <w:tc>
          <w:tcPr>
            <w:tcW w:w="1302" w:type="dxa"/>
            <w:vAlign w:val="center"/>
          </w:tcPr>
          <w:p w14:paraId="3B509B61">
            <w:pPr>
              <w:pStyle w:val="41"/>
              <w:rPr>
                <w:rFonts w:hint="default" w:ascii="Times New Roman" w:hAnsi="Times New Roman" w:cs="Times New Roman"/>
                <w:color w:val="auto"/>
                <w:u w:val="none"/>
              </w:rPr>
            </w:pPr>
            <w:r>
              <w:rPr>
                <w:rFonts w:hint="default" w:ascii="Times New Roman" w:hAnsi="Times New Roman" w:cs="Times New Roman"/>
                <w:color w:val="auto"/>
                <w:u w:val="none"/>
              </w:rPr>
              <w:t>/</w:t>
            </w:r>
          </w:p>
        </w:tc>
      </w:tr>
    </w:tbl>
    <w:p w14:paraId="62BA2402">
      <w:pPr>
        <w:ind w:firstLine="480"/>
        <w:rPr>
          <w:rFonts w:hint="default" w:ascii="Times New Roman" w:hAnsi="Times New Roman" w:cs="Times New Roman"/>
          <w:color w:val="auto"/>
          <w:u w:val="none"/>
        </w:rPr>
        <w:sectPr>
          <w:pgSz w:w="16838" w:h="11906" w:orient="landscape"/>
          <w:pgMar w:top="1701" w:right="1440" w:bottom="1701" w:left="1440" w:header="851" w:footer="992" w:gutter="0"/>
          <w:pgBorders>
            <w:top w:val="none" w:sz="0" w:space="0"/>
            <w:left w:val="none" w:sz="0" w:space="0"/>
            <w:bottom w:val="none" w:sz="0" w:space="0"/>
            <w:right w:val="none" w:sz="0" w:space="0"/>
          </w:pgBorders>
          <w:pgNumType w:fmt="decimal"/>
          <w:cols w:space="0" w:num="1"/>
          <w:docGrid w:type="lines" w:linePitch="332" w:charSpace="0"/>
        </w:sectPr>
      </w:pPr>
    </w:p>
    <w:p w14:paraId="10608254">
      <w:pPr>
        <w:pStyle w:val="2"/>
        <w:ind w:left="0" w:leftChars="0" w:firstLineChars="0"/>
        <w:rPr>
          <w:rFonts w:hint="default" w:ascii="Times New Roman" w:hAnsi="Times New Roman" w:cs="Times New Roman"/>
          <w:color w:val="auto"/>
          <w:u w:val="none"/>
        </w:rPr>
      </w:pPr>
      <w:bookmarkStart w:id="238" w:name="_Toc3196"/>
      <w:r>
        <w:rPr>
          <w:rFonts w:hint="default" w:ascii="Times New Roman" w:hAnsi="Times New Roman" w:cs="Times New Roman"/>
          <w:color w:val="auto"/>
          <w:u w:val="none"/>
        </w:rPr>
        <w:t>结论与建议</w:t>
      </w:r>
      <w:bookmarkEnd w:id="205"/>
      <w:bookmarkEnd w:id="206"/>
      <w:bookmarkEnd w:id="238"/>
    </w:p>
    <w:p w14:paraId="72209E72">
      <w:pPr>
        <w:pStyle w:val="4"/>
        <w:ind w:left="0" w:leftChars="0" w:firstLineChars="0"/>
        <w:rPr>
          <w:rFonts w:hint="default" w:ascii="Times New Roman" w:hAnsi="Times New Roman" w:cs="Times New Roman"/>
          <w:color w:val="auto"/>
          <w:u w:val="none"/>
        </w:rPr>
      </w:pPr>
      <w:bookmarkStart w:id="239" w:name="_Toc8195"/>
      <w:bookmarkStart w:id="240" w:name="_Toc30716"/>
      <w:bookmarkStart w:id="241" w:name="_Toc336"/>
      <w:r>
        <w:rPr>
          <w:rFonts w:hint="default" w:ascii="Times New Roman" w:hAnsi="Times New Roman" w:cs="Times New Roman"/>
          <w:color w:val="auto"/>
          <w:u w:val="none"/>
        </w:rPr>
        <w:t>结论</w:t>
      </w:r>
      <w:bookmarkEnd w:id="239"/>
      <w:bookmarkEnd w:id="240"/>
      <w:bookmarkEnd w:id="241"/>
    </w:p>
    <w:p w14:paraId="1D09D306">
      <w:pPr>
        <w:pStyle w:val="5"/>
        <w:rPr>
          <w:rFonts w:hint="default" w:ascii="Times New Roman" w:hAnsi="Times New Roman" w:cs="Times New Roman"/>
          <w:color w:val="auto"/>
          <w:u w:val="none"/>
        </w:rPr>
      </w:pPr>
      <w:bookmarkStart w:id="242" w:name="_Toc14458"/>
      <w:r>
        <w:rPr>
          <w:rFonts w:hint="default" w:ascii="Times New Roman" w:hAnsi="Times New Roman" w:cs="Times New Roman"/>
          <w:color w:val="auto"/>
          <w:u w:val="none"/>
        </w:rPr>
        <w:t>项目概况</w:t>
      </w:r>
      <w:bookmarkEnd w:id="242"/>
    </w:p>
    <w:p w14:paraId="2E74B68B">
      <w:pPr>
        <w:ind w:firstLine="480"/>
        <w:rPr>
          <w:rFonts w:hint="default" w:ascii="Times New Roman" w:hAnsi="Times New Roman" w:cs="Times New Roman"/>
          <w:color w:val="auto"/>
          <w:u w:val="none"/>
        </w:rPr>
      </w:pPr>
      <w:r>
        <w:rPr>
          <w:rFonts w:hint="eastAsia" w:ascii="Times New Roman" w:hAnsi="Times New Roman" w:eastAsia="宋体" w:cs="Times New Roman"/>
          <w:color w:val="auto"/>
          <w:u w:val="none"/>
          <w:lang w:eastAsia="zh-CN"/>
        </w:rPr>
        <w:t>湖南中达精密制造有限公司</w:t>
      </w:r>
      <w:r>
        <w:rPr>
          <w:rFonts w:hint="default" w:ascii="Times New Roman" w:hAnsi="Times New Roman" w:eastAsia="Calibri" w:cs="Times New Roman"/>
          <w:color w:val="auto"/>
          <w:u w:val="none"/>
        </w:rPr>
        <w:t>拟在租赁高新产业园华为产业园2－B#</w:t>
      </w:r>
      <w:r>
        <w:rPr>
          <w:rFonts w:hint="default" w:ascii="Times New Roman" w:hAnsi="Times New Roman" w:cs="Times New Roman"/>
          <w:color w:val="auto"/>
          <w:u w:val="none"/>
        </w:rPr>
        <w:t>标准厂房进行生产</w:t>
      </w:r>
      <w:r>
        <w:rPr>
          <w:rFonts w:hint="default" w:ascii="Times New Roman" w:hAnsi="Times New Roman" w:eastAsia="Calibri" w:cs="Times New Roman"/>
          <w:color w:val="auto"/>
          <w:u w:val="none"/>
        </w:rPr>
        <w:t>，</w:t>
      </w:r>
      <w:r>
        <w:rPr>
          <w:rFonts w:hint="default" w:ascii="Times New Roman" w:hAnsi="Times New Roman" w:cs="Times New Roman"/>
          <w:color w:val="auto"/>
          <w:u w:val="none"/>
        </w:rPr>
        <w:t>项目建设完成后形成年产</w:t>
      </w:r>
      <w:r>
        <w:rPr>
          <w:rFonts w:hint="default" w:ascii="Times New Roman" w:hAnsi="Times New Roman" w:cs="Times New Roman"/>
          <w:color w:val="auto"/>
          <w:u w:val="none"/>
          <w:lang w:val="en-US" w:eastAsia="zh-CN"/>
        </w:rPr>
        <w:t>120</w:t>
      </w:r>
      <w:r>
        <w:rPr>
          <w:rFonts w:hint="default" w:ascii="Times New Roman" w:hAnsi="Times New Roman" w:cs="Times New Roman"/>
          <w:color w:val="auto"/>
          <w:u w:val="none"/>
        </w:rPr>
        <w:t>万件</w:t>
      </w:r>
      <w:r>
        <w:rPr>
          <w:rFonts w:hint="default" w:ascii="Times New Roman" w:hAnsi="Times New Roman" w:cs="Times New Roman"/>
          <w:color w:val="auto"/>
          <w:u w:val="none"/>
          <w:lang w:val="en-US" w:eastAsia="zh-CN"/>
        </w:rPr>
        <w:t>铝合金零部件</w:t>
      </w:r>
      <w:r>
        <w:rPr>
          <w:rFonts w:hint="default" w:ascii="Times New Roman" w:hAnsi="Times New Roman" w:cs="Times New Roman"/>
          <w:color w:val="auto"/>
          <w:u w:val="none"/>
        </w:rPr>
        <w:t>生产能力。生产区建筑面积为</w:t>
      </w:r>
      <w:r>
        <w:rPr>
          <w:rFonts w:hint="eastAsia" w:ascii="Times New Roman" w:hAnsi="Times New Roman" w:cs="Times New Roman"/>
          <w:color w:val="auto"/>
          <w:u w:val="none"/>
          <w:lang w:val="en-US" w:eastAsia="zh-CN"/>
        </w:rPr>
        <w:t>2109</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2</w:t>
      </w:r>
      <w:r>
        <w:rPr>
          <w:rFonts w:hint="default" w:ascii="Times New Roman" w:hAnsi="Times New Roman" w:cs="Times New Roman"/>
          <w:color w:val="auto"/>
          <w:u w:val="none"/>
        </w:rPr>
        <w:t>，</w:t>
      </w:r>
      <w:r>
        <w:rPr>
          <w:rFonts w:hint="eastAsia" w:ascii="Times New Roman" w:hAnsi="Times New Roman" w:cs="Times New Roman"/>
          <w:color w:val="auto"/>
          <w:u w:val="none"/>
          <w:lang w:val="en-US" w:eastAsia="zh-CN"/>
        </w:rPr>
        <w:t>总</w:t>
      </w:r>
      <w:r>
        <w:rPr>
          <w:rFonts w:hint="default" w:ascii="Times New Roman" w:hAnsi="Times New Roman" w:cs="Times New Roman"/>
          <w:color w:val="auto"/>
          <w:u w:val="none"/>
        </w:rPr>
        <w:t>投资</w:t>
      </w:r>
      <w:r>
        <w:rPr>
          <w:rFonts w:hint="eastAsia" w:ascii="Times New Roman" w:hAnsi="Times New Roman" w:cs="Times New Roman"/>
          <w:color w:val="auto"/>
          <w:u w:val="none"/>
          <w:lang w:val="en-US" w:eastAsia="zh-CN"/>
        </w:rPr>
        <w:t>1600</w:t>
      </w:r>
      <w:r>
        <w:rPr>
          <w:rFonts w:hint="default" w:ascii="Times New Roman" w:hAnsi="Times New Roman" w:eastAsia="Calibri" w:cs="Times New Roman"/>
          <w:color w:val="auto"/>
          <w:u w:val="none"/>
        </w:rPr>
        <w:t>万元，其中环保投资</w:t>
      </w:r>
      <w:r>
        <w:rPr>
          <w:rFonts w:hint="eastAsia" w:ascii="Times New Roman" w:hAnsi="Times New Roman" w:cs="Times New Roman"/>
          <w:color w:val="auto"/>
          <w:u w:val="none"/>
          <w:lang w:val="en-US" w:eastAsia="zh-CN"/>
        </w:rPr>
        <w:t>209万元</w:t>
      </w:r>
      <w:r>
        <w:rPr>
          <w:rFonts w:hint="default" w:ascii="Times New Roman" w:hAnsi="Times New Roman" w:cs="Times New Roman"/>
          <w:color w:val="auto"/>
          <w:u w:val="none"/>
        </w:rPr>
        <w:t>，占总投资的</w:t>
      </w:r>
      <w:r>
        <w:rPr>
          <w:rFonts w:hint="eastAsia" w:ascii="Times New Roman" w:hAnsi="Times New Roman" w:cs="Times New Roman"/>
          <w:color w:val="auto"/>
          <w:u w:val="none"/>
          <w:lang w:val="en-US" w:eastAsia="zh-CN"/>
        </w:rPr>
        <w:t>13.1</w:t>
      </w:r>
      <w:r>
        <w:rPr>
          <w:rFonts w:hint="default" w:ascii="Times New Roman" w:hAnsi="Times New Roman" w:cs="Times New Roman"/>
          <w:color w:val="auto"/>
          <w:u w:val="none"/>
        </w:rPr>
        <w:t>%。</w:t>
      </w:r>
    </w:p>
    <w:p w14:paraId="4EFF6B15">
      <w:pPr>
        <w:pStyle w:val="5"/>
        <w:rPr>
          <w:rFonts w:hint="default" w:ascii="Times New Roman" w:hAnsi="Times New Roman" w:cs="Times New Roman"/>
          <w:color w:val="auto"/>
          <w:u w:val="none"/>
        </w:rPr>
      </w:pPr>
      <w:bookmarkStart w:id="243" w:name="_Toc23828"/>
      <w:r>
        <w:rPr>
          <w:rFonts w:hint="default" w:ascii="Times New Roman" w:hAnsi="Times New Roman" w:cs="Times New Roman"/>
          <w:color w:val="auto"/>
          <w:u w:val="none"/>
        </w:rPr>
        <w:t>环境质量现状结论</w:t>
      </w:r>
      <w:bookmarkEnd w:id="243"/>
    </w:p>
    <w:p w14:paraId="668F0EAD">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（1）大气环境质量现状</w:t>
      </w:r>
    </w:p>
    <w:p w14:paraId="0EEAB1D9">
      <w:pPr>
        <w:ind w:firstLine="480"/>
        <w:rPr>
          <w:rFonts w:hint="default" w:ascii="Times New Roman" w:hAnsi="Times New Roman" w:cs="Times New Roman"/>
          <w:color w:val="auto"/>
          <w:u w:val="none"/>
        </w:rPr>
      </w:pPr>
      <w:r>
        <w:rPr>
          <w:rFonts w:hint="default" w:ascii="Times New Roman" w:hAnsi="Times New Roman" w:cs="Times New Roman"/>
          <w:color w:val="auto"/>
          <w:szCs w:val="32"/>
          <w:u w:val="none"/>
        </w:rPr>
        <w:t>根据202</w:t>
      </w:r>
      <w:r>
        <w:rPr>
          <w:rFonts w:hint="eastAsia" w:ascii="Times New Roman" w:hAnsi="Times New Roman" w:cs="Times New Roman"/>
          <w:color w:val="auto"/>
          <w:szCs w:val="32"/>
          <w:u w:val="none"/>
          <w:lang w:val="en-US" w:eastAsia="zh-CN"/>
        </w:rPr>
        <w:t>2</w:t>
      </w:r>
      <w:r>
        <w:rPr>
          <w:rFonts w:hint="default" w:ascii="Times New Roman" w:hAnsi="Times New Roman" w:cs="Times New Roman"/>
          <w:color w:val="auto"/>
          <w:szCs w:val="32"/>
          <w:u w:val="none"/>
        </w:rPr>
        <w:t>年已公布的年评价指标中的平均浓度可知，</w:t>
      </w:r>
      <w:r>
        <w:rPr>
          <w:rFonts w:hint="default" w:ascii="Times New Roman" w:hAnsi="Times New Roman" w:cs="Times New Roman"/>
          <w:color w:val="auto"/>
          <w:u w:val="none"/>
        </w:rPr>
        <w:t>SO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、NO</w:t>
      </w:r>
      <w:r>
        <w:rPr>
          <w:rFonts w:hint="default" w:ascii="Times New Roman" w:hAnsi="Times New Roman" w:cs="Times New Roman"/>
          <w:color w:val="auto"/>
          <w:u w:val="none"/>
          <w:vertAlign w:val="subscript"/>
        </w:rPr>
        <w:t>2</w:t>
      </w:r>
      <w:r>
        <w:rPr>
          <w:rFonts w:hint="default" w:ascii="Times New Roman" w:hAnsi="Times New Roman" w:cs="Times New Roman"/>
          <w:color w:val="auto"/>
          <w:u w:val="none"/>
        </w:rPr>
        <w:t>、CO、PM</w:t>
      </w:r>
      <w:r>
        <w:rPr>
          <w:rFonts w:hint="default" w:ascii="Times New Roman" w:hAnsi="Times New Roman" w:cs="Times New Roman"/>
          <w:color w:val="auto"/>
          <w:u w:val="none"/>
          <w:vertAlign w:val="subscript"/>
        </w:rPr>
        <w:t>10</w:t>
      </w:r>
      <w:r>
        <w:rPr>
          <w:rFonts w:hint="default" w:ascii="Times New Roman" w:hAnsi="Times New Roman" w:cs="Times New Roman"/>
          <w:color w:val="auto"/>
          <w:u w:val="none"/>
        </w:rPr>
        <w:t>、PM</w:t>
      </w:r>
      <w:r>
        <w:rPr>
          <w:rFonts w:hint="default" w:ascii="Times New Roman" w:hAnsi="Times New Roman" w:cs="Times New Roman"/>
          <w:color w:val="auto"/>
          <w:u w:val="none"/>
          <w:vertAlign w:val="subscript"/>
        </w:rPr>
        <w:t>2.5</w:t>
      </w:r>
      <w:r>
        <w:rPr>
          <w:rFonts w:hint="default" w:ascii="Times New Roman" w:hAnsi="Times New Roman" w:cs="Times New Roman"/>
          <w:color w:val="auto"/>
          <w:u w:val="none"/>
        </w:rPr>
        <w:t>、O</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的年平均质量浓度和其百分位数日平均质量浓度均可达到《环境空气质量标准》(GB3095-2012)中二级标准限值要求。判定本项目所在区域为达标区。</w:t>
      </w:r>
    </w:p>
    <w:p w14:paraId="4FE68692">
      <w:pPr>
        <w:ind w:firstLine="480"/>
        <w:rPr>
          <w:rFonts w:hint="default" w:ascii="Times New Roman" w:hAnsi="Times New Roman" w:cs="Times New Roman"/>
          <w:color w:val="auto"/>
          <w:u w:val="none"/>
        </w:rPr>
      </w:pPr>
      <w:r>
        <w:rPr>
          <w:rFonts w:hint="default" w:ascii="Times New Roman" w:hAnsi="Times New Roman" w:cs="Times New Roman"/>
          <w:color w:val="auto"/>
          <w:kern w:val="0"/>
          <w:u w:val="none"/>
        </w:rPr>
        <w:t>监测数据表明，</w:t>
      </w:r>
      <w:r>
        <w:rPr>
          <w:rFonts w:hint="default" w:ascii="Times New Roman" w:hAnsi="Times New Roman" w:cs="Times New Roman"/>
          <w:color w:val="auto"/>
          <w:u w:val="none"/>
        </w:rPr>
        <w:t>TSP满足《环境空气质量标准》（GB3095-2012）二级标准；硫酸雾、</w:t>
      </w:r>
      <w:r>
        <w:rPr>
          <w:rFonts w:hint="default" w:ascii="Times New Roman" w:hAnsi="Times New Roman" w:cs="Times New Roman"/>
          <w:color w:val="auto"/>
          <w:kern w:val="0"/>
          <w:u w:val="none"/>
        </w:rPr>
        <w:t>TVOC</w:t>
      </w:r>
      <w:r>
        <w:rPr>
          <w:rFonts w:hint="default" w:ascii="Times New Roman" w:hAnsi="Times New Roman" w:cs="Times New Roman"/>
          <w:color w:val="auto"/>
          <w:u w:val="none"/>
        </w:rPr>
        <w:t>满足《环境影响技术导则-大气环境》（TJ2.2-2018）附录D其他污染物空气质量浓度参考限值，非甲烷总烃满足《大气污染物综合排放标准详解》中的环境质量标准一次浓度2mg/m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w:t>
      </w:r>
    </w:p>
    <w:p w14:paraId="2C21D2DF">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（2）地表水环境质量现状</w:t>
      </w:r>
    </w:p>
    <w:p w14:paraId="09ECC7F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本次评价引用202</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rPr>
        <w:t>年对长江城陵矶、陆城断面进行的地表水环境常规监测的数据，监测数据表明，长江城陵矶、陆城断面各监测因子均能满足《地表水环境质量标准》（GB3838-2002）中的Ⅲ类标准要求。</w:t>
      </w:r>
    </w:p>
    <w:p w14:paraId="233545C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（3）地下水环境质量现状</w:t>
      </w:r>
    </w:p>
    <w:p w14:paraId="5117E933">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项目区域地下水各监测点位的各监测因子均未超过《地下水质量标准》（GB/T 14848—2017）Ⅲ类标准要求，</w:t>
      </w:r>
      <w:r>
        <w:rPr>
          <w:rFonts w:hint="default" w:ascii="Times New Roman" w:hAnsi="Times New Roman" w:cs="Times New Roman"/>
          <w:color w:val="auto"/>
          <w:szCs w:val="18"/>
          <w:u w:val="none"/>
        </w:rPr>
        <w:t>本项目区域地下水环境质量良好。</w:t>
      </w:r>
    </w:p>
    <w:p w14:paraId="06B259A2">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（4）声环境质量现状</w:t>
      </w:r>
    </w:p>
    <w:p w14:paraId="5F20BBBF">
      <w:pPr>
        <w:ind w:firstLine="480"/>
        <w:rPr>
          <w:rFonts w:hint="default" w:ascii="Times New Roman" w:hAnsi="Times New Roman" w:cs="Times New Roman"/>
          <w:color w:val="auto"/>
          <w:u w:val="none"/>
          <w:lang w:val="zh-CN"/>
        </w:rPr>
      </w:pPr>
      <w:r>
        <w:rPr>
          <w:rFonts w:hint="default" w:ascii="Times New Roman" w:hAnsi="Times New Roman" w:cs="Times New Roman"/>
          <w:color w:val="auto"/>
          <w:u w:val="none"/>
        </w:rPr>
        <w:t>由监测资料统计结果表明，项目厂界昼、夜噪声监测值均达到《声环境质量标准》（GB3096-2008）中3类标准，项目所在区域声环境质量良好</w:t>
      </w:r>
      <w:r>
        <w:rPr>
          <w:rFonts w:hint="default" w:ascii="Times New Roman" w:hAnsi="Times New Roman" w:cs="Times New Roman"/>
          <w:color w:val="auto"/>
          <w:u w:val="none"/>
          <w:lang w:val="zh-CN"/>
        </w:rPr>
        <w:t>。</w:t>
      </w:r>
    </w:p>
    <w:p w14:paraId="2376393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（5）土壤环境质量现状</w:t>
      </w:r>
    </w:p>
    <w:p w14:paraId="319699FB">
      <w:pPr>
        <w:ind w:firstLine="480"/>
        <w:rPr>
          <w:rFonts w:hint="default" w:ascii="Times New Roman" w:hAnsi="Times New Roman" w:cs="Times New Roman"/>
          <w:color w:val="auto"/>
          <w:u w:val="none"/>
          <w:lang w:val="zh-CN"/>
        </w:rPr>
      </w:pPr>
      <w:r>
        <w:rPr>
          <w:rFonts w:hint="default" w:ascii="Times New Roman" w:hAnsi="Times New Roman" w:cs="Times New Roman"/>
          <w:color w:val="auto"/>
          <w:kern w:val="0"/>
          <w:u w:val="none"/>
        </w:rPr>
        <w:t>项目所在地监测点位T1-T6各监测因子均达到《土壤环境质量建设用地土壤污染风险管控标准（试行）》（GB36600-2018）风险筛选值中的第二类用地的标准限值，项目区域土壤环境质量较好。</w:t>
      </w:r>
    </w:p>
    <w:p w14:paraId="3D547F27">
      <w:pPr>
        <w:pStyle w:val="5"/>
        <w:rPr>
          <w:rFonts w:hint="default" w:ascii="Times New Roman" w:hAnsi="Times New Roman" w:cs="Times New Roman"/>
          <w:color w:val="auto"/>
          <w:u w:val="none"/>
        </w:rPr>
      </w:pPr>
      <w:r>
        <w:rPr>
          <w:rFonts w:hint="default" w:ascii="Times New Roman" w:hAnsi="Times New Roman" w:cs="Times New Roman"/>
          <w:color w:val="auto"/>
          <w:u w:val="none"/>
        </w:rPr>
        <w:t>营运期环境影响评价结论</w:t>
      </w:r>
    </w:p>
    <w:p w14:paraId="0C59F1A7">
      <w:pPr>
        <w:ind w:firstLine="480"/>
        <w:rPr>
          <w:rFonts w:hint="default" w:ascii="Times New Roman" w:hAnsi="Times New Roman" w:cs="Times New Roman"/>
          <w:color w:val="auto"/>
          <w:u w:val="none"/>
        </w:rPr>
      </w:pPr>
      <w:bookmarkStart w:id="244" w:name="_Toc32301"/>
      <w:bookmarkStart w:id="245" w:name="_Toc15649"/>
      <w:r>
        <w:rPr>
          <w:rFonts w:hint="default" w:ascii="Times New Roman" w:hAnsi="Times New Roman" w:cs="Times New Roman"/>
          <w:color w:val="auto"/>
          <w:u w:val="none"/>
        </w:rPr>
        <w:t>（1）废气</w:t>
      </w:r>
    </w:p>
    <w:p w14:paraId="120B1EF7">
      <w:pPr>
        <w:widowControl/>
        <w:ind w:firstLine="480"/>
        <w:jc w:val="left"/>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本项目酸性废气采用两级碱性喷淋塔处理后排放，经同一根25.5m排气筒（DA0</w:t>
      </w:r>
      <w:r>
        <w:rPr>
          <w:rFonts w:hint="eastAsia" w:ascii="Times New Roman" w:hAnsi="Times New Roman" w:cs="Times New Roman"/>
          <w:color w:val="auto"/>
          <w:u w:val="none"/>
          <w:lang w:val="en-US" w:eastAsia="zh-CN"/>
        </w:rPr>
        <w:t>01</w:t>
      </w:r>
      <w:r>
        <w:rPr>
          <w:rFonts w:hint="default" w:ascii="Times New Roman" w:hAnsi="Times New Roman" w:cs="Times New Roman"/>
          <w:color w:val="auto"/>
          <w:u w:val="none"/>
        </w:rPr>
        <w:t>）排放，排放浓度</w:t>
      </w:r>
      <w:r>
        <w:rPr>
          <w:rFonts w:hint="eastAsia" w:ascii="Times New Roman" w:hAnsi="Times New Roman" w:cs="Times New Roman"/>
          <w:color w:val="auto"/>
          <w:u w:val="none"/>
          <w:lang w:val="en-US" w:eastAsia="zh-CN"/>
        </w:rPr>
        <w:t>满足</w:t>
      </w:r>
      <w:r>
        <w:rPr>
          <w:rFonts w:hint="default" w:ascii="Times New Roman" w:hAnsi="Times New Roman" w:cs="Times New Roman"/>
          <w:color w:val="auto"/>
          <w:u w:val="none"/>
        </w:rPr>
        <w:t>《电镀污染物排放标准》（GB21900-2008）的相关要求</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本项目</w:t>
      </w:r>
      <w:r>
        <w:rPr>
          <w:rFonts w:hint="eastAsia" w:ascii="Times New Roman" w:hAnsi="Times New Roman" w:cs="Times New Roman"/>
          <w:color w:val="auto"/>
          <w:u w:val="none"/>
          <w:lang w:val="en-US" w:eastAsia="zh-CN"/>
        </w:rPr>
        <w:t>铬酸雾</w:t>
      </w:r>
      <w:r>
        <w:rPr>
          <w:rFonts w:hint="default" w:ascii="Times New Roman" w:hAnsi="Times New Roman" w:cs="Times New Roman"/>
          <w:color w:val="auto"/>
          <w:u w:val="none"/>
        </w:rPr>
        <w:t>采用两级碱性喷淋塔处理后排放，经同一根25.5m排气筒（DA0</w:t>
      </w:r>
      <w:r>
        <w:rPr>
          <w:rFonts w:hint="eastAsia" w:ascii="Times New Roman" w:hAnsi="Times New Roman" w:cs="Times New Roman"/>
          <w:color w:val="auto"/>
          <w:u w:val="none"/>
          <w:lang w:val="en-US" w:eastAsia="zh-CN"/>
        </w:rPr>
        <w:t>02</w:t>
      </w:r>
      <w:r>
        <w:rPr>
          <w:rFonts w:hint="default" w:ascii="Times New Roman" w:hAnsi="Times New Roman" w:cs="Times New Roman"/>
          <w:color w:val="auto"/>
          <w:u w:val="none"/>
        </w:rPr>
        <w:t>）排放，排放浓度</w:t>
      </w:r>
      <w:r>
        <w:rPr>
          <w:rFonts w:hint="eastAsia" w:ascii="Times New Roman" w:hAnsi="Times New Roman" w:cs="Times New Roman"/>
          <w:color w:val="auto"/>
          <w:u w:val="none"/>
          <w:lang w:val="en-US" w:eastAsia="zh-CN"/>
        </w:rPr>
        <w:t>满足</w:t>
      </w:r>
      <w:r>
        <w:rPr>
          <w:rFonts w:hint="default" w:ascii="Times New Roman" w:hAnsi="Times New Roman" w:cs="Times New Roman"/>
          <w:color w:val="auto"/>
          <w:u w:val="none"/>
        </w:rPr>
        <w:t>《电镀污染物排放标准》（GB21900-2008）的相关要求</w:t>
      </w:r>
      <w:r>
        <w:rPr>
          <w:rFonts w:hint="eastAsia" w:ascii="Times New Roman" w:hAnsi="Times New Roman" w:cs="Times New Roman"/>
          <w:color w:val="auto"/>
          <w:u w:val="none"/>
          <w:lang w:eastAsia="zh-CN"/>
        </w:rPr>
        <w:t>。</w:t>
      </w:r>
    </w:p>
    <w:p w14:paraId="0382E4D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（2）废水</w:t>
      </w:r>
    </w:p>
    <w:p w14:paraId="68D6DB6C">
      <w:pPr>
        <w:autoSpaceDE w:val="0"/>
        <w:autoSpaceDN w:val="0"/>
        <w:adjustRightInd w:val="0"/>
        <w:ind w:firstLine="424" w:firstLineChars="177"/>
        <w:rPr>
          <w:rFonts w:hint="default" w:ascii="Times New Roman" w:hAnsi="Times New Roman" w:cs="Times New Roman"/>
          <w:color w:val="auto"/>
          <w:kern w:val="0"/>
          <w:u w:val="none"/>
        </w:rPr>
      </w:pPr>
      <w:r>
        <w:rPr>
          <w:rFonts w:hint="default" w:ascii="Times New Roman" w:hAnsi="Times New Roman" w:cs="Times New Roman"/>
          <w:color w:val="auto"/>
          <w:u w:val="none"/>
        </w:rPr>
        <w:t>本项目按照雨污分流、污污分流的要求建设厂区排水管网，生产废水分类收集处理，含镍废液、含铬</w:t>
      </w:r>
      <w:r>
        <w:rPr>
          <w:rFonts w:hint="eastAsia" w:ascii="Times New Roman" w:hAnsi="Times New Roman" w:cs="Times New Roman"/>
          <w:color w:val="auto"/>
          <w:u w:val="none"/>
          <w:lang w:val="en-US" w:eastAsia="zh-CN"/>
        </w:rPr>
        <w:t>废水</w:t>
      </w:r>
      <w:r>
        <w:rPr>
          <w:rFonts w:hint="default" w:ascii="Times New Roman" w:hAnsi="Times New Roman" w:cs="Times New Roman"/>
          <w:color w:val="auto"/>
          <w:u w:val="none"/>
        </w:rPr>
        <w:t>：分别经各自混凝沉淀处理系统处理后，在一起经MEE蒸发器处理，产生的蒸发液经冷凝后排入中水回用系统；含镍废液、含铬废水零排放；含镍废水、含铬废水：分别经各自混凝沉淀处理系统处理后，处理后经砂滤+超滤+RO处理，后汇入含镍废液、含铬</w:t>
      </w:r>
      <w:r>
        <w:rPr>
          <w:rFonts w:hint="eastAsia" w:ascii="Times New Roman" w:hAnsi="Times New Roman" w:cs="Times New Roman"/>
          <w:color w:val="auto"/>
          <w:u w:val="none"/>
          <w:lang w:val="en-US" w:eastAsia="zh-CN"/>
        </w:rPr>
        <w:t>废水</w:t>
      </w:r>
      <w:r>
        <w:rPr>
          <w:rFonts w:hint="default" w:ascii="Times New Roman" w:hAnsi="Times New Roman" w:cs="Times New Roman"/>
          <w:color w:val="auto"/>
          <w:u w:val="none"/>
        </w:rPr>
        <w:t>处理系统，含镍废水、含铬废水零排放；含磷废水：采用蒸发浓缩工艺，冷凝水至化抛后道水洗槽</w:t>
      </w:r>
      <w:r>
        <w:rPr>
          <w:rFonts w:hint="eastAsia" w:ascii="Times New Roman" w:hAnsi="Times New Roman" w:cs="Times New Roman"/>
          <w:color w:val="auto"/>
          <w:u w:val="none"/>
          <w:lang w:eastAsia="zh-CN"/>
        </w:rPr>
        <w:t>；</w:t>
      </w:r>
      <w:r>
        <w:rPr>
          <w:rFonts w:hint="default" w:ascii="Times New Roman" w:hAnsi="Times New Roman" w:cs="Times New Roman"/>
          <w:color w:val="auto"/>
          <w:u w:val="none"/>
        </w:rPr>
        <w:t>含油废水隔油后，进入综合废水处理系统（化学沉淀预处理后接入生化系统达标排放）；碱废液：中和后，进入综合废水处理系统（化学沉淀预处理后接入生化系统达标排放）；含油废液、碱废液经预处理</w:t>
      </w:r>
      <w:r>
        <w:rPr>
          <w:rFonts w:hint="eastAsia" w:ascii="Times New Roman" w:hAnsi="Times New Roman" w:cs="Times New Roman"/>
          <w:color w:val="auto"/>
          <w:u w:val="none"/>
          <w:lang w:val="en-US" w:eastAsia="zh-CN"/>
        </w:rPr>
        <w:t>进入</w:t>
      </w:r>
      <w:r>
        <w:rPr>
          <w:rFonts w:hint="default" w:ascii="Times New Roman" w:hAnsi="Times New Roman" w:cs="Times New Roman"/>
          <w:color w:val="auto"/>
          <w:u w:val="none"/>
        </w:rPr>
        <w:t>综合废水处理系统处理达标后</w:t>
      </w:r>
      <w:r>
        <w:rPr>
          <w:rFonts w:hint="default" w:ascii="Times New Roman" w:hAnsi="Times New Roman" w:cs="Times New Roman"/>
          <w:color w:val="auto"/>
          <w:u w:val="none"/>
          <w:lang w:val="en-US" w:eastAsia="zh-CN"/>
        </w:rPr>
        <w:t>经生产废水总排口（DW002）</w:t>
      </w:r>
      <w:r>
        <w:rPr>
          <w:rFonts w:hint="default" w:ascii="Times New Roman" w:hAnsi="Times New Roman" w:cs="Times New Roman"/>
          <w:color w:val="auto"/>
          <w:u w:val="none"/>
        </w:rPr>
        <w:t>排入市政污水管网，经城陵矶临港产业新区污水处理厂处理达《城镇污水处理厂污染物排放标准》（GB18918-2002）及修改单中一级A标准，经象骨港汇入长江。生活污水</w:t>
      </w:r>
      <w:r>
        <w:rPr>
          <w:rFonts w:hint="eastAsia" w:ascii="Times New Roman" w:hAnsi="Times New Roman" w:cs="Times New Roman"/>
          <w:color w:val="auto"/>
          <w:u w:val="none"/>
          <w:lang w:val="en-US" w:eastAsia="zh-CN"/>
        </w:rPr>
        <w:t>依托厂区</w:t>
      </w:r>
      <w:r>
        <w:rPr>
          <w:rFonts w:hint="default" w:ascii="Times New Roman" w:hAnsi="Times New Roman" w:cs="Times New Roman"/>
          <w:color w:val="auto"/>
          <w:u w:val="none"/>
        </w:rPr>
        <w:t>化粪池预处理后达到《污水综合排放标准》(GB8978一1996)三级标准</w:t>
      </w:r>
      <w:r>
        <w:rPr>
          <w:rFonts w:hint="default" w:ascii="Times New Roman" w:hAnsi="Times New Roman" w:cs="Times New Roman"/>
          <w:color w:val="auto"/>
          <w:u w:val="none"/>
          <w:lang w:val="en-US" w:eastAsia="zh-CN"/>
        </w:rPr>
        <w:t>及</w:t>
      </w:r>
      <w:r>
        <w:rPr>
          <w:rFonts w:hint="default" w:ascii="Times New Roman" w:hAnsi="Times New Roman" w:cs="Times New Roman"/>
          <w:color w:val="auto"/>
          <w:u w:val="none"/>
        </w:rPr>
        <w:t>临港污水处理厂的纳管协议标准后</w:t>
      </w:r>
      <w:r>
        <w:rPr>
          <w:rFonts w:hint="default" w:ascii="Times New Roman" w:hAnsi="Times New Roman" w:cs="Times New Roman"/>
          <w:color w:val="auto"/>
          <w:u w:val="none"/>
          <w:lang w:val="en-US" w:eastAsia="zh-CN"/>
        </w:rPr>
        <w:t>经生活污水排放口（DW001）</w:t>
      </w:r>
      <w:r>
        <w:rPr>
          <w:rFonts w:hint="default" w:ascii="Times New Roman" w:hAnsi="Times New Roman" w:cs="Times New Roman"/>
          <w:color w:val="auto"/>
          <w:u w:val="none"/>
        </w:rPr>
        <w:t>排入城陵矶临港产业新区污水处理厂深度处理，达到《城镇污水处理厂污染物排放标准》(GB18918--2002)-级A标准经象骨港汇入长江，</w:t>
      </w:r>
      <w:r>
        <w:rPr>
          <w:rFonts w:hint="default" w:ascii="Times New Roman" w:hAnsi="Times New Roman" w:cs="Times New Roman"/>
          <w:color w:val="auto"/>
          <w:kern w:val="0"/>
          <w:u w:val="none"/>
        </w:rPr>
        <w:t>对地表水环境影响很小。</w:t>
      </w:r>
    </w:p>
    <w:p w14:paraId="327E7854">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（3）噪声</w:t>
      </w:r>
    </w:p>
    <w:p w14:paraId="7DA4E72C">
      <w:pPr>
        <w:ind w:firstLine="480"/>
        <w:rPr>
          <w:rFonts w:hint="default" w:ascii="Times New Roman" w:hAnsi="Times New Roman" w:cs="Times New Roman"/>
          <w:color w:val="auto"/>
          <w:u w:val="none"/>
        </w:rPr>
      </w:pPr>
      <w:r>
        <w:rPr>
          <w:rFonts w:hint="default" w:ascii="Times New Roman" w:hAnsi="Times New Roman" w:cs="Times New Roman"/>
          <w:color w:val="auto"/>
          <w:u w:val="none"/>
        </w:rPr>
        <w:t>项目噪声源通过基础门窗隔声、距离衰减后，项目拟建地厂界噪声满足《工业企业厂界环境噪声排放标准》（GB12348-2008）3类功能区中昼间、夜间标准要求。</w:t>
      </w:r>
    </w:p>
    <w:p w14:paraId="72C03316">
      <w:pPr>
        <w:ind w:firstLine="480"/>
        <w:rPr>
          <w:rFonts w:hint="default" w:ascii="Times New Roman" w:hAnsi="Times New Roman" w:cs="Times New Roman"/>
          <w:color w:val="auto"/>
          <w:u w:val="none"/>
        </w:rPr>
      </w:pPr>
      <w:r>
        <w:rPr>
          <w:rFonts w:hint="default" w:ascii="Times New Roman" w:hAnsi="Times New Roman" w:cs="Times New Roman"/>
          <w:color w:val="auto"/>
          <w:u w:val="none"/>
        </w:rPr>
        <w:t>（4）固废</w:t>
      </w:r>
    </w:p>
    <w:p w14:paraId="66EE50A0">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拟建项目产生的固废包括一般工业固废、危险废物、生活垃圾。</w:t>
      </w:r>
    </w:p>
    <w:p w14:paraId="6642E92A">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①</w:t>
      </w:r>
      <w:r>
        <w:rPr>
          <w:rFonts w:hint="default" w:ascii="Times New Roman" w:hAnsi="Times New Roman" w:cs="Times New Roman"/>
          <w:color w:val="auto"/>
          <w:u w:val="none"/>
        </w:rPr>
        <w:t>一般固废</w:t>
      </w:r>
    </w:p>
    <w:p w14:paraId="16AC6EB6">
      <w:pPr>
        <w:ind w:firstLine="480"/>
        <w:rPr>
          <w:rFonts w:hint="default" w:ascii="Times New Roman" w:hAnsi="Times New Roman" w:cs="Times New Roman"/>
          <w:color w:val="auto"/>
          <w:u w:val="none"/>
        </w:rPr>
      </w:pPr>
      <w:r>
        <w:rPr>
          <w:rFonts w:hint="default" w:ascii="Times New Roman" w:hAnsi="Times New Roman" w:cs="Times New Roman"/>
          <w:color w:val="auto"/>
          <w:u w:val="none"/>
          <w:lang w:val="zh-CN"/>
        </w:rPr>
        <w:t>项目营运期产生的一般工业固体废物主要为</w:t>
      </w:r>
      <w:r>
        <w:rPr>
          <w:rFonts w:hint="default" w:ascii="Times New Roman" w:hAnsi="Times New Roman" w:cs="Times New Roman"/>
          <w:color w:val="auto"/>
          <w:u w:val="none"/>
        </w:rPr>
        <w:t>纯水系统产生废活性炭、废RO反渗透膜</w:t>
      </w:r>
      <w:r>
        <w:rPr>
          <w:rFonts w:hint="default" w:ascii="Times New Roman" w:hAnsi="Times New Roman" w:cs="Times New Roman"/>
          <w:color w:val="auto"/>
          <w:u w:val="none"/>
          <w:lang w:val="zh-CN"/>
        </w:rPr>
        <w:t>收集后外售。</w:t>
      </w:r>
    </w:p>
    <w:p w14:paraId="65276368">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②</w:t>
      </w:r>
      <w:r>
        <w:rPr>
          <w:rFonts w:hint="default" w:ascii="Times New Roman" w:hAnsi="Times New Roman" w:cs="Times New Roman"/>
          <w:color w:val="auto"/>
          <w:u w:val="none"/>
        </w:rPr>
        <w:t>危险废物</w:t>
      </w:r>
    </w:p>
    <w:p w14:paraId="46F074A1">
      <w:pPr>
        <w:ind w:firstLine="480"/>
        <w:rPr>
          <w:rFonts w:hint="default" w:ascii="Times New Roman" w:hAnsi="Times New Roman" w:cs="Times New Roman"/>
          <w:color w:val="auto"/>
          <w:u w:val="none"/>
        </w:rPr>
      </w:pPr>
      <w:r>
        <w:rPr>
          <w:rFonts w:hint="default" w:ascii="Times New Roman" w:hAnsi="Times New Roman" w:cs="Times New Roman"/>
          <w:color w:val="auto"/>
          <w:u w:val="none"/>
          <w:lang w:val="zh-CN"/>
        </w:rPr>
        <w:t>项目营运期产生的危险废物主要有</w:t>
      </w:r>
      <w:r>
        <w:rPr>
          <w:rFonts w:hint="default" w:ascii="Times New Roman" w:hAnsi="Times New Roman" w:cs="Times New Roman"/>
          <w:color w:val="auto"/>
          <w:u w:val="none"/>
        </w:rPr>
        <w:t>危险废物包括危险化学品废包装、废槽渣、含磷废水处理系统浓缩液、含镍污泥、含铬污泥、含镍结晶盐、含铬结晶盐、中水回用和废水处理废RO反渗透膜、废滤芯、废机油等，在厂区及污水处理站设置危险废物暂存间，按《危险废物贮存污染控制标准》GB18597-20</w:t>
      </w:r>
      <w:r>
        <w:rPr>
          <w:rFonts w:hint="eastAsia" w:ascii="Times New Roman" w:hAnsi="Times New Roman" w:cs="Times New Roman"/>
          <w:color w:val="auto"/>
          <w:u w:val="none"/>
          <w:lang w:val="en-US" w:eastAsia="zh-CN"/>
        </w:rPr>
        <w:t>23</w:t>
      </w:r>
      <w:r>
        <w:rPr>
          <w:rFonts w:hint="default" w:ascii="Times New Roman" w:hAnsi="Times New Roman" w:cs="Times New Roman"/>
          <w:color w:val="auto"/>
          <w:u w:val="none"/>
        </w:rPr>
        <w:t>要求进行建设，设置防风、防雨、防晒、防渗漏、防腐蚀等功能，并委托有资质的单位处置。</w:t>
      </w:r>
    </w:p>
    <w:p w14:paraId="5743874B">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③</w:t>
      </w:r>
      <w:r>
        <w:rPr>
          <w:rFonts w:hint="default" w:ascii="Times New Roman" w:hAnsi="Times New Roman" w:cs="Times New Roman"/>
          <w:color w:val="auto"/>
          <w:u w:val="none"/>
        </w:rPr>
        <w:t>生活垃圾</w:t>
      </w:r>
    </w:p>
    <w:p w14:paraId="547C163B">
      <w:pPr>
        <w:ind w:firstLine="480"/>
        <w:rPr>
          <w:rFonts w:hint="eastAsia" w:ascii="Times New Roman" w:hAnsi="Times New Roman" w:eastAsia="宋体" w:cs="Times New Roman"/>
          <w:color w:val="auto"/>
          <w:u w:val="none"/>
          <w:lang w:eastAsia="zh-CN"/>
        </w:rPr>
      </w:pPr>
      <w:r>
        <w:rPr>
          <w:rFonts w:hint="default" w:ascii="Times New Roman" w:hAnsi="Times New Roman" w:cs="Times New Roman"/>
          <w:color w:val="auto"/>
          <w:u w:val="none"/>
        </w:rPr>
        <w:t>生活垃圾交环卫部门统一处理</w:t>
      </w:r>
      <w:r>
        <w:rPr>
          <w:rFonts w:hint="eastAsia" w:ascii="Times New Roman" w:hAnsi="Times New Roman" w:cs="Times New Roman"/>
          <w:color w:val="auto"/>
          <w:u w:val="none"/>
          <w:lang w:eastAsia="zh-CN"/>
        </w:rPr>
        <w:t>。</w:t>
      </w:r>
    </w:p>
    <w:p w14:paraId="20A30243">
      <w:pPr>
        <w:ind w:firstLine="480"/>
        <w:rPr>
          <w:rFonts w:hint="default" w:ascii="Times New Roman" w:hAnsi="Times New Roman" w:cs="Times New Roman"/>
          <w:color w:val="auto"/>
          <w:u w:val="none"/>
        </w:rPr>
      </w:pPr>
      <w:r>
        <w:rPr>
          <w:rFonts w:hint="eastAsia" w:ascii="Times New Roman" w:hAnsi="Times New Roman" w:cs="Times New Roman"/>
          <w:color w:val="auto"/>
          <w:u w:val="none"/>
          <w:lang w:val="en-US" w:eastAsia="zh-CN"/>
        </w:rPr>
        <w:t>项目</w:t>
      </w:r>
      <w:r>
        <w:rPr>
          <w:rFonts w:hint="default" w:ascii="Times New Roman" w:hAnsi="Times New Roman" w:cs="Times New Roman"/>
          <w:color w:val="auto"/>
          <w:u w:val="none"/>
        </w:rPr>
        <w:t>采取相应措施后可使产生的固体废物能得到有效的处理及处置，不会对外环境产生二次污染。</w:t>
      </w:r>
    </w:p>
    <w:bookmarkEnd w:id="244"/>
    <w:bookmarkEnd w:id="245"/>
    <w:p w14:paraId="3BE90606">
      <w:pPr>
        <w:pStyle w:val="5"/>
        <w:rPr>
          <w:rFonts w:hint="default" w:ascii="Times New Roman" w:hAnsi="Times New Roman" w:cs="Times New Roman"/>
          <w:color w:val="auto"/>
          <w:u w:val="none"/>
        </w:rPr>
      </w:pPr>
      <w:r>
        <w:rPr>
          <w:rFonts w:hint="default" w:ascii="Times New Roman" w:hAnsi="Times New Roman" w:cs="Times New Roman"/>
          <w:color w:val="auto"/>
          <w:u w:val="none"/>
        </w:rPr>
        <w:t>总量指标</w:t>
      </w:r>
    </w:p>
    <w:p w14:paraId="23900AD9">
      <w:pPr>
        <w:ind w:firstLine="480"/>
        <w:rPr>
          <w:rFonts w:hint="default" w:ascii="Times New Roman" w:hAnsi="Times New Roman" w:cs="Times New Roman"/>
          <w:color w:val="auto"/>
          <w:u w:val="none"/>
        </w:rPr>
      </w:pPr>
      <w:r>
        <w:rPr>
          <w:rFonts w:hint="default" w:ascii="Times New Roman" w:hAnsi="Times New Roman" w:cs="Times New Roman"/>
          <w:color w:val="auto"/>
          <w:u w:val="none"/>
        </w:rPr>
        <w:t>本项目外排污染物中涉及到国家“十三·五”总量控制指标范围内的污染物为COD</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0.67</w:t>
      </w:r>
      <w:r>
        <w:rPr>
          <w:rFonts w:hint="default" w:ascii="Times New Roman" w:hAnsi="Times New Roman" w:cs="Times New Roman"/>
          <w:color w:val="auto"/>
          <w:u w:val="none"/>
        </w:rPr>
        <w:t>t/a、NH</w:t>
      </w:r>
      <w:r>
        <w:rPr>
          <w:rFonts w:hint="default" w:ascii="Times New Roman" w:hAnsi="Times New Roman" w:cs="Times New Roman"/>
          <w:color w:val="auto"/>
          <w:u w:val="none"/>
          <w:vertAlign w:val="subscript"/>
        </w:rPr>
        <w:t>3</w:t>
      </w:r>
      <w:r>
        <w:rPr>
          <w:rFonts w:hint="default" w:ascii="Times New Roman" w:hAnsi="Times New Roman" w:cs="Times New Roman"/>
          <w:color w:val="auto"/>
          <w:u w:val="none"/>
        </w:rPr>
        <w:t>-N</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0.07</w:t>
      </w:r>
      <w:r>
        <w:rPr>
          <w:rFonts w:hint="default" w:ascii="Times New Roman" w:hAnsi="Times New Roman" w:cs="Times New Roman"/>
          <w:color w:val="auto"/>
          <w:u w:val="none"/>
        </w:rPr>
        <w:t>t/a</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其中</w:t>
      </w:r>
      <w:r>
        <w:rPr>
          <w:rFonts w:hint="default" w:ascii="Times New Roman" w:hAnsi="Times New Roman" w:cs="Times New Roman"/>
          <w:color w:val="auto"/>
          <w:u w:val="none"/>
        </w:rPr>
        <w:t>氮氧化物</w:t>
      </w:r>
      <w:r>
        <w:rPr>
          <w:rFonts w:hint="eastAsia" w:ascii="Times New Roman" w:hAnsi="Times New Roman" w:cs="Times New Roman"/>
          <w:color w:val="auto"/>
          <w:u w:val="none"/>
          <w:lang w:val="en-US" w:eastAsia="zh-CN"/>
        </w:rPr>
        <w:t>有组织排放量为0.214519</w:t>
      </w:r>
      <w:r>
        <w:rPr>
          <w:rFonts w:hint="default" w:ascii="Times New Roman" w:hAnsi="Times New Roman" w:cs="Times New Roman"/>
          <w:color w:val="auto"/>
          <w:u w:val="none"/>
        </w:rPr>
        <w:t>t/a，无组织排放量为</w:t>
      </w:r>
      <w:r>
        <w:rPr>
          <w:rFonts w:hint="eastAsia" w:ascii="Times New Roman" w:hAnsi="Times New Roman" w:cs="Times New Roman"/>
          <w:color w:val="auto"/>
          <w:u w:val="none"/>
          <w:lang w:val="en-US" w:eastAsia="zh-CN"/>
        </w:rPr>
        <w:t>0.07527</w:t>
      </w:r>
      <w:r>
        <w:rPr>
          <w:rFonts w:hint="default" w:ascii="Times New Roman" w:hAnsi="Times New Roman" w:cs="Times New Roman"/>
          <w:color w:val="auto"/>
          <w:u w:val="none"/>
        </w:rPr>
        <w:t>t/a。具体总量控制指标由按岳阳市生态环境部门要求核定和购买。</w:t>
      </w:r>
    </w:p>
    <w:p w14:paraId="1EA5BD93">
      <w:pPr>
        <w:pStyle w:val="5"/>
        <w:rPr>
          <w:rFonts w:hint="default" w:ascii="Times New Roman" w:hAnsi="Times New Roman" w:cs="Times New Roman"/>
          <w:color w:val="auto"/>
          <w:u w:val="none"/>
        </w:rPr>
      </w:pPr>
      <w:r>
        <w:rPr>
          <w:rFonts w:hint="default" w:ascii="Times New Roman" w:hAnsi="Times New Roman" w:cs="Times New Roman"/>
          <w:color w:val="auto"/>
          <w:u w:val="none"/>
        </w:rPr>
        <w:t>公众参与</w:t>
      </w:r>
    </w:p>
    <w:p w14:paraId="4629FFD2">
      <w:pPr>
        <w:widowControl/>
        <w:ind w:firstLine="480"/>
        <w:jc w:val="left"/>
        <w:rPr>
          <w:rFonts w:hint="default" w:ascii="Times New Roman" w:hAnsi="Times New Roman" w:cs="Times New Roman"/>
          <w:color w:val="auto"/>
          <w:u w:val="none"/>
        </w:rPr>
      </w:pPr>
      <w:r>
        <w:rPr>
          <w:rFonts w:hint="default" w:ascii="Times New Roman" w:hAnsi="Times New Roman" w:cs="Times New Roman"/>
          <w:color w:val="auto"/>
          <w:u w:val="none"/>
        </w:rPr>
        <w:t>项目公众参与调查采取现场公示、网上公示和报纸公示等调查方式。202</w:t>
      </w:r>
      <w:r>
        <w:rPr>
          <w:rFonts w:hint="default" w:ascii="Times New Roman" w:hAnsi="Times New Roman" w:cs="Times New Roman"/>
          <w:color w:val="auto"/>
          <w:u w:val="none"/>
          <w:lang w:val="en-US" w:eastAsia="zh-CN"/>
        </w:rPr>
        <w:t>4</w:t>
      </w:r>
      <w:r>
        <w:rPr>
          <w:rFonts w:hint="default" w:ascii="Times New Roman" w:hAnsi="Times New Roman" w:cs="Times New Roman"/>
          <w:color w:val="auto"/>
          <w:u w:val="none"/>
        </w:rPr>
        <w:t>年</w:t>
      </w:r>
      <w:r>
        <w:rPr>
          <w:rFonts w:hint="default" w:ascii="Times New Roman" w:hAnsi="Times New Roman" w:cs="Times New Roman"/>
          <w:color w:val="auto"/>
          <w:u w:val="none"/>
          <w:lang w:val="en-US" w:eastAsia="zh-CN"/>
        </w:rPr>
        <w:t>10</w:t>
      </w:r>
      <w:r>
        <w:rPr>
          <w:rFonts w:hint="default" w:ascii="Times New Roman" w:hAnsi="Times New Roman" w:cs="Times New Roman"/>
          <w:color w:val="auto"/>
          <w:u w:val="none"/>
        </w:rPr>
        <w:t>月</w:t>
      </w:r>
      <w:r>
        <w:rPr>
          <w:rFonts w:hint="default" w:ascii="Times New Roman" w:hAnsi="Times New Roman" w:cs="Times New Roman"/>
          <w:color w:val="auto"/>
          <w:u w:val="none"/>
          <w:lang w:val="en-US" w:eastAsia="zh-CN"/>
        </w:rPr>
        <w:t>21</w:t>
      </w:r>
      <w:r>
        <w:rPr>
          <w:rFonts w:hint="default" w:ascii="Times New Roman" w:hAnsi="Times New Roman" w:cs="Times New Roman"/>
          <w:color w:val="auto"/>
          <w:u w:val="none"/>
        </w:rPr>
        <w:t>日，在</w:t>
      </w:r>
      <w:r>
        <w:rPr>
          <w:rFonts w:hint="default" w:ascii="Times New Roman" w:hAnsi="Times New Roman" w:cs="Times New Roman"/>
          <w:color w:val="auto"/>
          <w:u w:val="none"/>
          <w:lang w:eastAsia="zh-CN"/>
        </w:rPr>
        <w:t>生态环境公示网</w:t>
      </w:r>
      <w:r>
        <w:rPr>
          <w:rFonts w:hint="default" w:ascii="Times New Roman" w:hAnsi="Times New Roman" w:cs="Times New Roman"/>
          <w:color w:val="auto"/>
          <w:u w:val="none"/>
        </w:rPr>
        <w:t>进行项目第一次信息公示；20</w:t>
      </w:r>
      <w:r>
        <w:rPr>
          <w:rFonts w:hint="default" w:ascii="Times New Roman" w:hAnsi="Times New Roman" w:cs="Times New Roman"/>
          <w:color w:val="auto"/>
          <w:u w:val="none"/>
          <w:lang w:val="en-US" w:eastAsia="zh-CN"/>
        </w:rPr>
        <w:t>24</w:t>
      </w:r>
      <w:r>
        <w:rPr>
          <w:rFonts w:hint="default" w:ascii="Times New Roman" w:hAnsi="Times New Roman" w:cs="Times New Roman"/>
          <w:color w:val="auto"/>
          <w:u w:val="none"/>
        </w:rPr>
        <w:t>年</w:t>
      </w:r>
      <w:r>
        <w:rPr>
          <w:rFonts w:hint="default" w:ascii="Times New Roman" w:hAnsi="Times New Roman" w:cs="Times New Roman"/>
          <w:color w:val="auto"/>
          <w:u w:val="none"/>
          <w:lang w:val="en-US" w:eastAsia="zh-CN"/>
        </w:rPr>
        <w:t>12</w:t>
      </w:r>
      <w:r>
        <w:rPr>
          <w:rFonts w:hint="default" w:ascii="Times New Roman" w:hAnsi="Times New Roman" w:cs="Times New Roman"/>
          <w:color w:val="auto"/>
          <w:u w:val="none"/>
        </w:rPr>
        <w:t>月</w:t>
      </w:r>
      <w:r>
        <w:rPr>
          <w:rFonts w:hint="default" w:ascii="Times New Roman" w:hAnsi="Times New Roman" w:cs="Times New Roman"/>
          <w:color w:val="auto"/>
          <w:u w:val="none"/>
          <w:lang w:val="en-US" w:eastAsia="zh-CN"/>
        </w:rPr>
        <w:t>6</w:t>
      </w:r>
      <w:r>
        <w:rPr>
          <w:rFonts w:hint="default" w:ascii="Times New Roman" w:hAnsi="Times New Roman" w:cs="Times New Roman"/>
          <w:color w:val="auto"/>
          <w:u w:val="none"/>
        </w:rPr>
        <w:t>日</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在</w:t>
      </w:r>
      <w:r>
        <w:rPr>
          <w:rFonts w:hint="default" w:ascii="Times New Roman" w:hAnsi="Times New Roman" w:cs="Times New Roman"/>
          <w:color w:val="auto"/>
          <w:u w:val="none"/>
          <w:lang w:eastAsia="zh-CN"/>
        </w:rPr>
        <w:t>生态环境公示网</w:t>
      </w:r>
      <w:r>
        <w:rPr>
          <w:rFonts w:hint="default" w:ascii="Times New Roman" w:hAnsi="Times New Roman" w:cs="Times New Roman"/>
          <w:color w:val="auto"/>
          <w:u w:val="none"/>
        </w:rPr>
        <w:t>进行项目第二次信息公示</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20</w:t>
      </w:r>
      <w:r>
        <w:rPr>
          <w:rFonts w:hint="default" w:ascii="Times New Roman" w:hAnsi="Times New Roman" w:cs="Times New Roman"/>
          <w:color w:val="auto"/>
          <w:u w:val="none"/>
          <w:lang w:val="en-US" w:eastAsia="zh-CN"/>
        </w:rPr>
        <w:t>24</w:t>
      </w:r>
      <w:r>
        <w:rPr>
          <w:rFonts w:hint="default" w:ascii="Times New Roman" w:hAnsi="Times New Roman" w:cs="Times New Roman"/>
          <w:color w:val="auto"/>
          <w:u w:val="none"/>
        </w:rPr>
        <w:t>年</w:t>
      </w:r>
      <w:r>
        <w:rPr>
          <w:rFonts w:hint="default" w:ascii="Times New Roman" w:hAnsi="Times New Roman" w:cs="Times New Roman"/>
          <w:color w:val="auto"/>
          <w:u w:val="none"/>
          <w:lang w:val="en-US" w:eastAsia="zh-CN"/>
        </w:rPr>
        <w:t>12</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19</w:t>
      </w:r>
      <w:r>
        <w:rPr>
          <w:rFonts w:hint="default" w:ascii="Times New Roman" w:hAnsi="Times New Roman" w:cs="Times New Roman"/>
          <w:color w:val="auto"/>
          <w:u w:val="none"/>
        </w:rPr>
        <w:t>日、20</w:t>
      </w:r>
      <w:r>
        <w:rPr>
          <w:rFonts w:hint="default" w:ascii="Times New Roman" w:hAnsi="Times New Roman" w:cs="Times New Roman"/>
          <w:color w:val="auto"/>
          <w:u w:val="none"/>
          <w:lang w:val="en-US" w:eastAsia="zh-CN"/>
        </w:rPr>
        <w:t>24</w:t>
      </w:r>
      <w:r>
        <w:rPr>
          <w:rFonts w:hint="default" w:ascii="Times New Roman" w:hAnsi="Times New Roman" w:cs="Times New Roman"/>
          <w:color w:val="auto"/>
          <w:u w:val="none"/>
        </w:rPr>
        <w:t>年</w:t>
      </w:r>
      <w:r>
        <w:rPr>
          <w:rFonts w:hint="default" w:ascii="Times New Roman" w:hAnsi="Times New Roman" w:cs="Times New Roman"/>
          <w:color w:val="auto"/>
          <w:u w:val="none"/>
          <w:lang w:val="en-US" w:eastAsia="zh-CN"/>
        </w:rPr>
        <w:t>12</w:t>
      </w:r>
      <w:r>
        <w:rPr>
          <w:rFonts w:hint="default" w:ascii="Times New Roman" w:hAnsi="Times New Roman" w:cs="Times New Roman"/>
          <w:color w:val="auto"/>
          <w:u w:val="none"/>
        </w:rPr>
        <w:t>月</w:t>
      </w:r>
      <w:r>
        <w:rPr>
          <w:rFonts w:hint="eastAsia" w:ascii="Times New Roman" w:hAnsi="Times New Roman" w:cs="Times New Roman"/>
          <w:color w:val="auto"/>
          <w:u w:val="none"/>
          <w:lang w:val="en-US" w:eastAsia="zh-CN"/>
        </w:rPr>
        <w:t>20</w:t>
      </w:r>
      <w:r>
        <w:rPr>
          <w:rFonts w:hint="default" w:ascii="Times New Roman" w:hAnsi="Times New Roman" w:cs="Times New Roman"/>
          <w:color w:val="auto"/>
          <w:u w:val="none"/>
        </w:rPr>
        <w:t>日在</w:t>
      </w:r>
      <w:r>
        <w:rPr>
          <w:rFonts w:hint="default" w:ascii="Times New Roman" w:hAnsi="Times New Roman" w:cs="Times New Roman"/>
          <w:color w:val="auto"/>
          <w:u w:val="none"/>
          <w:lang w:val="en-US" w:eastAsia="zh-CN"/>
        </w:rPr>
        <w:t>环球时报</w:t>
      </w:r>
      <w:r>
        <w:rPr>
          <w:rFonts w:hint="default" w:ascii="Times New Roman" w:hAnsi="Times New Roman" w:cs="Times New Roman"/>
          <w:color w:val="auto"/>
          <w:u w:val="none"/>
        </w:rPr>
        <w:t>进行两次环境影响评价公众参与报纸公示</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20</w:t>
      </w:r>
      <w:r>
        <w:rPr>
          <w:rFonts w:hint="default" w:ascii="Times New Roman" w:hAnsi="Times New Roman" w:cs="Times New Roman"/>
          <w:color w:val="auto"/>
          <w:u w:val="none"/>
          <w:lang w:val="en-US" w:eastAsia="zh-CN"/>
        </w:rPr>
        <w:t>24</w:t>
      </w:r>
      <w:r>
        <w:rPr>
          <w:rFonts w:hint="default" w:ascii="Times New Roman" w:hAnsi="Times New Roman" w:cs="Times New Roman"/>
          <w:color w:val="auto"/>
          <w:u w:val="none"/>
        </w:rPr>
        <w:t>年</w:t>
      </w:r>
      <w:r>
        <w:rPr>
          <w:rFonts w:hint="default" w:ascii="Times New Roman" w:hAnsi="Times New Roman" w:cs="Times New Roman"/>
          <w:color w:val="auto"/>
          <w:u w:val="none"/>
          <w:lang w:val="en-US" w:eastAsia="zh-CN"/>
        </w:rPr>
        <w:t>11</w:t>
      </w:r>
      <w:r>
        <w:rPr>
          <w:rFonts w:hint="default" w:ascii="Times New Roman" w:hAnsi="Times New Roman" w:cs="Times New Roman"/>
          <w:color w:val="auto"/>
          <w:u w:val="none"/>
        </w:rPr>
        <w:t>月</w:t>
      </w:r>
      <w:r>
        <w:rPr>
          <w:rFonts w:hint="default" w:ascii="Times New Roman" w:hAnsi="Times New Roman" w:cs="Times New Roman"/>
          <w:color w:val="auto"/>
          <w:u w:val="none"/>
          <w:lang w:val="en-US" w:eastAsia="zh-CN"/>
        </w:rPr>
        <w:t>16日~29</w:t>
      </w:r>
      <w:r>
        <w:rPr>
          <w:rFonts w:hint="default" w:ascii="Times New Roman" w:hAnsi="Times New Roman" w:cs="Times New Roman"/>
          <w:color w:val="auto"/>
          <w:u w:val="none"/>
        </w:rPr>
        <w:t>日，建设单位在项目所在地进行了第二次项目环境影响评价公众参与现场张贴公示。在公示期内亦没有收到任何反对意见。本次公众参与调查方法可行，结果可信。</w:t>
      </w:r>
    </w:p>
    <w:p w14:paraId="3A16DD8E">
      <w:pPr>
        <w:pStyle w:val="5"/>
        <w:rPr>
          <w:rFonts w:hint="default" w:ascii="Times New Roman" w:hAnsi="Times New Roman" w:cs="Times New Roman"/>
          <w:color w:val="auto"/>
          <w:u w:val="none"/>
        </w:rPr>
      </w:pPr>
      <w:r>
        <w:rPr>
          <w:rFonts w:hint="default" w:ascii="Times New Roman" w:hAnsi="Times New Roman" w:cs="Times New Roman"/>
          <w:color w:val="auto"/>
          <w:u w:val="none"/>
        </w:rPr>
        <w:t>结论</w:t>
      </w:r>
    </w:p>
    <w:p w14:paraId="44F55A67">
      <w:pPr>
        <w:pStyle w:val="14"/>
        <w:ind w:firstLine="480"/>
        <w:rPr>
          <w:rFonts w:hint="default" w:ascii="Times New Roman" w:hAnsi="Times New Roman" w:cs="Times New Roman"/>
          <w:color w:val="auto"/>
          <w:u w:val="none"/>
        </w:rPr>
      </w:pPr>
      <w:bookmarkStart w:id="246" w:name="OLE_LINK528"/>
      <w:bookmarkStart w:id="247" w:name="OLE_LINK527"/>
      <w:r>
        <w:rPr>
          <w:rFonts w:hint="default" w:ascii="Times New Roman" w:hAnsi="Times New Roman" w:cs="Times New Roman"/>
          <w:color w:val="auto"/>
          <w:u w:val="none"/>
        </w:rPr>
        <w:t>该项目建设符合国家产业政策、符合新区</w:t>
      </w:r>
      <w:r>
        <w:rPr>
          <w:rFonts w:hint="default" w:ascii="Times New Roman" w:hAnsi="Times New Roman" w:cs="Times New Roman"/>
          <w:color w:val="auto"/>
          <w:spacing w:val="-4"/>
          <w:u w:val="none"/>
        </w:rPr>
        <w:t>定位和用地规划</w:t>
      </w:r>
      <w:r>
        <w:rPr>
          <w:rFonts w:hint="default" w:ascii="Times New Roman" w:hAnsi="Times New Roman" w:cs="Times New Roman"/>
          <w:color w:val="auto"/>
          <w:u w:val="none"/>
        </w:rPr>
        <w:t>，厂址选择合理，采用的主要生产工艺属于先进、成熟的清洁生产工艺，采取的污染防治措施有效、可靠。项目正式投产后，正常排放情况下对评价区域环境质量造成的影响不大，在环境可承受范围内。项目的环境效益、经济效益和社会效益较明显。由此可见，只要建设单位能认真落实本环评提出的环保措施、厂区总平面及车间布局优化，并加强日常环境管理，项目产生的废气、废水、噪声可做到达标排放，固废废物可得到安全处置，主要污染物的排放可满足总量控制的要求。从环境保护角度而言，本项目的建设是可行的。</w:t>
      </w:r>
    </w:p>
    <w:bookmarkEnd w:id="246"/>
    <w:bookmarkEnd w:id="247"/>
    <w:p w14:paraId="3A7D906E">
      <w:pPr>
        <w:pStyle w:val="4"/>
        <w:ind w:left="0" w:leftChars="0" w:firstLineChars="0"/>
        <w:rPr>
          <w:rFonts w:hint="default" w:ascii="Times New Roman" w:hAnsi="Times New Roman" w:cs="Times New Roman"/>
          <w:color w:val="auto"/>
          <w:u w:val="none"/>
        </w:rPr>
      </w:pPr>
      <w:bookmarkStart w:id="248" w:name="_Toc29318"/>
      <w:bookmarkStart w:id="249" w:name="_Toc26710"/>
      <w:bookmarkStart w:id="250" w:name="_Toc5517"/>
      <w:r>
        <w:rPr>
          <w:rFonts w:hint="default" w:ascii="Times New Roman" w:hAnsi="Times New Roman" w:cs="Times New Roman"/>
          <w:color w:val="auto"/>
          <w:u w:val="none"/>
        </w:rPr>
        <w:t>建议</w:t>
      </w:r>
      <w:bookmarkEnd w:id="248"/>
      <w:bookmarkEnd w:id="249"/>
      <w:bookmarkEnd w:id="250"/>
    </w:p>
    <w:p w14:paraId="57E3F0E7">
      <w:pPr>
        <w:ind w:firstLine="480"/>
        <w:rPr>
          <w:rFonts w:hint="default" w:ascii="Times New Roman" w:hAnsi="Times New Roman" w:cs="Times New Roman"/>
          <w:color w:val="auto"/>
          <w:u w:val="none"/>
        </w:rPr>
      </w:pPr>
      <w:r>
        <w:rPr>
          <w:rFonts w:hint="default" w:ascii="Times New Roman" w:hAnsi="Times New Roman" w:cs="Times New Roman"/>
          <w:color w:val="auto"/>
          <w:u w:val="none"/>
        </w:rPr>
        <w:t>（1）加强对工程环保设施的管理，并定期各设备、设施进行检查、维护，以减少事故排放和风险事故发生的几率；</w:t>
      </w:r>
    </w:p>
    <w:p w14:paraId="529A9EE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（2）建议下一步设计中从清洁生产的角度对本工程的各项指标、参数进行核实，以确保和先进的生产工艺及技术装备相匹配；</w:t>
      </w:r>
    </w:p>
    <w:p w14:paraId="21768148">
      <w:pPr>
        <w:ind w:firstLine="480"/>
        <w:rPr>
          <w:rFonts w:hint="default" w:ascii="Times New Roman" w:hAnsi="Times New Roman" w:cs="Times New Roman"/>
          <w:color w:val="auto"/>
          <w:u w:val="none"/>
        </w:rPr>
      </w:pPr>
      <w:r>
        <w:rPr>
          <w:rFonts w:hint="default" w:ascii="Times New Roman" w:hAnsi="Times New Roman" w:cs="Times New Roman"/>
          <w:color w:val="auto"/>
          <w:u w:val="none"/>
        </w:rPr>
        <w:t>（3）加强企业污染防治设施的管理，尤其是废气处理设施的维护和运行管理，确保外排废气的各项污染物长期、稳定、持续达标排放，减少企业外排废气对大气环境造成的影响。</w:t>
      </w:r>
    </w:p>
    <w:p w14:paraId="64A83ED2">
      <w:pPr>
        <w:pStyle w:val="15"/>
        <w:ind w:firstLine="0" w:firstLineChars="0"/>
        <w:rPr>
          <w:rFonts w:hint="default" w:ascii="Times New Roman" w:hAnsi="Times New Roman" w:cs="Times New Roman"/>
          <w:color w:val="FF0000"/>
          <w:u w:val="none"/>
        </w:rPr>
      </w:pPr>
    </w:p>
    <w:sectPr>
      <w:footerReference r:id="rId9"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DF429">
    <w:pPr>
      <w:pStyle w:val="20"/>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C18A">
                          <w:pPr>
                            <w:pStyle w:val="20"/>
                            <w:ind w:firstLine="36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4201C18A">
                    <w:pPr>
                      <w:pStyle w:val="20"/>
                      <w:ind w:firstLine="360"/>
                    </w:pPr>
                    <w:r>
                      <w:fldChar w:fldCharType="begin"/>
                    </w:r>
                    <w:r>
                      <w:instrText xml:space="preserve"> PAGE  \* MERGEFORMAT </w:instrText>
                    </w:r>
                    <w:r>
                      <w:fldChar w:fldCharType="separate"/>
                    </w:r>
                    <w:r>
                      <w:t>4</w:t>
                    </w:r>
                    <w:r>
                      <w:fldChar w:fldCharType="end"/>
                    </w:r>
                  </w:p>
                </w:txbxContent>
              </v:textbox>
            </v:shape>
          </w:pict>
        </mc:Fallback>
      </mc:AlternateContent>
    </w:r>
    <w:r>
      <w:rPr>
        <w:rStyle w:val="34"/>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9F61">
    <w:pPr>
      <w:pStyle w:val="20"/>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D29B">
                          <w:pPr>
                            <w:pStyle w:val="20"/>
                            <w:ind w:firstLine="36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8C4D29B">
                    <w:pPr>
                      <w:pStyle w:val="20"/>
                      <w:ind w:firstLine="36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7A08A">
    <w:pPr>
      <w:spacing w:line="14" w:lineRule="auto"/>
      <w:ind w:firstLine="400"/>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84505"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48450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2C986">
                          <w:pPr>
                            <w:pStyle w:val="20"/>
                            <w:ind w:firstLine="360"/>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8.15pt;mso-position-horizontal:center;mso-position-horizontal-relative:margin;z-index:251662336;mso-width-relative:page;mso-height-relative:page;" filled="f" stroked="f" coordsize="21600,21600" o:gfxdata="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XwI09QAAAAEAQAADwAAAAAAAAABACAAAAAiAAAAZHJzL2Rvd25yZXYueG1sUEsB&#10;AhQAFAAAAAgAh07iQAkieLcyAgAAWAQAAA4AAAAAAAAAAQAgAAAAIwEAAGRycy9lMm9Eb2MueG1s&#10;UEsFBgAAAAAGAAYAWQEAAMcFAAAAAA==&#10;">
              <v:fill on="f" focussize="0,0"/>
              <v:stroke on="f" weight="0.5pt"/>
              <v:imagedata o:title=""/>
              <o:lock v:ext="edit" aspectratio="f"/>
              <v:textbox inset="0mm,0mm,0mm,0mm" style="mso-fit-shape-to-text:t;">
                <w:txbxContent>
                  <w:p w14:paraId="0412C986">
                    <w:pPr>
                      <w:pStyle w:val="20"/>
                      <w:ind w:firstLine="360"/>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63090">
    <w:pPr>
      <w:spacing w:line="14" w:lineRule="auto"/>
      <w:ind w:firstLine="400"/>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0AE66">
                          <w:pPr>
                            <w:pStyle w:val="20"/>
                            <w:ind w:firstLine="36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256</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DC0AE66">
                    <w:pPr>
                      <w:pStyle w:val="20"/>
                      <w:ind w:firstLine="36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256</w:t>
                    </w:r>
                    <w:r>
                      <w:rPr>
                        <w:rFonts w:hint="default"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8534E">
    <w:pPr>
      <w:pStyle w:val="21"/>
      <w:pBdr>
        <w:bottom w:val="none" w:color="auto" w:sz="0" w:space="0"/>
      </w:pBdr>
      <w:wordWrap w:val="0"/>
      <w:spacing w:line="240" w:lineRule="auto"/>
      <w:ind w:firstLine="0" w:firstLineChars="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7FF054"/>
    <w:multiLevelType w:val="multilevel"/>
    <w:tmpl w:val="987FF054"/>
    <w:lvl w:ilvl="0" w:tentative="0">
      <w:start w:val="1"/>
      <w:numFmt w:val="decimal"/>
      <w:pStyle w:val="2"/>
      <w:lvlText w:val="%1."/>
      <w:lvlJc w:val="left"/>
      <w:pPr>
        <w:ind w:left="432" w:hanging="432"/>
      </w:pPr>
      <w:rPr>
        <w:rFonts w:hint="default"/>
      </w:rPr>
    </w:lvl>
    <w:lvl w:ilvl="1" w:tentative="0">
      <w:start w:val="1"/>
      <w:numFmt w:val="decimal"/>
      <w:pStyle w:val="4"/>
      <w:lvlText w:val="%1.%2."/>
      <w:lvlJc w:val="left"/>
      <w:pPr>
        <w:ind w:left="0" w:hanging="575"/>
      </w:pPr>
      <w:rPr>
        <w:rFonts w:hint="default"/>
      </w:rPr>
    </w:lvl>
    <w:lvl w:ilvl="2" w:tentative="0">
      <w:start w:val="1"/>
      <w:numFmt w:val="decimal"/>
      <w:pStyle w:val="5"/>
      <w:lvlText w:val="%1.%2.%3."/>
      <w:lvlJc w:val="left"/>
      <w:pPr>
        <w:ind w:left="720" w:hanging="720"/>
      </w:pPr>
      <w:rPr>
        <w:rFonts w:hint="default"/>
      </w:rPr>
    </w:lvl>
    <w:lvl w:ilvl="3" w:tentative="0">
      <w:start w:val="1"/>
      <w:numFmt w:val="decimal"/>
      <w:pStyle w:val="6"/>
      <w:lvlText w:val="%1.%2.%3.%4."/>
      <w:lvlJc w:val="left"/>
      <w:pPr>
        <w:ind w:left="384" w:hanging="864"/>
      </w:pPr>
      <w:rPr>
        <w:rFonts w:hint="default"/>
      </w:rPr>
    </w:lvl>
    <w:lvl w:ilvl="4" w:tentative="0">
      <w:start w:val="1"/>
      <w:numFmt w:val="decimal"/>
      <w:pStyle w:val="7"/>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
    <w:nsid w:val="BDAC53D4"/>
    <w:multiLevelType w:val="singleLevel"/>
    <w:tmpl w:val="BDAC53D4"/>
    <w:lvl w:ilvl="0" w:tentative="0">
      <w:start w:val="1"/>
      <w:numFmt w:val="decimal"/>
      <w:suff w:val="nothing"/>
      <w:lvlText w:val="%1、"/>
      <w:lvlJc w:val="left"/>
    </w:lvl>
  </w:abstractNum>
  <w:abstractNum w:abstractNumId="2">
    <w:nsid w:val="C6F9800D"/>
    <w:multiLevelType w:val="singleLevel"/>
    <w:tmpl w:val="C6F9800D"/>
    <w:lvl w:ilvl="0" w:tentative="0">
      <w:start w:val="1"/>
      <w:numFmt w:val="decimal"/>
      <w:suff w:val="nothing"/>
      <w:lvlText w:val="%1）"/>
      <w:lvlJc w:val="left"/>
    </w:lvl>
  </w:abstractNum>
  <w:abstractNum w:abstractNumId="3">
    <w:nsid w:val="E0841402"/>
    <w:multiLevelType w:val="singleLevel"/>
    <w:tmpl w:val="E0841402"/>
    <w:lvl w:ilvl="0" w:tentative="0">
      <w:start w:val="1"/>
      <w:numFmt w:val="decimal"/>
      <w:suff w:val="nothing"/>
      <w:lvlText w:val="%1、"/>
      <w:lvlJc w:val="left"/>
    </w:lvl>
  </w:abstractNum>
  <w:abstractNum w:abstractNumId="4">
    <w:nsid w:val="F71C4E29"/>
    <w:multiLevelType w:val="singleLevel"/>
    <w:tmpl w:val="F71C4E29"/>
    <w:lvl w:ilvl="0" w:tentative="0">
      <w:start w:val="1"/>
      <w:numFmt w:val="decimal"/>
      <w:suff w:val="nothing"/>
      <w:lvlText w:val="（%1）"/>
      <w:lvlJc w:val="left"/>
    </w:lvl>
  </w:abstractNum>
  <w:abstractNum w:abstractNumId="5">
    <w:nsid w:val="2150B46C"/>
    <w:multiLevelType w:val="singleLevel"/>
    <w:tmpl w:val="2150B46C"/>
    <w:lvl w:ilvl="0" w:tentative="0">
      <w:start w:val="1"/>
      <w:numFmt w:val="decimal"/>
      <w:suff w:val="nothing"/>
      <w:lvlText w:val="%1、"/>
      <w:lvlJc w:val="left"/>
    </w:lvl>
  </w:abstractNum>
  <w:abstractNum w:abstractNumId="6">
    <w:nsid w:val="21A0339F"/>
    <w:multiLevelType w:val="singleLevel"/>
    <w:tmpl w:val="21A0339F"/>
    <w:lvl w:ilvl="0" w:tentative="0">
      <w:start w:val="1"/>
      <w:numFmt w:val="decimal"/>
      <w:suff w:val="nothing"/>
      <w:lvlText w:val="（%1）"/>
      <w:lvlJc w:val="left"/>
    </w:lvl>
  </w:abstractNum>
  <w:abstractNum w:abstractNumId="7">
    <w:nsid w:val="375FE694"/>
    <w:multiLevelType w:val="singleLevel"/>
    <w:tmpl w:val="375FE694"/>
    <w:lvl w:ilvl="0" w:tentative="0">
      <w:start w:val="1"/>
      <w:numFmt w:val="decimal"/>
      <w:suff w:val="nothing"/>
      <w:lvlText w:val="%1、"/>
      <w:lvlJc w:val="left"/>
    </w:lvl>
  </w:abstractNum>
  <w:abstractNum w:abstractNumId="8">
    <w:nsid w:val="494E78BA"/>
    <w:multiLevelType w:val="singleLevel"/>
    <w:tmpl w:val="494E78BA"/>
    <w:lvl w:ilvl="0" w:tentative="0">
      <w:start w:val="1"/>
      <w:numFmt w:val="lowerLetter"/>
      <w:suff w:val="nothing"/>
      <w:lvlText w:val="%1）"/>
      <w:lvlJc w:val="left"/>
    </w:lvl>
  </w:abstractNum>
  <w:abstractNum w:abstractNumId="9">
    <w:nsid w:val="6984E08E"/>
    <w:multiLevelType w:val="singleLevel"/>
    <w:tmpl w:val="6984E08E"/>
    <w:lvl w:ilvl="0" w:tentative="0">
      <w:start w:val="2"/>
      <w:numFmt w:val="decimal"/>
      <w:suff w:val="nothing"/>
      <w:lvlText w:val="%1、"/>
      <w:lvlJc w:val="left"/>
    </w:lvl>
  </w:abstractNum>
  <w:num w:numId="1">
    <w:abstractNumId w:val="0"/>
  </w:num>
  <w:num w:numId="2">
    <w:abstractNumId w:val="6"/>
  </w:num>
  <w:num w:numId="3">
    <w:abstractNumId w:val="9"/>
  </w:num>
  <w:num w:numId="4">
    <w:abstractNumId w:val="8"/>
  </w:num>
  <w:num w:numId="5">
    <w:abstractNumId w:val="7"/>
  </w:num>
  <w:num w:numId="6">
    <w:abstractNumId w:val="5"/>
  </w:num>
  <w:num w:numId="7">
    <w:abstractNumId w:val="1"/>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hideSpellingErrors/>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hMmQ5NDIzODUyNjBhNWJmZmJmY2ViMzFjMWZkMGEifQ=="/>
  </w:docVars>
  <w:rsids>
    <w:rsidRoot w:val="00172A27"/>
    <w:rsid w:val="00031D99"/>
    <w:rsid w:val="000579D2"/>
    <w:rsid w:val="000605A8"/>
    <w:rsid w:val="00070C0B"/>
    <w:rsid w:val="00071AAB"/>
    <w:rsid w:val="00082198"/>
    <w:rsid w:val="000A624E"/>
    <w:rsid w:val="000B295A"/>
    <w:rsid w:val="000C01DC"/>
    <w:rsid w:val="000E7985"/>
    <w:rsid w:val="00105205"/>
    <w:rsid w:val="00106550"/>
    <w:rsid w:val="0012011D"/>
    <w:rsid w:val="0012263A"/>
    <w:rsid w:val="00126804"/>
    <w:rsid w:val="00130AE6"/>
    <w:rsid w:val="00135667"/>
    <w:rsid w:val="00172A27"/>
    <w:rsid w:val="001838D6"/>
    <w:rsid w:val="0019062F"/>
    <w:rsid w:val="001A6D31"/>
    <w:rsid w:val="001B151D"/>
    <w:rsid w:val="00202991"/>
    <w:rsid w:val="00210B71"/>
    <w:rsid w:val="00221F6F"/>
    <w:rsid w:val="002225A1"/>
    <w:rsid w:val="0022526A"/>
    <w:rsid w:val="00247712"/>
    <w:rsid w:val="00257578"/>
    <w:rsid w:val="002A3B74"/>
    <w:rsid w:val="002C3DF7"/>
    <w:rsid w:val="002F28EB"/>
    <w:rsid w:val="002F3EBB"/>
    <w:rsid w:val="00314BF3"/>
    <w:rsid w:val="00393517"/>
    <w:rsid w:val="003B1F74"/>
    <w:rsid w:val="003B7EF4"/>
    <w:rsid w:val="003C37B8"/>
    <w:rsid w:val="003E483B"/>
    <w:rsid w:val="003E5A60"/>
    <w:rsid w:val="003F65F2"/>
    <w:rsid w:val="00402EA3"/>
    <w:rsid w:val="00407962"/>
    <w:rsid w:val="004133CE"/>
    <w:rsid w:val="00414358"/>
    <w:rsid w:val="0045540F"/>
    <w:rsid w:val="00461BC4"/>
    <w:rsid w:val="004846AB"/>
    <w:rsid w:val="00497E37"/>
    <w:rsid w:val="004C42A5"/>
    <w:rsid w:val="004D7782"/>
    <w:rsid w:val="004E4533"/>
    <w:rsid w:val="004E680A"/>
    <w:rsid w:val="00504795"/>
    <w:rsid w:val="00510908"/>
    <w:rsid w:val="00532C64"/>
    <w:rsid w:val="00547127"/>
    <w:rsid w:val="00565003"/>
    <w:rsid w:val="00566E01"/>
    <w:rsid w:val="00571B4A"/>
    <w:rsid w:val="00582A85"/>
    <w:rsid w:val="005863F6"/>
    <w:rsid w:val="005B1A2C"/>
    <w:rsid w:val="005C34F8"/>
    <w:rsid w:val="005C4391"/>
    <w:rsid w:val="005D5294"/>
    <w:rsid w:val="00607D7C"/>
    <w:rsid w:val="00613587"/>
    <w:rsid w:val="00621340"/>
    <w:rsid w:val="006325FD"/>
    <w:rsid w:val="00647093"/>
    <w:rsid w:val="00655715"/>
    <w:rsid w:val="006575E3"/>
    <w:rsid w:val="00671739"/>
    <w:rsid w:val="00673377"/>
    <w:rsid w:val="00674C91"/>
    <w:rsid w:val="00676640"/>
    <w:rsid w:val="0068698B"/>
    <w:rsid w:val="0069362F"/>
    <w:rsid w:val="006B0524"/>
    <w:rsid w:val="006B0FFC"/>
    <w:rsid w:val="006B1F6D"/>
    <w:rsid w:val="006C77A9"/>
    <w:rsid w:val="006F69AF"/>
    <w:rsid w:val="006F7A71"/>
    <w:rsid w:val="0070086D"/>
    <w:rsid w:val="00722908"/>
    <w:rsid w:val="00732B94"/>
    <w:rsid w:val="00742F2C"/>
    <w:rsid w:val="00746ABA"/>
    <w:rsid w:val="007560EF"/>
    <w:rsid w:val="00764B71"/>
    <w:rsid w:val="00777299"/>
    <w:rsid w:val="00786910"/>
    <w:rsid w:val="007A0A9C"/>
    <w:rsid w:val="007C0DCF"/>
    <w:rsid w:val="007D5C3D"/>
    <w:rsid w:val="00803AA1"/>
    <w:rsid w:val="0080662A"/>
    <w:rsid w:val="00836BC4"/>
    <w:rsid w:val="00841B1A"/>
    <w:rsid w:val="008472BD"/>
    <w:rsid w:val="008504C5"/>
    <w:rsid w:val="008537F2"/>
    <w:rsid w:val="008539AC"/>
    <w:rsid w:val="008775AF"/>
    <w:rsid w:val="00895680"/>
    <w:rsid w:val="008A2103"/>
    <w:rsid w:val="008A55A4"/>
    <w:rsid w:val="008A706E"/>
    <w:rsid w:val="008C7FA6"/>
    <w:rsid w:val="008D7787"/>
    <w:rsid w:val="008E35B8"/>
    <w:rsid w:val="009068C4"/>
    <w:rsid w:val="0091100E"/>
    <w:rsid w:val="00914C5C"/>
    <w:rsid w:val="00927D73"/>
    <w:rsid w:val="00954CCE"/>
    <w:rsid w:val="0095750A"/>
    <w:rsid w:val="0096005E"/>
    <w:rsid w:val="0098565A"/>
    <w:rsid w:val="0098613A"/>
    <w:rsid w:val="0099178E"/>
    <w:rsid w:val="009A7280"/>
    <w:rsid w:val="009B1DC5"/>
    <w:rsid w:val="009D0999"/>
    <w:rsid w:val="009F5A8F"/>
    <w:rsid w:val="00A210DC"/>
    <w:rsid w:val="00A44DD0"/>
    <w:rsid w:val="00A65D4E"/>
    <w:rsid w:val="00A725D0"/>
    <w:rsid w:val="00A753F3"/>
    <w:rsid w:val="00A77B61"/>
    <w:rsid w:val="00A87305"/>
    <w:rsid w:val="00A90A21"/>
    <w:rsid w:val="00A95CCC"/>
    <w:rsid w:val="00AB2D50"/>
    <w:rsid w:val="00AC736D"/>
    <w:rsid w:val="00AF1BA5"/>
    <w:rsid w:val="00AF3770"/>
    <w:rsid w:val="00B13135"/>
    <w:rsid w:val="00B13CF1"/>
    <w:rsid w:val="00B32B31"/>
    <w:rsid w:val="00B408D1"/>
    <w:rsid w:val="00B54378"/>
    <w:rsid w:val="00B626C2"/>
    <w:rsid w:val="00B66A2C"/>
    <w:rsid w:val="00B7530A"/>
    <w:rsid w:val="00B90C6D"/>
    <w:rsid w:val="00B92001"/>
    <w:rsid w:val="00B950D3"/>
    <w:rsid w:val="00B95F50"/>
    <w:rsid w:val="00B96E3B"/>
    <w:rsid w:val="00BB0A63"/>
    <w:rsid w:val="00BB27DB"/>
    <w:rsid w:val="00BB6002"/>
    <w:rsid w:val="00BC4BB9"/>
    <w:rsid w:val="00BD1DB1"/>
    <w:rsid w:val="00BD2D89"/>
    <w:rsid w:val="00BF7CF9"/>
    <w:rsid w:val="00C05C55"/>
    <w:rsid w:val="00C15A16"/>
    <w:rsid w:val="00C54779"/>
    <w:rsid w:val="00C63ED8"/>
    <w:rsid w:val="00CC7FF7"/>
    <w:rsid w:val="00CD0E48"/>
    <w:rsid w:val="00CD2FDE"/>
    <w:rsid w:val="00CD46DF"/>
    <w:rsid w:val="00CE4D98"/>
    <w:rsid w:val="00CF2500"/>
    <w:rsid w:val="00CF5FF8"/>
    <w:rsid w:val="00D00782"/>
    <w:rsid w:val="00D129FB"/>
    <w:rsid w:val="00D4265F"/>
    <w:rsid w:val="00D660F1"/>
    <w:rsid w:val="00D92BA6"/>
    <w:rsid w:val="00DB4A4B"/>
    <w:rsid w:val="00DB62A3"/>
    <w:rsid w:val="00DC69F8"/>
    <w:rsid w:val="00DD0D8F"/>
    <w:rsid w:val="00DE1120"/>
    <w:rsid w:val="00DE1BEA"/>
    <w:rsid w:val="00DE4C35"/>
    <w:rsid w:val="00DF5137"/>
    <w:rsid w:val="00E031C6"/>
    <w:rsid w:val="00E170B5"/>
    <w:rsid w:val="00E31882"/>
    <w:rsid w:val="00E334EB"/>
    <w:rsid w:val="00E37A11"/>
    <w:rsid w:val="00E87675"/>
    <w:rsid w:val="00E9052B"/>
    <w:rsid w:val="00E92371"/>
    <w:rsid w:val="00EA2379"/>
    <w:rsid w:val="00EC4AF2"/>
    <w:rsid w:val="00EF366E"/>
    <w:rsid w:val="00EF596E"/>
    <w:rsid w:val="00F06BB8"/>
    <w:rsid w:val="00F129EC"/>
    <w:rsid w:val="00F13A37"/>
    <w:rsid w:val="00F165FC"/>
    <w:rsid w:val="00F25635"/>
    <w:rsid w:val="00F31A0A"/>
    <w:rsid w:val="00F72ED2"/>
    <w:rsid w:val="00FA5E8B"/>
    <w:rsid w:val="00FB0778"/>
    <w:rsid w:val="00FB26E5"/>
    <w:rsid w:val="00FC6484"/>
    <w:rsid w:val="010178F5"/>
    <w:rsid w:val="01227507"/>
    <w:rsid w:val="01313A56"/>
    <w:rsid w:val="01396BD7"/>
    <w:rsid w:val="013C56E1"/>
    <w:rsid w:val="01452A64"/>
    <w:rsid w:val="014858A7"/>
    <w:rsid w:val="014C0815"/>
    <w:rsid w:val="0158220F"/>
    <w:rsid w:val="015E3552"/>
    <w:rsid w:val="0162788C"/>
    <w:rsid w:val="01862CBA"/>
    <w:rsid w:val="019422C7"/>
    <w:rsid w:val="01944769"/>
    <w:rsid w:val="01956110"/>
    <w:rsid w:val="01980C30"/>
    <w:rsid w:val="019C4126"/>
    <w:rsid w:val="01A53C40"/>
    <w:rsid w:val="01BF2B01"/>
    <w:rsid w:val="01CB3E73"/>
    <w:rsid w:val="01CB4239"/>
    <w:rsid w:val="01D20244"/>
    <w:rsid w:val="01DF16E5"/>
    <w:rsid w:val="01DF56AA"/>
    <w:rsid w:val="01E23718"/>
    <w:rsid w:val="01EE1C69"/>
    <w:rsid w:val="020205DC"/>
    <w:rsid w:val="020E1106"/>
    <w:rsid w:val="021B5D14"/>
    <w:rsid w:val="02282D0D"/>
    <w:rsid w:val="022D06C2"/>
    <w:rsid w:val="022D74D6"/>
    <w:rsid w:val="02317CE6"/>
    <w:rsid w:val="02346AA7"/>
    <w:rsid w:val="023A1F9E"/>
    <w:rsid w:val="02471363"/>
    <w:rsid w:val="024874D9"/>
    <w:rsid w:val="02565708"/>
    <w:rsid w:val="026A1DF1"/>
    <w:rsid w:val="026B40CD"/>
    <w:rsid w:val="026F6DDE"/>
    <w:rsid w:val="02721E6A"/>
    <w:rsid w:val="027A0994"/>
    <w:rsid w:val="027D0C60"/>
    <w:rsid w:val="027D0F8C"/>
    <w:rsid w:val="028A3B63"/>
    <w:rsid w:val="028B49D5"/>
    <w:rsid w:val="02922CF8"/>
    <w:rsid w:val="02A85375"/>
    <w:rsid w:val="02AA12CC"/>
    <w:rsid w:val="02AA487C"/>
    <w:rsid w:val="02B36EEA"/>
    <w:rsid w:val="02BB5A8C"/>
    <w:rsid w:val="02BD7E03"/>
    <w:rsid w:val="02CA7F94"/>
    <w:rsid w:val="02CB33D2"/>
    <w:rsid w:val="02CC57C3"/>
    <w:rsid w:val="02D52AF4"/>
    <w:rsid w:val="02DB6087"/>
    <w:rsid w:val="02DE4F74"/>
    <w:rsid w:val="02E11602"/>
    <w:rsid w:val="02E37C30"/>
    <w:rsid w:val="02E40DD4"/>
    <w:rsid w:val="02EA077C"/>
    <w:rsid w:val="02F12CE4"/>
    <w:rsid w:val="02F1397C"/>
    <w:rsid w:val="02F738CD"/>
    <w:rsid w:val="03014A96"/>
    <w:rsid w:val="03016FEF"/>
    <w:rsid w:val="030B5984"/>
    <w:rsid w:val="030C5B87"/>
    <w:rsid w:val="031F1265"/>
    <w:rsid w:val="0324021C"/>
    <w:rsid w:val="03275DA0"/>
    <w:rsid w:val="0328191F"/>
    <w:rsid w:val="033168DB"/>
    <w:rsid w:val="033244A1"/>
    <w:rsid w:val="0336458A"/>
    <w:rsid w:val="03397DAF"/>
    <w:rsid w:val="03483348"/>
    <w:rsid w:val="03780C73"/>
    <w:rsid w:val="038326C7"/>
    <w:rsid w:val="03893811"/>
    <w:rsid w:val="038A7E04"/>
    <w:rsid w:val="03941ED4"/>
    <w:rsid w:val="039631BC"/>
    <w:rsid w:val="03AF0A59"/>
    <w:rsid w:val="03AF2027"/>
    <w:rsid w:val="03B22CBA"/>
    <w:rsid w:val="03B27A2E"/>
    <w:rsid w:val="03B71A91"/>
    <w:rsid w:val="03C06197"/>
    <w:rsid w:val="03CB2910"/>
    <w:rsid w:val="03CC0BEC"/>
    <w:rsid w:val="03CC4303"/>
    <w:rsid w:val="03D15C32"/>
    <w:rsid w:val="03E2254C"/>
    <w:rsid w:val="03E532E0"/>
    <w:rsid w:val="03E6251D"/>
    <w:rsid w:val="03F62235"/>
    <w:rsid w:val="041534AD"/>
    <w:rsid w:val="044677AD"/>
    <w:rsid w:val="0452768A"/>
    <w:rsid w:val="04563940"/>
    <w:rsid w:val="04574A9C"/>
    <w:rsid w:val="046E314E"/>
    <w:rsid w:val="047E3C64"/>
    <w:rsid w:val="047F7C78"/>
    <w:rsid w:val="04956ECC"/>
    <w:rsid w:val="04966A51"/>
    <w:rsid w:val="04A024BA"/>
    <w:rsid w:val="04A51F85"/>
    <w:rsid w:val="04AA3887"/>
    <w:rsid w:val="04BA3BFA"/>
    <w:rsid w:val="04C913F8"/>
    <w:rsid w:val="04CE071D"/>
    <w:rsid w:val="04E14AB9"/>
    <w:rsid w:val="04FF45AC"/>
    <w:rsid w:val="050E7907"/>
    <w:rsid w:val="0515716A"/>
    <w:rsid w:val="051632E4"/>
    <w:rsid w:val="051E1FF4"/>
    <w:rsid w:val="05217FF6"/>
    <w:rsid w:val="05296C2E"/>
    <w:rsid w:val="05336680"/>
    <w:rsid w:val="05340EE4"/>
    <w:rsid w:val="05384C0F"/>
    <w:rsid w:val="05465891"/>
    <w:rsid w:val="054B35C3"/>
    <w:rsid w:val="055829F5"/>
    <w:rsid w:val="05681381"/>
    <w:rsid w:val="05773900"/>
    <w:rsid w:val="057C32E7"/>
    <w:rsid w:val="058D679A"/>
    <w:rsid w:val="058D721B"/>
    <w:rsid w:val="05922697"/>
    <w:rsid w:val="059960DD"/>
    <w:rsid w:val="05A00AB1"/>
    <w:rsid w:val="05AA778A"/>
    <w:rsid w:val="05B316B3"/>
    <w:rsid w:val="05BA6D57"/>
    <w:rsid w:val="05C70F2A"/>
    <w:rsid w:val="05D13AC9"/>
    <w:rsid w:val="05D638E8"/>
    <w:rsid w:val="05D71224"/>
    <w:rsid w:val="060774EA"/>
    <w:rsid w:val="062213AF"/>
    <w:rsid w:val="062D7790"/>
    <w:rsid w:val="06362951"/>
    <w:rsid w:val="063C20DA"/>
    <w:rsid w:val="064D44B6"/>
    <w:rsid w:val="06611386"/>
    <w:rsid w:val="06651DB0"/>
    <w:rsid w:val="06744454"/>
    <w:rsid w:val="06781F50"/>
    <w:rsid w:val="067B0564"/>
    <w:rsid w:val="068446CC"/>
    <w:rsid w:val="0690023C"/>
    <w:rsid w:val="06914381"/>
    <w:rsid w:val="06950CBD"/>
    <w:rsid w:val="069532AD"/>
    <w:rsid w:val="06BB516D"/>
    <w:rsid w:val="06C555E7"/>
    <w:rsid w:val="06CA34F5"/>
    <w:rsid w:val="06DB4F0D"/>
    <w:rsid w:val="06E27010"/>
    <w:rsid w:val="07033D53"/>
    <w:rsid w:val="07065A10"/>
    <w:rsid w:val="070914AD"/>
    <w:rsid w:val="073B22EA"/>
    <w:rsid w:val="07425ED3"/>
    <w:rsid w:val="074777DE"/>
    <w:rsid w:val="074C14C8"/>
    <w:rsid w:val="074D717F"/>
    <w:rsid w:val="075652E4"/>
    <w:rsid w:val="076A6382"/>
    <w:rsid w:val="0776305A"/>
    <w:rsid w:val="077B2244"/>
    <w:rsid w:val="07815F3C"/>
    <w:rsid w:val="0783003A"/>
    <w:rsid w:val="079C5163"/>
    <w:rsid w:val="07A778B3"/>
    <w:rsid w:val="07AF3264"/>
    <w:rsid w:val="07AF3790"/>
    <w:rsid w:val="07B4056B"/>
    <w:rsid w:val="07BC2BAB"/>
    <w:rsid w:val="07BD25AD"/>
    <w:rsid w:val="07D63361"/>
    <w:rsid w:val="07EB34D2"/>
    <w:rsid w:val="0803222D"/>
    <w:rsid w:val="080D6E43"/>
    <w:rsid w:val="08116774"/>
    <w:rsid w:val="085F5EAC"/>
    <w:rsid w:val="0883436C"/>
    <w:rsid w:val="08A640AF"/>
    <w:rsid w:val="08AC67B8"/>
    <w:rsid w:val="08B128F7"/>
    <w:rsid w:val="08C00ED3"/>
    <w:rsid w:val="08C914D6"/>
    <w:rsid w:val="08CA353E"/>
    <w:rsid w:val="08CE0793"/>
    <w:rsid w:val="08F05839"/>
    <w:rsid w:val="08F55D20"/>
    <w:rsid w:val="08F966F5"/>
    <w:rsid w:val="08FE3363"/>
    <w:rsid w:val="08FF2588"/>
    <w:rsid w:val="0909491D"/>
    <w:rsid w:val="09293818"/>
    <w:rsid w:val="093C001D"/>
    <w:rsid w:val="094F2FDA"/>
    <w:rsid w:val="094F68CC"/>
    <w:rsid w:val="095D41F7"/>
    <w:rsid w:val="095E4E2F"/>
    <w:rsid w:val="09752F40"/>
    <w:rsid w:val="097D4C1B"/>
    <w:rsid w:val="09866630"/>
    <w:rsid w:val="09884AF8"/>
    <w:rsid w:val="098B4D91"/>
    <w:rsid w:val="098C3CC3"/>
    <w:rsid w:val="0997694A"/>
    <w:rsid w:val="09983E41"/>
    <w:rsid w:val="09A137B2"/>
    <w:rsid w:val="09AE1FE2"/>
    <w:rsid w:val="09C779C7"/>
    <w:rsid w:val="09CA7A94"/>
    <w:rsid w:val="09CB1A80"/>
    <w:rsid w:val="09CB3B8D"/>
    <w:rsid w:val="09CC786C"/>
    <w:rsid w:val="09CE2D3D"/>
    <w:rsid w:val="09CF7FB4"/>
    <w:rsid w:val="09E91B25"/>
    <w:rsid w:val="0A17047E"/>
    <w:rsid w:val="0A284AF4"/>
    <w:rsid w:val="0A394B2F"/>
    <w:rsid w:val="0A43302A"/>
    <w:rsid w:val="0A434AB2"/>
    <w:rsid w:val="0A4F7D5E"/>
    <w:rsid w:val="0A507E0C"/>
    <w:rsid w:val="0A5E6AFA"/>
    <w:rsid w:val="0A661ACA"/>
    <w:rsid w:val="0A882568"/>
    <w:rsid w:val="0A8D3DBE"/>
    <w:rsid w:val="0A9A2A02"/>
    <w:rsid w:val="0A9A37E3"/>
    <w:rsid w:val="0AA14B1F"/>
    <w:rsid w:val="0AAB3175"/>
    <w:rsid w:val="0AB0307D"/>
    <w:rsid w:val="0AB11AF4"/>
    <w:rsid w:val="0AC21C32"/>
    <w:rsid w:val="0AD950EC"/>
    <w:rsid w:val="0AEF3D5C"/>
    <w:rsid w:val="0B09687A"/>
    <w:rsid w:val="0B0F2F33"/>
    <w:rsid w:val="0B11213B"/>
    <w:rsid w:val="0B3A021C"/>
    <w:rsid w:val="0B4646D9"/>
    <w:rsid w:val="0B5730A8"/>
    <w:rsid w:val="0B6128A8"/>
    <w:rsid w:val="0B674EBC"/>
    <w:rsid w:val="0B69011C"/>
    <w:rsid w:val="0B6C4925"/>
    <w:rsid w:val="0B6D381B"/>
    <w:rsid w:val="0B787A58"/>
    <w:rsid w:val="0B7B08EA"/>
    <w:rsid w:val="0B965992"/>
    <w:rsid w:val="0BA82194"/>
    <w:rsid w:val="0BB35BB9"/>
    <w:rsid w:val="0BB973F1"/>
    <w:rsid w:val="0BC33FC1"/>
    <w:rsid w:val="0BC474E4"/>
    <w:rsid w:val="0BC575F9"/>
    <w:rsid w:val="0BCF1B78"/>
    <w:rsid w:val="0BD107BF"/>
    <w:rsid w:val="0BE37E56"/>
    <w:rsid w:val="0BED5959"/>
    <w:rsid w:val="0BF06EB1"/>
    <w:rsid w:val="0C0256E6"/>
    <w:rsid w:val="0C0626AE"/>
    <w:rsid w:val="0C105A94"/>
    <w:rsid w:val="0C2832B6"/>
    <w:rsid w:val="0C430B50"/>
    <w:rsid w:val="0C437F80"/>
    <w:rsid w:val="0C52741A"/>
    <w:rsid w:val="0C7360F1"/>
    <w:rsid w:val="0C786BDD"/>
    <w:rsid w:val="0C7C2C5D"/>
    <w:rsid w:val="0C831DFB"/>
    <w:rsid w:val="0C8B2929"/>
    <w:rsid w:val="0CA65875"/>
    <w:rsid w:val="0CA762D4"/>
    <w:rsid w:val="0CAB6D80"/>
    <w:rsid w:val="0CB85723"/>
    <w:rsid w:val="0CC23364"/>
    <w:rsid w:val="0CCD1558"/>
    <w:rsid w:val="0CDD5771"/>
    <w:rsid w:val="0CEA5F50"/>
    <w:rsid w:val="0CED50AF"/>
    <w:rsid w:val="0CEF6BD7"/>
    <w:rsid w:val="0CFF5D50"/>
    <w:rsid w:val="0D01001C"/>
    <w:rsid w:val="0D01043E"/>
    <w:rsid w:val="0D014479"/>
    <w:rsid w:val="0D077DD0"/>
    <w:rsid w:val="0D1418BD"/>
    <w:rsid w:val="0D2C4A93"/>
    <w:rsid w:val="0D371F45"/>
    <w:rsid w:val="0D445B76"/>
    <w:rsid w:val="0D594EAD"/>
    <w:rsid w:val="0D5A4094"/>
    <w:rsid w:val="0D72654B"/>
    <w:rsid w:val="0D81626C"/>
    <w:rsid w:val="0D92558E"/>
    <w:rsid w:val="0D9304EB"/>
    <w:rsid w:val="0DB421D4"/>
    <w:rsid w:val="0DB461AA"/>
    <w:rsid w:val="0DB77176"/>
    <w:rsid w:val="0DBD09A8"/>
    <w:rsid w:val="0DC10F27"/>
    <w:rsid w:val="0DD80C62"/>
    <w:rsid w:val="0DFB5A18"/>
    <w:rsid w:val="0E056A05"/>
    <w:rsid w:val="0E0E3DD7"/>
    <w:rsid w:val="0E0F4CB5"/>
    <w:rsid w:val="0E3C7F4D"/>
    <w:rsid w:val="0E44225C"/>
    <w:rsid w:val="0E5105D8"/>
    <w:rsid w:val="0E5123FD"/>
    <w:rsid w:val="0E770F1E"/>
    <w:rsid w:val="0E80015A"/>
    <w:rsid w:val="0E8C3E86"/>
    <w:rsid w:val="0E8C50FE"/>
    <w:rsid w:val="0E8E54DA"/>
    <w:rsid w:val="0E9361C2"/>
    <w:rsid w:val="0E9E6512"/>
    <w:rsid w:val="0EA578A0"/>
    <w:rsid w:val="0EA872F7"/>
    <w:rsid w:val="0EBA2E73"/>
    <w:rsid w:val="0EBA3EC5"/>
    <w:rsid w:val="0ECC5341"/>
    <w:rsid w:val="0EFC5CD9"/>
    <w:rsid w:val="0F1A2910"/>
    <w:rsid w:val="0F242EBB"/>
    <w:rsid w:val="0F2C6895"/>
    <w:rsid w:val="0F38085C"/>
    <w:rsid w:val="0F3C50B1"/>
    <w:rsid w:val="0F3E577B"/>
    <w:rsid w:val="0F571243"/>
    <w:rsid w:val="0F5E79E1"/>
    <w:rsid w:val="0F6E279F"/>
    <w:rsid w:val="0F8B4CE8"/>
    <w:rsid w:val="0FAD2E15"/>
    <w:rsid w:val="0FAF62EE"/>
    <w:rsid w:val="0FF52AA9"/>
    <w:rsid w:val="0FFA33CC"/>
    <w:rsid w:val="10021DD7"/>
    <w:rsid w:val="10060E11"/>
    <w:rsid w:val="10207B26"/>
    <w:rsid w:val="103D397F"/>
    <w:rsid w:val="10846EC4"/>
    <w:rsid w:val="10864233"/>
    <w:rsid w:val="10897E15"/>
    <w:rsid w:val="10916AB6"/>
    <w:rsid w:val="10AE7FBC"/>
    <w:rsid w:val="10BC0900"/>
    <w:rsid w:val="10CE300C"/>
    <w:rsid w:val="10CF24BE"/>
    <w:rsid w:val="10D9714E"/>
    <w:rsid w:val="10E03249"/>
    <w:rsid w:val="10E17A4B"/>
    <w:rsid w:val="110111FF"/>
    <w:rsid w:val="11031941"/>
    <w:rsid w:val="11313A5C"/>
    <w:rsid w:val="113931C7"/>
    <w:rsid w:val="11473D3D"/>
    <w:rsid w:val="11476C58"/>
    <w:rsid w:val="114A2C81"/>
    <w:rsid w:val="11567ED0"/>
    <w:rsid w:val="11617338"/>
    <w:rsid w:val="116E041E"/>
    <w:rsid w:val="116E2B13"/>
    <w:rsid w:val="116F1956"/>
    <w:rsid w:val="11707E5C"/>
    <w:rsid w:val="117443FC"/>
    <w:rsid w:val="11864155"/>
    <w:rsid w:val="118B5BFE"/>
    <w:rsid w:val="11911FF2"/>
    <w:rsid w:val="11A21881"/>
    <w:rsid w:val="11AA1ADC"/>
    <w:rsid w:val="11B862FD"/>
    <w:rsid w:val="11C90149"/>
    <w:rsid w:val="11CB353A"/>
    <w:rsid w:val="11CC39FF"/>
    <w:rsid w:val="11D36C89"/>
    <w:rsid w:val="11D566EF"/>
    <w:rsid w:val="11D67942"/>
    <w:rsid w:val="11DF131B"/>
    <w:rsid w:val="11E0001D"/>
    <w:rsid w:val="11E102C4"/>
    <w:rsid w:val="11E3559D"/>
    <w:rsid w:val="11EB727F"/>
    <w:rsid w:val="11FA6675"/>
    <w:rsid w:val="11FE2AA3"/>
    <w:rsid w:val="1201425E"/>
    <w:rsid w:val="12074EFF"/>
    <w:rsid w:val="122026E7"/>
    <w:rsid w:val="122F0E1E"/>
    <w:rsid w:val="122F18D1"/>
    <w:rsid w:val="123C0FAA"/>
    <w:rsid w:val="12440672"/>
    <w:rsid w:val="12450933"/>
    <w:rsid w:val="12473BA6"/>
    <w:rsid w:val="124A5A20"/>
    <w:rsid w:val="12596E3B"/>
    <w:rsid w:val="127C686A"/>
    <w:rsid w:val="12821F57"/>
    <w:rsid w:val="129616C1"/>
    <w:rsid w:val="129E6898"/>
    <w:rsid w:val="12B73076"/>
    <w:rsid w:val="12B93D5B"/>
    <w:rsid w:val="12E33AF3"/>
    <w:rsid w:val="12E62BF3"/>
    <w:rsid w:val="12F7235E"/>
    <w:rsid w:val="1308765F"/>
    <w:rsid w:val="132C4821"/>
    <w:rsid w:val="132D15D7"/>
    <w:rsid w:val="13452508"/>
    <w:rsid w:val="134A5C3D"/>
    <w:rsid w:val="134B0B58"/>
    <w:rsid w:val="134E2E7F"/>
    <w:rsid w:val="13687FD4"/>
    <w:rsid w:val="137169D8"/>
    <w:rsid w:val="1377730B"/>
    <w:rsid w:val="137B1E06"/>
    <w:rsid w:val="137E703C"/>
    <w:rsid w:val="138067BB"/>
    <w:rsid w:val="138A2130"/>
    <w:rsid w:val="13916645"/>
    <w:rsid w:val="13965FDB"/>
    <w:rsid w:val="13993FF4"/>
    <w:rsid w:val="13B9178A"/>
    <w:rsid w:val="13D56D76"/>
    <w:rsid w:val="13EC75BE"/>
    <w:rsid w:val="13F371C9"/>
    <w:rsid w:val="14074BA8"/>
    <w:rsid w:val="141821A6"/>
    <w:rsid w:val="142D60AA"/>
    <w:rsid w:val="14366A3C"/>
    <w:rsid w:val="14545DCF"/>
    <w:rsid w:val="146A2700"/>
    <w:rsid w:val="146D70B2"/>
    <w:rsid w:val="147176DF"/>
    <w:rsid w:val="147723EC"/>
    <w:rsid w:val="14873F39"/>
    <w:rsid w:val="148B7136"/>
    <w:rsid w:val="14965C0B"/>
    <w:rsid w:val="14A5005C"/>
    <w:rsid w:val="14BC4AEE"/>
    <w:rsid w:val="14C05230"/>
    <w:rsid w:val="14C51053"/>
    <w:rsid w:val="14D26837"/>
    <w:rsid w:val="14D808D6"/>
    <w:rsid w:val="14D9022A"/>
    <w:rsid w:val="14DB200E"/>
    <w:rsid w:val="14E13FFA"/>
    <w:rsid w:val="14FF0EC7"/>
    <w:rsid w:val="150A49B0"/>
    <w:rsid w:val="15180848"/>
    <w:rsid w:val="15431B38"/>
    <w:rsid w:val="15665983"/>
    <w:rsid w:val="157811F5"/>
    <w:rsid w:val="15881E3A"/>
    <w:rsid w:val="158C5B9D"/>
    <w:rsid w:val="158D6611"/>
    <w:rsid w:val="159B571F"/>
    <w:rsid w:val="15A40262"/>
    <w:rsid w:val="15A815F8"/>
    <w:rsid w:val="15AF49C8"/>
    <w:rsid w:val="15F03086"/>
    <w:rsid w:val="16081BDF"/>
    <w:rsid w:val="16156379"/>
    <w:rsid w:val="162E058F"/>
    <w:rsid w:val="16442E4A"/>
    <w:rsid w:val="16486E98"/>
    <w:rsid w:val="166030C9"/>
    <w:rsid w:val="16611B8E"/>
    <w:rsid w:val="1668709E"/>
    <w:rsid w:val="1669066F"/>
    <w:rsid w:val="166C7F48"/>
    <w:rsid w:val="166F2519"/>
    <w:rsid w:val="166F402D"/>
    <w:rsid w:val="167F4E7B"/>
    <w:rsid w:val="168B5B89"/>
    <w:rsid w:val="169575F2"/>
    <w:rsid w:val="16AF29CF"/>
    <w:rsid w:val="16B13C86"/>
    <w:rsid w:val="16DA4579"/>
    <w:rsid w:val="16DE1BA1"/>
    <w:rsid w:val="16E00BE6"/>
    <w:rsid w:val="16E40B2C"/>
    <w:rsid w:val="16F615E1"/>
    <w:rsid w:val="16FF1F42"/>
    <w:rsid w:val="170114E8"/>
    <w:rsid w:val="1707504C"/>
    <w:rsid w:val="170E1344"/>
    <w:rsid w:val="1718092D"/>
    <w:rsid w:val="1719369B"/>
    <w:rsid w:val="17216CD7"/>
    <w:rsid w:val="172550DF"/>
    <w:rsid w:val="172A34A0"/>
    <w:rsid w:val="172C4DBB"/>
    <w:rsid w:val="172D291E"/>
    <w:rsid w:val="175324D8"/>
    <w:rsid w:val="1755072C"/>
    <w:rsid w:val="17581E7A"/>
    <w:rsid w:val="175A5F46"/>
    <w:rsid w:val="176C73C9"/>
    <w:rsid w:val="1784679C"/>
    <w:rsid w:val="178C16B4"/>
    <w:rsid w:val="178F753F"/>
    <w:rsid w:val="17974876"/>
    <w:rsid w:val="179D166B"/>
    <w:rsid w:val="17A11BBC"/>
    <w:rsid w:val="17A90D49"/>
    <w:rsid w:val="17B423BF"/>
    <w:rsid w:val="17D36CF9"/>
    <w:rsid w:val="17DB236F"/>
    <w:rsid w:val="17EC4D4C"/>
    <w:rsid w:val="18016394"/>
    <w:rsid w:val="1805650F"/>
    <w:rsid w:val="180715CC"/>
    <w:rsid w:val="181A11FB"/>
    <w:rsid w:val="181D5395"/>
    <w:rsid w:val="1824372C"/>
    <w:rsid w:val="182E01A8"/>
    <w:rsid w:val="183220A7"/>
    <w:rsid w:val="18356716"/>
    <w:rsid w:val="183D2F3A"/>
    <w:rsid w:val="18403F55"/>
    <w:rsid w:val="184D3F2B"/>
    <w:rsid w:val="185130CD"/>
    <w:rsid w:val="185B1342"/>
    <w:rsid w:val="18653E57"/>
    <w:rsid w:val="186E6D83"/>
    <w:rsid w:val="18711453"/>
    <w:rsid w:val="18814B4E"/>
    <w:rsid w:val="18851D21"/>
    <w:rsid w:val="189F18C3"/>
    <w:rsid w:val="18B31409"/>
    <w:rsid w:val="18BB1532"/>
    <w:rsid w:val="18BB370C"/>
    <w:rsid w:val="18C035AA"/>
    <w:rsid w:val="18C2469D"/>
    <w:rsid w:val="18C50665"/>
    <w:rsid w:val="18DD40DB"/>
    <w:rsid w:val="18E20AE4"/>
    <w:rsid w:val="18E85C25"/>
    <w:rsid w:val="19042771"/>
    <w:rsid w:val="190B0985"/>
    <w:rsid w:val="191D4014"/>
    <w:rsid w:val="19303081"/>
    <w:rsid w:val="19385169"/>
    <w:rsid w:val="19434185"/>
    <w:rsid w:val="1953333B"/>
    <w:rsid w:val="19781B17"/>
    <w:rsid w:val="1979183F"/>
    <w:rsid w:val="198404C6"/>
    <w:rsid w:val="1999436B"/>
    <w:rsid w:val="199B59FC"/>
    <w:rsid w:val="19A64A85"/>
    <w:rsid w:val="19AF2384"/>
    <w:rsid w:val="19BC343A"/>
    <w:rsid w:val="19C610AE"/>
    <w:rsid w:val="19CE365A"/>
    <w:rsid w:val="19D079B1"/>
    <w:rsid w:val="19D07F59"/>
    <w:rsid w:val="19EA6521"/>
    <w:rsid w:val="19FC0AC8"/>
    <w:rsid w:val="19FD2CB2"/>
    <w:rsid w:val="19FE5588"/>
    <w:rsid w:val="1A0C57A8"/>
    <w:rsid w:val="1A0F674F"/>
    <w:rsid w:val="1A102EB7"/>
    <w:rsid w:val="1A2A6104"/>
    <w:rsid w:val="1A4361F6"/>
    <w:rsid w:val="1A493720"/>
    <w:rsid w:val="1A554870"/>
    <w:rsid w:val="1A580E4A"/>
    <w:rsid w:val="1A5A0AD2"/>
    <w:rsid w:val="1A6573F0"/>
    <w:rsid w:val="1A6D447D"/>
    <w:rsid w:val="1A73721A"/>
    <w:rsid w:val="1A8D74B4"/>
    <w:rsid w:val="1A902896"/>
    <w:rsid w:val="1A9169A7"/>
    <w:rsid w:val="1A955DDD"/>
    <w:rsid w:val="1AA766C2"/>
    <w:rsid w:val="1AB24623"/>
    <w:rsid w:val="1ABA02A0"/>
    <w:rsid w:val="1AE40668"/>
    <w:rsid w:val="1AE91A48"/>
    <w:rsid w:val="1AEA56F7"/>
    <w:rsid w:val="1AEC70E6"/>
    <w:rsid w:val="1B0C4330"/>
    <w:rsid w:val="1B1D01F4"/>
    <w:rsid w:val="1B224B20"/>
    <w:rsid w:val="1B2D76C5"/>
    <w:rsid w:val="1B356E7A"/>
    <w:rsid w:val="1B3709E3"/>
    <w:rsid w:val="1B397D3A"/>
    <w:rsid w:val="1B412344"/>
    <w:rsid w:val="1B4A1EFB"/>
    <w:rsid w:val="1B8B16C6"/>
    <w:rsid w:val="1B924C30"/>
    <w:rsid w:val="1BB4558C"/>
    <w:rsid w:val="1BC152D5"/>
    <w:rsid w:val="1BF129B3"/>
    <w:rsid w:val="1C073948"/>
    <w:rsid w:val="1C0C2543"/>
    <w:rsid w:val="1C1110CC"/>
    <w:rsid w:val="1C1B784B"/>
    <w:rsid w:val="1C236DE1"/>
    <w:rsid w:val="1C25101D"/>
    <w:rsid w:val="1C306CE7"/>
    <w:rsid w:val="1C311C5D"/>
    <w:rsid w:val="1C3244B8"/>
    <w:rsid w:val="1C4012D5"/>
    <w:rsid w:val="1C4B44C1"/>
    <w:rsid w:val="1C58740C"/>
    <w:rsid w:val="1C6F67C5"/>
    <w:rsid w:val="1C7E1710"/>
    <w:rsid w:val="1C8443F0"/>
    <w:rsid w:val="1C853DA0"/>
    <w:rsid w:val="1C86180D"/>
    <w:rsid w:val="1C903CD1"/>
    <w:rsid w:val="1C9E534D"/>
    <w:rsid w:val="1CBF4223"/>
    <w:rsid w:val="1CCA48D0"/>
    <w:rsid w:val="1CE41AA3"/>
    <w:rsid w:val="1CF27D24"/>
    <w:rsid w:val="1D0B4644"/>
    <w:rsid w:val="1D1776F6"/>
    <w:rsid w:val="1D203FD9"/>
    <w:rsid w:val="1D4346C3"/>
    <w:rsid w:val="1D44109D"/>
    <w:rsid w:val="1D5F0D74"/>
    <w:rsid w:val="1D657170"/>
    <w:rsid w:val="1D694298"/>
    <w:rsid w:val="1D6A2A33"/>
    <w:rsid w:val="1D7646EB"/>
    <w:rsid w:val="1D887E55"/>
    <w:rsid w:val="1D994A74"/>
    <w:rsid w:val="1D9C1FBE"/>
    <w:rsid w:val="1D9C6312"/>
    <w:rsid w:val="1DA7417B"/>
    <w:rsid w:val="1DBF2523"/>
    <w:rsid w:val="1DBF632C"/>
    <w:rsid w:val="1DCA45B4"/>
    <w:rsid w:val="1DCD3250"/>
    <w:rsid w:val="1DD53967"/>
    <w:rsid w:val="1E145522"/>
    <w:rsid w:val="1E1609D7"/>
    <w:rsid w:val="1E4759DD"/>
    <w:rsid w:val="1E477414"/>
    <w:rsid w:val="1E477F91"/>
    <w:rsid w:val="1E6B6AF3"/>
    <w:rsid w:val="1E7C7B70"/>
    <w:rsid w:val="1E7D3D09"/>
    <w:rsid w:val="1E861D3E"/>
    <w:rsid w:val="1E870D71"/>
    <w:rsid w:val="1E92044A"/>
    <w:rsid w:val="1E9C4C98"/>
    <w:rsid w:val="1EA41D47"/>
    <w:rsid w:val="1EAD0D18"/>
    <w:rsid w:val="1EB25707"/>
    <w:rsid w:val="1EB41F2E"/>
    <w:rsid w:val="1EB812EE"/>
    <w:rsid w:val="1EBE1373"/>
    <w:rsid w:val="1ED65BEE"/>
    <w:rsid w:val="1EE0604A"/>
    <w:rsid w:val="1EE203E8"/>
    <w:rsid w:val="1EF55301"/>
    <w:rsid w:val="1F0F1DDB"/>
    <w:rsid w:val="1F1E1343"/>
    <w:rsid w:val="1F3152A4"/>
    <w:rsid w:val="1F325A81"/>
    <w:rsid w:val="1F367607"/>
    <w:rsid w:val="1F5E6346"/>
    <w:rsid w:val="1F6133A2"/>
    <w:rsid w:val="1F664E2A"/>
    <w:rsid w:val="1F6C1188"/>
    <w:rsid w:val="1F82140D"/>
    <w:rsid w:val="1F851DB6"/>
    <w:rsid w:val="1F870118"/>
    <w:rsid w:val="1F901EA7"/>
    <w:rsid w:val="1FA871F0"/>
    <w:rsid w:val="1FC57DA2"/>
    <w:rsid w:val="1FC9424C"/>
    <w:rsid w:val="1FCD074A"/>
    <w:rsid w:val="1FE26B5A"/>
    <w:rsid w:val="1FF77B0A"/>
    <w:rsid w:val="2000527E"/>
    <w:rsid w:val="200542B4"/>
    <w:rsid w:val="20126D60"/>
    <w:rsid w:val="2018078D"/>
    <w:rsid w:val="20194ACE"/>
    <w:rsid w:val="202F7201"/>
    <w:rsid w:val="203175D0"/>
    <w:rsid w:val="20436588"/>
    <w:rsid w:val="20697ACE"/>
    <w:rsid w:val="206F6B99"/>
    <w:rsid w:val="207769A8"/>
    <w:rsid w:val="207774B0"/>
    <w:rsid w:val="207C105E"/>
    <w:rsid w:val="2084132D"/>
    <w:rsid w:val="208A4B48"/>
    <w:rsid w:val="209062ED"/>
    <w:rsid w:val="20F6472F"/>
    <w:rsid w:val="20F843D4"/>
    <w:rsid w:val="20FC3C8D"/>
    <w:rsid w:val="210F4606"/>
    <w:rsid w:val="21151F43"/>
    <w:rsid w:val="21296546"/>
    <w:rsid w:val="213A1A60"/>
    <w:rsid w:val="214252E7"/>
    <w:rsid w:val="216A0583"/>
    <w:rsid w:val="217A2049"/>
    <w:rsid w:val="218A7BBA"/>
    <w:rsid w:val="21934006"/>
    <w:rsid w:val="21C20D2D"/>
    <w:rsid w:val="21C32FC3"/>
    <w:rsid w:val="21E16C8F"/>
    <w:rsid w:val="21EC2695"/>
    <w:rsid w:val="21F00388"/>
    <w:rsid w:val="21FA1C07"/>
    <w:rsid w:val="21FA331D"/>
    <w:rsid w:val="21FF280B"/>
    <w:rsid w:val="22232C80"/>
    <w:rsid w:val="22250EB4"/>
    <w:rsid w:val="22405740"/>
    <w:rsid w:val="2245466B"/>
    <w:rsid w:val="224C699D"/>
    <w:rsid w:val="225A4EF6"/>
    <w:rsid w:val="228019B0"/>
    <w:rsid w:val="22A87696"/>
    <w:rsid w:val="22B71E8A"/>
    <w:rsid w:val="22D53077"/>
    <w:rsid w:val="22E24EA7"/>
    <w:rsid w:val="22F841A0"/>
    <w:rsid w:val="230B2D8A"/>
    <w:rsid w:val="230C7700"/>
    <w:rsid w:val="230E380E"/>
    <w:rsid w:val="23124440"/>
    <w:rsid w:val="232662B6"/>
    <w:rsid w:val="232F0A59"/>
    <w:rsid w:val="233F4C21"/>
    <w:rsid w:val="234C3721"/>
    <w:rsid w:val="23625256"/>
    <w:rsid w:val="23717F96"/>
    <w:rsid w:val="23736FC7"/>
    <w:rsid w:val="237C53FB"/>
    <w:rsid w:val="238873A4"/>
    <w:rsid w:val="23924227"/>
    <w:rsid w:val="239A1670"/>
    <w:rsid w:val="239D7D68"/>
    <w:rsid w:val="239F1E4B"/>
    <w:rsid w:val="23AC084C"/>
    <w:rsid w:val="23BC26AD"/>
    <w:rsid w:val="23C47C88"/>
    <w:rsid w:val="23F97D2C"/>
    <w:rsid w:val="23FB3839"/>
    <w:rsid w:val="23FC0351"/>
    <w:rsid w:val="23FD5E72"/>
    <w:rsid w:val="23FE0880"/>
    <w:rsid w:val="24042C33"/>
    <w:rsid w:val="242A15D0"/>
    <w:rsid w:val="242F74A0"/>
    <w:rsid w:val="24347028"/>
    <w:rsid w:val="24443908"/>
    <w:rsid w:val="24505875"/>
    <w:rsid w:val="24622DF1"/>
    <w:rsid w:val="24823344"/>
    <w:rsid w:val="24870A04"/>
    <w:rsid w:val="248B0005"/>
    <w:rsid w:val="249D6BE4"/>
    <w:rsid w:val="24A86E33"/>
    <w:rsid w:val="24B45210"/>
    <w:rsid w:val="24B9568E"/>
    <w:rsid w:val="24CB4573"/>
    <w:rsid w:val="24FA76D4"/>
    <w:rsid w:val="24FD5D14"/>
    <w:rsid w:val="250D26E5"/>
    <w:rsid w:val="250F2043"/>
    <w:rsid w:val="251100EE"/>
    <w:rsid w:val="251334A1"/>
    <w:rsid w:val="25135E7D"/>
    <w:rsid w:val="25137B4A"/>
    <w:rsid w:val="251B3728"/>
    <w:rsid w:val="252F3DA7"/>
    <w:rsid w:val="253E34BB"/>
    <w:rsid w:val="2560227D"/>
    <w:rsid w:val="25691D05"/>
    <w:rsid w:val="257A474A"/>
    <w:rsid w:val="2581431C"/>
    <w:rsid w:val="25826B65"/>
    <w:rsid w:val="258B18E4"/>
    <w:rsid w:val="25905349"/>
    <w:rsid w:val="25922CDA"/>
    <w:rsid w:val="259A665B"/>
    <w:rsid w:val="25AF576B"/>
    <w:rsid w:val="25B91F6F"/>
    <w:rsid w:val="25BC4C8C"/>
    <w:rsid w:val="25CC3386"/>
    <w:rsid w:val="25CD62B7"/>
    <w:rsid w:val="25DC5B32"/>
    <w:rsid w:val="25F72C80"/>
    <w:rsid w:val="25FA6C83"/>
    <w:rsid w:val="26022D82"/>
    <w:rsid w:val="26075062"/>
    <w:rsid w:val="26141908"/>
    <w:rsid w:val="26151599"/>
    <w:rsid w:val="26215FAD"/>
    <w:rsid w:val="26244B83"/>
    <w:rsid w:val="26421A5A"/>
    <w:rsid w:val="26445AC0"/>
    <w:rsid w:val="2657233F"/>
    <w:rsid w:val="26591245"/>
    <w:rsid w:val="266E37FC"/>
    <w:rsid w:val="26777993"/>
    <w:rsid w:val="26806741"/>
    <w:rsid w:val="268442D5"/>
    <w:rsid w:val="268D2249"/>
    <w:rsid w:val="26904E20"/>
    <w:rsid w:val="269C780D"/>
    <w:rsid w:val="26AD4836"/>
    <w:rsid w:val="26AE1C03"/>
    <w:rsid w:val="26B367A6"/>
    <w:rsid w:val="26B40B71"/>
    <w:rsid w:val="26CA4F25"/>
    <w:rsid w:val="26D44912"/>
    <w:rsid w:val="26D627F2"/>
    <w:rsid w:val="26E06855"/>
    <w:rsid w:val="26E63FEC"/>
    <w:rsid w:val="270A74FE"/>
    <w:rsid w:val="271B72C3"/>
    <w:rsid w:val="2730579B"/>
    <w:rsid w:val="273C1842"/>
    <w:rsid w:val="2746105C"/>
    <w:rsid w:val="27655CDB"/>
    <w:rsid w:val="27673E35"/>
    <w:rsid w:val="27785F0B"/>
    <w:rsid w:val="277D5657"/>
    <w:rsid w:val="278003C2"/>
    <w:rsid w:val="27815274"/>
    <w:rsid w:val="27852BF6"/>
    <w:rsid w:val="27896804"/>
    <w:rsid w:val="27897907"/>
    <w:rsid w:val="278A4D53"/>
    <w:rsid w:val="27994816"/>
    <w:rsid w:val="27C20C04"/>
    <w:rsid w:val="27C36ECD"/>
    <w:rsid w:val="27C74BD5"/>
    <w:rsid w:val="27C95067"/>
    <w:rsid w:val="27E24A94"/>
    <w:rsid w:val="27EF1D1C"/>
    <w:rsid w:val="27F76F67"/>
    <w:rsid w:val="27FB2A16"/>
    <w:rsid w:val="280276BA"/>
    <w:rsid w:val="28065589"/>
    <w:rsid w:val="280E2503"/>
    <w:rsid w:val="280F4679"/>
    <w:rsid w:val="281B425C"/>
    <w:rsid w:val="283917FC"/>
    <w:rsid w:val="283E5914"/>
    <w:rsid w:val="284A16C7"/>
    <w:rsid w:val="28532684"/>
    <w:rsid w:val="28536C38"/>
    <w:rsid w:val="28634752"/>
    <w:rsid w:val="286A5F00"/>
    <w:rsid w:val="28852AB5"/>
    <w:rsid w:val="2886464F"/>
    <w:rsid w:val="28917E8A"/>
    <w:rsid w:val="289A5396"/>
    <w:rsid w:val="28A50A58"/>
    <w:rsid w:val="28BB6E5A"/>
    <w:rsid w:val="28C1325F"/>
    <w:rsid w:val="28C22AF5"/>
    <w:rsid w:val="28C83612"/>
    <w:rsid w:val="28D80D7F"/>
    <w:rsid w:val="28D94B70"/>
    <w:rsid w:val="28E34173"/>
    <w:rsid w:val="28E95BAE"/>
    <w:rsid w:val="28ED5F38"/>
    <w:rsid w:val="28F5024A"/>
    <w:rsid w:val="2905291B"/>
    <w:rsid w:val="2918367F"/>
    <w:rsid w:val="291F6E16"/>
    <w:rsid w:val="292D08FC"/>
    <w:rsid w:val="292E7EA9"/>
    <w:rsid w:val="29467212"/>
    <w:rsid w:val="294D4908"/>
    <w:rsid w:val="29523193"/>
    <w:rsid w:val="295D4999"/>
    <w:rsid w:val="296531F8"/>
    <w:rsid w:val="296D7A36"/>
    <w:rsid w:val="29794E92"/>
    <w:rsid w:val="2992762F"/>
    <w:rsid w:val="29A2195A"/>
    <w:rsid w:val="29A35ECD"/>
    <w:rsid w:val="29AB6313"/>
    <w:rsid w:val="29B30E3B"/>
    <w:rsid w:val="29C01E5F"/>
    <w:rsid w:val="29C309E3"/>
    <w:rsid w:val="29CA79AC"/>
    <w:rsid w:val="29D21071"/>
    <w:rsid w:val="29D423DD"/>
    <w:rsid w:val="29E17ECF"/>
    <w:rsid w:val="2A002C28"/>
    <w:rsid w:val="2A0267D3"/>
    <w:rsid w:val="2A1A3758"/>
    <w:rsid w:val="2A1A7E98"/>
    <w:rsid w:val="2A2B429E"/>
    <w:rsid w:val="2A3C2C10"/>
    <w:rsid w:val="2A4A103B"/>
    <w:rsid w:val="2A503127"/>
    <w:rsid w:val="2A5F32F8"/>
    <w:rsid w:val="2A6428F1"/>
    <w:rsid w:val="2A697D46"/>
    <w:rsid w:val="2A7B737F"/>
    <w:rsid w:val="2A804681"/>
    <w:rsid w:val="2A885F87"/>
    <w:rsid w:val="2A9B543F"/>
    <w:rsid w:val="2AA333D6"/>
    <w:rsid w:val="2AA529B9"/>
    <w:rsid w:val="2AAB0F33"/>
    <w:rsid w:val="2AAE2808"/>
    <w:rsid w:val="2AB81DBC"/>
    <w:rsid w:val="2ABE60C3"/>
    <w:rsid w:val="2AC010E5"/>
    <w:rsid w:val="2AC6052A"/>
    <w:rsid w:val="2ADD7C5D"/>
    <w:rsid w:val="2AFE1B32"/>
    <w:rsid w:val="2B071EC9"/>
    <w:rsid w:val="2B163BA8"/>
    <w:rsid w:val="2B2A757F"/>
    <w:rsid w:val="2B310CEF"/>
    <w:rsid w:val="2B31595B"/>
    <w:rsid w:val="2B372F45"/>
    <w:rsid w:val="2B392F3E"/>
    <w:rsid w:val="2B3A7933"/>
    <w:rsid w:val="2B5741D1"/>
    <w:rsid w:val="2B5C7BDC"/>
    <w:rsid w:val="2B6462F7"/>
    <w:rsid w:val="2B762517"/>
    <w:rsid w:val="2B8F61CF"/>
    <w:rsid w:val="2B94576A"/>
    <w:rsid w:val="2B9B308A"/>
    <w:rsid w:val="2BBA2260"/>
    <w:rsid w:val="2BBC1964"/>
    <w:rsid w:val="2BC2435C"/>
    <w:rsid w:val="2BDA5CF6"/>
    <w:rsid w:val="2BF65788"/>
    <w:rsid w:val="2BF97C7E"/>
    <w:rsid w:val="2BFC0D12"/>
    <w:rsid w:val="2C08381F"/>
    <w:rsid w:val="2C0E2D5E"/>
    <w:rsid w:val="2C18149F"/>
    <w:rsid w:val="2C1C51EE"/>
    <w:rsid w:val="2C200BD3"/>
    <w:rsid w:val="2C2B44A7"/>
    <w:rsid w:val="2C526F13"/>
    <w:rsid w:val="2C536453"/>
    <w:rsid w:val="2C556514"/>
    <w:rsid w:val="2C58055F"/>
    <w:rsid w:val="2C5A3760"/>
    <w:rsid w:val="2C613B90"/>
    <w:rsid w:val="2C684EC0"/>
    <w:rsid w:val="2C7B534E"/>
    <w:rsid w:val="2C7D06D0"/>
    <w:rsid w:val="2C7D0BC5"/>
    <w:rsid w:val="2C8D59A4"/>
    <w:rsid w:val="2C94532F"/>
    <w:rsid w:val="2CAA75BD"/>
    <w:rsid w:val="2CAC29D6"/>
    <w:rsid w:val="2CB61C00"/>
    <w:rsid w:val="2CBA16EB"/>
    <w:rsid w:val="2CBF7ED5"/>
    <w:rsid w:val="2CC103F1"/>
    <w:rsid w:val="2CD277DC"/>
    <w:rsid w:val="2CFE6400"/>
    <w:rsid w:val="2D1260F9"/>
    <w:rsid w:val="2D275BA3"/>
    <w:rsid w:val="2D2C669F"/>
    <w:rsid w:val="2D2E0C20"/>
    <w:rsid w:val="2D3C6E0F"/>
    <w:rsid w:val="2D3F79D2"/>
    <w:rsid w:val="2D400CCB"/>
    <w:rsid w:val="2D434E0A"/>
    <w:rsid w:val="2D455A9C"/>
    <w:rsid w:val="2D4569C9"/>
    <w:rsid w:val="2D481823"/>
    <w:rsid w:val="2D4B6999"/>
    <w:rsid w:val="2D4D0C27"/>
    <w:rsid w:val="2D4D255F"/>
    <w:rsid w:val="2D510FEC"/>
    <w:rsid w:val="2D593726"/>
    <w:rsid w:val="2D613652"/>
    <w:rsid w:val="2D615EC5"/>
    <w:rsid w:val="2D69405B"/>
    <w:rsid w:val="2D6B5D9B"/>
    <w:rsid w:val="2D7470F9"/>
    <w:rsid w:val="2D7828F8"/>
    <w:rsid w:val="2DA24077"/>
    <w:rsid w:val="2DA24D44"/>
    <w:rsid w:val="2DAE7CDD"/>
    <w:rsid w:val="2DBE543C"/>
    <w:rsid w:val="2DCC2611"/>
    <w:rsid w:val="2DDF2B2D"/>
    <w:rsid w:val="2DE03F58"/>
    <w:rsid w:val="2DEC3C08"/>
    <w:rsid w:val="2DED55DD"/>
    <w:rsid w:val="2DEF248E"/>
    <w:rsid w:val="2DFA2948"/>
    <w:rsid w:val="2DFC4C81"/>
    <w:rsid w:val="2E186DEE"/>
    <w:rsid w:val="2E1A38A8"/>
    <w:rsid w:val="2E1C0DC7"/>
    <w:rsid w:val="2E1D28E1"/>
    <w:rsid w:val="2E3502DE"/>
    <w:rsid w:val="2E81360C"/>
    <w:rsid w:val="2E8243A6"/>
    <w:rsid w:val="2E8A6B4F"/>
    <w:rsid w:val="2E8F3B72"/>
    <w:rsid w:val="2E981F2B"/>
    <w:rsid w:val="2EA53683"/>
    <w:rsid w:val="2EAC2763"/>
    <w:rsid w:val="2EAC6338"/>
    <w:rsid w:val="2EB41DCA"/>
    <w:rsid w:val="2EB92876"/>
    <w:rsid w:val="2ED36F77"/>
    <w:rsid w:val="2EDB0BA1"/>
    <w:rsid w:val="2EE40FDB"/>
    <w:rsid w:val="2EE53204"/>
    <w:rsid w:val="2EFD2CCD"/>
    <w:rsid w:val="2F112408"/>
    <w:rsid w:val="2F1271CB"/>
    <w:rsid w:val="2F3946EA"/>
    <w:rsid w:val="2F3B1035"/>
    <w:rsid w:val="2F3C2E7D"/>
    <w:rsid w:val="2F4515CD"/>
    <w:rsid w:val="2F452BDB"/>
    <w:rsid w:val="2F662646"/>
    <w:rsid w:val="2F6B27B5"/>
    <w:rsid w:val="2F812396"/>
    <w:rsid w:val="2F890F8B"/>
    <w:rsid w:val="2F8F342E"/>
    <w:rsid w:val="2F8F3EDE"/>
    <w:rsid w:val="2FA65D5F"/>
    <w:rsid w:val="2FA82482"/>
    <w:rsid w:val="2FB21F8F"/>
    <w:rsid w:val="2FB85BB5"/>
    <w:rsid w:val="2FBF611C"/>
    <w:rsid w:val="2FC150CC"/>
    <w:rsid w:val="2FCA4353"/>
    <w:rsid w:val="2FD05321"/>
    <w:rsid w:val="2FD75073"/>
    <w:rsid w:val="2FDC3643"/>
    <w:rsid w:val="2FDC54AF"/>
    <w:rsid w:val="2FF06CB8"/>
    <w:rsid w:val="2FF314FE"/>
    <w:rsid w:val="3002264D"/>
    <w:rsid w:val="30073F33"/>
    <w:rsid w:val="30152524"/>
    <w:rsid w:val="30190633"/>
    <w:rsid w:val="30271E53"/>
    <w:rsid w:val="303F19EA"/>
    <w:rsid w:val="303F226A"/>
    <w:rsid w:val="30580361"/>
    <w:rsid w:val="305D7804"/>
    <w:rsid w:val="30700E95"/>
    <w:rsid w:val="30765F68"/>
    <w:rsid w:val="30A27D62"/>
    <w:rsid w:val="30A44BA5"/>
    <w:rsid w:val="30C62788"/>
    <w:rsid w:val="30CD38C0"/>
    <w:rsid w:val="30D33F34"/>
    <w:rsid w:val="30DD71C1"/>
    <w:rsid w:val="30E15531"/>
    <w:rsid w:val="30E206D1"/>
    <w:rsid w:val="30E36C4B"/>
    <w:rsid w:val="30FD1786"/>
    <w:rsid w:val="30FE7059"/>
    <w:rsid w:val="31072D04"/>
    <w:rsid w:val="31197F4E"/>
    <w:rsid w:val="3139733E"/>
    <w:rsid w:val="313B39DC"/>
    <w:rsid w:val="313E4022"/>
    <w:rsid w:val="31401D1E"/>
    <w:rsid w:val="31404702"/>
    <w:rsid w:val="31532E23"/>
    <w:rsid w:val="31555B73"/>
    <w:rsid w:val="3167087A"/>
    <w:rsid w:val="31724736"/>
    <w:rsid w:val="317E19AF"/>
    <w:rsid w:val="318C2824"/>
    <w:rsid w:val="31A76210"/>
    <w:rsid w:val="31A96740"/>
    <w:rsid w:val="31AC3398"/>
    <w:rsid w:val="31B533E9"/>
    <w:rsid w:val="31C55C70"/>
    <w:rsid w:val="31CE7B45"/>
    <w:rsid w:val="31D14346"/>
    <w:rsid w:val="31DB3279"/>
    <w:rsid w:val="31E27E1C"/>
    <w:rsid w:val="31E63BDA"/>
    <w:rsid w:val="31EC06AF"/>
    <w:rsid w:val="3205108B"/>
    <w:rsid w:val="320E3847"/>
    <w:rsid w:val="320E73A8"/>
    <w:rsid w:val="321E1594"/>
    <w:rsid w:val="322059CC"/>
    <w:rsid w:val="323629ED"/>
    <w:rsid w:val="32385280"/>
    <w:rsid w:val="32505913"/>
    <w:rsid w:val="32535776"/>
    <w:rsid w:val="32586854"/>
    <w:rsid w:val="32596C44"/>
    <w:rsid w:val="325C61AF"/>
    <w:rsid w:val="326A79C4"/>
    <w:rsid w:val="327B1B1C"/>
    <w:rsid w:val="328C57F9"/>
    <w:rsid w:val="32953E20"/>
    <w:rsid w:val="329D3C78"/>
    <w:rsid w:val="329E3D47"/>
    <w:rsid w:val="32A21E0F"/>
    <w:rsid w:val="32A32263"/>
    <w:rsid w:val="32A40DCB"/>
    <w:rsid w:val="32A9099F"/>
    <w:rsid w:val="32B412C1"/>
    <w:rsid w:val="32C07384"/>
    <w:rsid w:val="32C52F07"/>
    <w:rsid w:val="32D07941"/>
    <w:rsid w:val="32D1066D"/>
    <w:rsid w:val="32D147E3"/>
    <w:rsid w:val="32E5126B"/>
    <w:rsid w:val="32F86F75"/>
    <w:rsid w:val="330D3AE3"/>
    <w:rsid w:val="33163579"/>
    <w:rsid w:val="331B7DB7"/>
    <w:rsid w:val="333267D6"/>
    <w:rsid w:val="336C62ED"/>
    <w:rsid w:val="3372728A"/>
    <w:rsid w:val="3377799C"/>
    <w:rsid w:val="3386512F"/>
    <w:rsid w:val="339B7468"/>
    <w:rsid w:val="339D76C0"/>
    <w:rsid w:val="33A028D3"/>
    <w:rsid w:val="33B35A30"/>
    <w:rsid w:val="33BF2C84"/>
    <w:rsid w:val="33C7541B"/>
    <w:rsid w:val="33E30779"/>
    <w:rsid w:val="33EB2A78"/>
    <w:rsid w:val="33ED21DB"/>
    <w:rsid w:val="34021619"/>
    <w:rsid w:val="340633D6"/>
    <w:rsid w:val="340D559B"/>
    <w:rsid w:val="340D6CE0"/>
    <w:rsid w:val="34105434"/>
    <w:rsid w:val="34110E85"/>
    <w:rsid w:val="34315F26"/>
    <w:rsid w:val="34466CA1"/>
    <w:rsid w:val="34535E5F"/>
    <w:rsid w:val="34556FD4"/>
    <w:rsid w:val="346330AD"/>
    <w:rsid w:val="3469061B"/>
    <w:rsid w:val="346E3610"/>
    <w:rsid w:val="348A2FBE"/>
    <w:rsid w:val="348E4FA8"/>
    <w:rsid w:val="34AD3285"/>
    <w:rsid w:val="34B22884"/>
    <w:rsid w:val="34B37AE5"/>
    <w:rsid w:val="34B94EEA"/>
    <w:rsid w:val="34BA4260"/>
    <w:rsid w:val="34CB3CAA"/>
    <w:rsid w:val="34D055FD"/>
    <w:rsid w:val="34EE4D3E"/>
    <w:rsid w:val="34F67E1B"/>
    <w:rsid w:val="353224B9"/>
    <w:rsid w:val="35322D83"/>
    <w:rsid w:val="35425FE7"/>
    <w:rsid w:val="354B46BF"/>
    <w:rsid w:val="35505E01"/>
    <w:rsid w:val="355658D6"/>
    <w:rsid w:val="35643950"/>
    <w:rsid w:val="356A58A4"/>
    <w:rsid w:val="35703779"/>
    <w:rsid w:val="35881264"/>
    <w:rsid w:val="358B3C15"/>
    <w:rsid w:val="35A0030C"/>
    <w:rsid w:val="35A167E9"/>
    <w:rsid w:val="35A47AFE"/>
    <w:rsid w:val="35C66D41"/>
    <w:rsid w:val="35C97220"/>
    <w:rsid w:val="35CF6958"/>
    <w:rsid w:val="35D25EA4"/>
    <w:rsid w:val="35D54660"/>
    <w:rsid w:val="35DA07FD"/>
    <w:rsid w:val="35DA5B47"/>
    <w:rsid w:val="35E43ED1"/>
    <w:rsid w:val="35F11A12"/>
    <w:rsid w:val="35FC14BD"/>
    <w:rsid w:val="36082AB3"/>
    <w:rsid w:val="3613628A"/>
    <w:rsid w:val="3618333E"/>
    <w:rsid w:val="3623361D"/>
    <w:rsid w:val="364315C9"/>
    <w:rsid w:val="36530FFE"/>
    <w:rsid w:val="366B5E0A"/>
    <w:rsid w:val="366C60C1"/>
    <w:rsid w:val="36710CA7"/>
    <w:rsid w:val="36772B7B"/>
    <w:rsid w:val="36875424"/>
    <w:rsid w:val="368F48DE"/>
    <w:rsid w:val="36932859"/>
    <w:rsid w:val="3694506C"/>
    <w:rsid w:val="369A38C1"/>
    <w:rsid w:val="369A7220"/>
    <w:rsid w:val="369B796F"/>
    <w:rsid w:val="36A140F9"/>
    <w:rsid w:val="36AA1DAA"/>
    <w:rsid w:val="36B116F6"/>
    <w:rsid w:val="36CF7AB4"/>
    <w:rsid w:val="36DD7F1B"/>
    <w:rsid w:val="36E94606"/>
    <w:rsid w:val="36FF653E"/>
    <w:rsid w:val="370427BA"/>
    <w:rsid w:val="371D360E"/>
    <w:rsid w:val="37436141"/>
    <w:rsid w:val="37447183"/>
    <w:rsid w:val="374B6987"/>
    <w:rsid w:val="374D6BA3"/>
    <w:rsid w:val="37522911"/>
    <w:rsid w:val="37523C84"/>
    <w:rsid w:val="37534589"/>
    <w:rsid w:val="37590128"/>
    <w:rsid w:val="375F002F"/>
    <w:rsid w:val="375F72E4"/>
    <w:rsid w:val="37652427"/>
    <w:rsid w:val="3768648F"/>
    <w:rsid w:val="377C735D"/>
    <w:rsid w:val="3789668E"/>
    <w:rsid w:val="378F705B"/>
    <w:rsid w:val="379754BE"/>
    <w:rsid w:val="37987B21"/>
    <w:rsid w:val="37A64821"/>
    <w:rsid w:val="37B05692"/>
    <w:rsid w:val="37BD3C13"/>
    <w:rsid w:val="37BD6737"/>
    <w:rsid w:val="37C02C1E"/>
    <w:rsid w:val="37C254A8"/>
    <w:rsid w:val="37C62AE1"/>
    <w:rsid w:val="37CB4618"/>
    <w:rsid w:val="37EA2644"/>
    <w:rsid w:val="37F92887"/>
    <w:rsid w:val="37FF2002"/>
    <w:rsid w:val="3808132C"/>
    <w:rsid w:val="380B7A6D"/>
    <w:rsid w:val="38111137"/>
    <w:rsid w:val="38132887"/>
    <w:rsid w:val="381E7B0A"/>
    <w:rsid w:val="382D68C0"/>
    <w:rsid w:val="38301EA1"/>
    <w:rsid w:val="38337E93"/>
    <w:rsid w:val="38420068"/>
    <w:rsid w:val="384F2889"/>
    <w:rsid w:val="38767A34"/>
    <w:rsid w:val="38777FB4"/>
    <w:rsid w:val="388A6089"/>
    <w:rsid w:val="388B2053"/>
    <w:rsid w:val="388C76C9"/>
    <w:rsid w:val="388D0B17"/>
    <w:rsid w:val="38AC0E19"/>
    <w:rsid w:val="38B3324F"/>
    <w:rsid w:val="38C02384"/>
    <w:rsid w:val="38C3429E"/>
    <w:rsid w:val="38C56C0D"/>
    <w:rsid w:val="38CC4208"/>
    <w:rsid w:val="38D248B1"/>
    <w:rsid w:val="38D36E0B"/>
    <w:rsid w:val="38D87584"/>
    <w:rsid w:val="38D975EA"/>
    <w:rsid w:val="38E01394"/>
    <w:rsid w:val="38E054BA"/>
    <w:rsid w:val="38EE7C6F"/>
    <w:rsid w:val="38F82803"/>
    <w:rsid w:val="390041AF"/>
    <w:rsid w:val="391941AA"/>
    <w:rsid w:val="39247C60"/>
    <w:rsid w:val="392810B8"/>
    <w:rsid w:val="39296825"/>
    <w:rsid w:val="392E425F"/>
    <w:rsid w:val="393B7AEF"/>
    <w:rsid w:val="394D7CC7"/>
    <w:rsid w:val="3985765E"/>
    <w:rsid w:val="39890E52"/>
    <w:rsid w:val="398B5761"/>
    <w:rsid w:val="399902D7"/>
    <w:rsid w:val="39A32A8F"/>
    <w:rsid w:val="39A93EE6"/>
    <w:rsid w:val="39DE5A89"/>
    <w:rsid w:val="39DF6391"/>
    <w:rsid w:val="39E667D4"/>
    <w:rsid w:val="39E82BB3"/>
    <w:rsid w:val="3A0777E8"/>
    <w:rsid w:val="3A197D41"/>
    <w:rsid w:val="3A2A2ABA"/>
    <w:rsid w:val="3A2F2FC6"/>
    <w:rsid w:val="3A300D91"/>
    <w:rsid w:val="3A357626"/>
    <w:rsid w:val="3A376BE8"/>
    <w:rsid w:val="3A3E0D5F"/>
    <w:rsid w:val="3A511DAA"/>
    <w:rsid w:val="3A5953AD"/>
    <w:rsid w:val="3A654870"/>
    <w:rsid w:val="3A7B0598"/>
    <w:rsid w:val="3A834686"/>
    <w:rsid w:val="3A8B4F99"/>
    <w:rsid w:val="3AAC761B"/>
    <w:rsid w:val="3AC275C6"/>
    <w:rsid w:val="3AC70EA1"/>
    <w:rsid w:val="3ACB2E11"/>
    <w:rsid w:val="3AD3295B"/>
    <w:rsid w:val="3AD36CE2"/>
    <w:rsid w:val="3AD51619"/>
    <w:rsid w:val="3ADC3D9A"/>
    <w:rsid w:val="3AEF007E"/>
    <w:rsid w:val="3AF15DAE"/>
    <w:rsid w:val="3B072161"/>
    <w:rsid w:val="3B090FD2"/>
    <w:rsid w:val="3B0E419F"/>
    <w:rsid w:val="3B15683C"/>
    <w:rsid w:val="3B183024"/>
    <w:rsid w:val="3B1E4FC0"/>
    <w:rsid w:val="3B2F3872"/>
    <w:rsid w:val="3B315D4A"/>
    <w:rsid w:val="3B390E20"/>
    <w:rsid w:val="3B3F60E4"/>
    <w:rsid w:val="3B41279D"/>
    <w:rsid w:val="3B496541"/>
    <w:rsid w:val="3B5206E1"/>
    <w:rsid w:val="3B61494D"/>
    <w:rsid w:val="3B6629E0"/>
    <w:rsid w:val="3B7019AF"/>
    <w:rsid w:val="3B7A5BEA"/>
    <w:rsid w:val="3B7F0546"/>
    <w:rsid w:val="3B8513FA"/>
    <w:rsid w:val="3B8C4703"/>
    <w:rsid w:val="3B8F0C28"/>
    <w:rsid w:val="3B8F3437"/>
    <w:rsid w:val="3B9B725A"/>
    <w:rsid w:val="3BAE56B7"/>
    <w:rsid w:val="3BBE46E9"/>
    <w:rsid w:val="3BE60709"/>
    <w:rsid w:val="3BF910A8"/>
    <w:rsid w:val="3BFE554C"/>
    <w:rsid w:val="3C1412B9"/>
    <w:rsid w:val="3C18158D"/>
    <w:rsid w:val="3C1F1300"/>
    <w:rsid w:val="3C2869FB"/>
    <w:rsid w:val="3C2A68F3"/>
    <w:rsid w:val="3C3D4B7D"/>
    <w:rsid w:val="3C423FCB"/>
    <w:rsid w:val="3C456637"/>
    <w:rsid w:val="3C47382F"/>
    <w:rsid w:val="3C4C13B1"/>
    <w:rsid w:val="3C5467BA"/>
    <w:rsid w:val="3C6312DE"/>
    <w:rsid w:val="3C67692F"/>
    <w:rsid w:val="3C677E4D"/>
    <w:rsid w:val="3C685CCF"/>
    <w:rsid w:val="3C6A3884"/>
    <w:rsid w:val="3C70144A"/>
    <w:rsid w:val="3C776471"/>
    <w:rsid w:val="3C834BCA"/>
    <w:rsid w:val="3CA314EE"/>
    <w:rsid w:val="3CB459A9"/>
    <w:rsid w:val="3CB852F2"/>
    <w:rsid w:val="3CC3285A"/>
    <w:rsid w:val="3CD10A72"/>
    <w:rsid w:val="3CD7442F"/>
    <w:rsid w:val="3CEC0BE0"/>
    <w:rsid w:val="3CFB22CB"/>
    <w:rsid w:val="3D0501E3"/>
    <w:rsid w:val="3D115CBD"/>
    <w:rsid w:val="3D163594"/>
    <w:rsid w:val="3D2E007A"/>
    <w:rsid w:val="3D3171A7"/>
    <w:rsid w:val="3D502BD6"/>
    <w:rsid w:val="3D505638"/>
    <w:rsid w:val="3D5300A7"/>
    <w:rsid w:val="3D594E68"/>
    <w:rsid w:val="3D5A2496"/>
    <w:rsid w:val="3D5C6C68"/>
    <w:rsid w:val="3D682EA2"/>
    <w:rsid w:val="3D714E8A"/>
    <w:rsid w:val="3D93489B"/>
    <w:rsid w:val="3DA03B15"/>
    <w:rsid w:val="3DB55B08"/>
    <w:rsid w:val="3DB63395"/>
    <w:rsid w:val="3DB67B4B"/>
    <w:rsid w:val="3DBA5801"/>
    <w:rsid w:val="3DBE77E9"/>
    <w:rsid w:val="3DC9638F"/>
    <w:rsid w:val="3DD72CFA"/>
    <w:rsid w:val="3DDA1F3C"/>
    <w:rsid w:val="3DE22102"/>
    <w:rsid w:val="3DEE55B9"/>
    <w:rsid w:val="3DFF377D"/>
    <w:rsid w:val="3E035754"/>
    <w:rsid w:val="3E0B1F48"/>
    <w:rsid w:val="3E1005BE"/>
    <w:rsid w:val="3E244168"/>
    <w:rsid w:val="3E2A4674"/>
    <w:rsid w:val="3E34554F"/>
    <w:rsid w:val="3E35171E"/>
    <w:rsid w:val="3E4D18D6"/>
    <w:rsid w:val="3E4D2EF9"/>
    <w:rsid w:val="3E614D8B"/>
    <w:rsid w:val="3E6C0C23"/>
    <w:rsid w:val="3E772758"/>
    <w:rsid w:val="3E7E2A01"/>
    <w:rsid w:val="3E947C74"/>
    <w:rsid w:val="3E9F0CD7"/>
    <w:rsid w:val="3EBD7D1C"/>
    <w:rsid w:val="3EC544AA"/>
    <w:rsid w:val="3EC6074A"/>
    <w:rsid w:val="3ED54293"/>
    <w:rsid w:val="3ED665DF"/>
    <w:rsid w:val="3EDC3F32"/>
    <w:rsid w:val="3EFB3F1D"/>
    <w:rsid w:val="3F0F473E"/>
    <w:rsid w:val="3F134064"/>
    <w:rsid w:val="3F1702DA"/>
    <w:rsid w:val="3F307AE9"/>
    <w:rsid w:val="3F375A43"/>
    <w:rsid w:val="3F391B15"/>
    <w:rsid w:val="3F477E17"/>
    <w:rsid w:val="3F500DC9"/>
    <w:rsid w:val="3F594EDD"/>
    <w:rsid w:val="3F7852B0"/>
    <w:rsid w:val="3F8E4F3A"/>
    <w:rsid w:val="3FA328CB"/>
    <w:rsid w:val="3FA676AE"/>
    <w:rsid w:val="3FAC320B"/>
    <w:rsid w:val="3FBB694D"/>
    <w:rsid w:val="3FBD5D3E"/>
    <w:rsid w:val="3FE31FFE"/>
    <w:rsid w:val="3FE46390"/>
    <w:rsid w:val="3FEA588C"/>
    <w:rsid w:val="3FFB13C9"/>
    <w:rsid w:val="3FFF0632"/>
    <w:rsid w:val="40005BB5"/>
    <w:rsid w:val="40032777"/>
    <w:rsid w:val="40125D43"/>
    <w:rsid w:val="402127B6"/>
    <w:rsid w:val="402B3444"/>
    <w:rsid w:val="40355211"/>
    <w:rsid w:val="403D40B0"/>
    <w:rsid w:val="40425F7B"/>
    <w:rsid w:val="404A0375"/>
    <w:rsid w:val="404B3C60"/>
    <w:rsid w:val="405214DD"/>
    <w:rsid w:val="40614B08"/>
    <w:rsid w:val="40630F8D"/>
    <w:rsid w:val="406754CF"/>
    <w:rsid w:val="40740959"/>
    <w:rsid w:val="407B7744"/>
    <w:rsid w:val="407E540D"/>
    <w:rsid w:val="40875319"/>
    <w:rsid w:val="408F648D"/>
    <w:rsid w:val="40974727"/>
    <w:rsid w:val="40977C03"/>
    <w:rsid w:val="409E1B2B"/>
    <w:rsid w:val="40A95A33"/>
    <w:rsid w:val="40AE77AE"/>
    <w:rsid w:val="40B46DBC"/>
    <w:rsid w:val="40B630FB"/>
    <w:rsid w:val="40BC68F8"/>
    <w:rsid w:val="40C1771E"/>
    <w:rsid w:val="40CA3013"/>
    <w:rsid w:val="40F2663C"/>
    <w:rsid w:val="410576A5"/>
    <w:rsid w:val="410F5176"/>
    <w:rsid w:val="41184577"/>
    <w:rsid w:val="411A580D"/>
    <w:rsid w:val="412A694A"/>
    <w:rsid w:val="413204AA"/>
    <w:rsid w:val="41367B60"/>
    <w:rsid w:val="4139147A"/>
    <w:rsid w:val="41444363"/>
    <w:rsid w:val="414C1C7A"/>
    <w:rsid w:val="414C7EEE"/>
    <w:rsid w:val="414F70D4"/>
    <w:rsid w:val="41530388"/>
    <w:rsid w:val="415F37D2"/>
    <w:rsid w:val="41650740"/>
    <w:rsid w:val="41744D2D"/>
    <w:rsid w:val="41815176"/>
    <w:rsid w:val="41853F25"/>
    <w:rsid w:val="41911259"/>
    <w:rsid w:val="419905EE"/>
    <w:rsid w:val="419D1085"/>
    <w:rsid w:val="41A11CD8"/>
    <w:rsid w:val="41A24F7A"/>
    <w:rsid w:val="41A63644"/>
    <w:rsid w:val="41AF2E5A"/>
    <w:rsid w:val="41BA21E9"/>
    <w:rsid w:val="41BC3C88"/>
    <w:rsid w:val="41DC719A"/>
    <w:rsid w:val="41E01409"/>
    <w:rsid w:val="41E913EA"/>
    <w:rsid w:val="41EB0134"/>
    <w:rsid w:val="41F1777C"/>
    <w:rsid w:val="41F317C6"/>
    <w:rsid w:val="41FE3F65"/>
    <w:rsid w:val="420543DE"/>
    <w:rsid w:val="42092AEE"/>
    <w:rsid w:val="421814B3"/>
    <w:rsid w:val="42187D85"/>
    <w:rsid w:val="4219491A"/>
    <w:rsid w:val="42243D7E"/>
    <w:rsid w:val="422B3AA7"/>
    <w:rsid w:val="422D4BDB"/>
    <w:rsid w:val="42323C35"/>
    <w:rsid w:val="423E3201"/>
    <w:rsid w:val="42500259"/>
    <w:rsid w:val="425340D3"/>
    <w:rsid w:val="425F396C"/>
    <w:rsid w:val="426B320A"/>
    <w:rsid w:val="428371CA"/>
    <w:rsid w:val="42882C43"/>
    <w:rsid w:val="429258C2"/>
    <w:rsid w:val="42A41642"/>
    <w:rsid w:val="42A85D61"/>
    <w:rsid w:val="42B9439C"/>
    <w:rsid w:val="42CB2301"/>
    <w:rsid w:val="42CC708C"/>
    <w:rsid w:val="42D109AB"/>
    <w:rsid w:val="42D327CB"/>
    <w:rsid w:val="42DA5063"/>
    <w:rsid w:val="42E56B9C"/>
    <w:rsid w:val="431F2109"/>
    <w:rsid w:val="43242FE2"/>
    <w:rsid w:val="4328483D"/>
    <w:rsid w:val="4335294A"/>
    <w:rsid w:val="434C1C7B"/>
    <w:rsid w:val="43523847"/>
    <w:rsid w:val="435B07AA"/>
    <w:rsid w:val="43632F12"/>
    <w:rsid w:val="436367E9"/>
    <w:rsid w:val="43771FE4"/>
    <w:rsid w:val="43790FED"/>
    <w:rsid w:val="437B44C4"/>
    <w:rsid w:val="437D54D1"/>
    <w:rsid w:val="438E56E3"/>
    <w:rsid w:val="43945A88"/>
    <w:rsid w:val="43B97366"/>
    <w:rsid w:val="43C8086F"/>
    <w:rsid w:val="43C92424"/>
    <w:rsid w:val="43D24098"/>
    <w:rsid w:val="43D973AE"/>
    <w:rsid w:val="43E26626"/>
    <w:rsid w:val="43E3138A"/>
    <w:rsid w:val="43E41877"/>
    <w:rsid w:val="43E53CC0"/>
    <w:rsid w:val="43FE5DC0"/>
    <w:rsid w:val="44073CB0"/>
    <w:rsid w:val="441A605F"/>
    <w:rsid w:val="442F13DF"/>
    <w:rsid w:val="44324B83"/>
    <w:rsid w:val="443730BF"/>
    <w:rsid w:val="443C04E5"/>
    <w:rsid w:val="44424141"/>
    <w:rsid w:val="44496B4E"/>
    <w:rsid w:val="444E43D4"/>
    <w:rsid w:val="44604E0A"/>
    <w:rsid w:val="446145AC"/>
    <w:rsid w:val="44667944"/>
    <w:rsid w:val="446C285E"/>
    <w:rsid w:val="447B2820"/>
    <w:rsid w:val="44823C0D"/>
    <w:rsid w:val="44883346"/>
    <w:rsid w:val="448871EC"/>
    <w:rsid w:val="44943487"/>
    <w:rsid w:val="449B0FD3"/>
    <w:rsid w:val="44A578BE"/>
    <w:rsid w:val="44A818BD"/>
    <w:rsid w:val="44AA4484"/>
    <w:rsid w:val="44B95DFB"/>
    <w:rsid w:val="44BC21BB"/>
    <w:rsid w:val="44ED5A81"/>
    <w:rsid w:val="44F92D27"/>
    <w:rsid w:val="44FE6098"/>
    <w:rsid w:val="450B6ED1"/>
    <w:rsid w:val="450E14D6"/>
    <w:rsid w:val="4528538C"/>
    <w:rsid w:val="452B5903"/>
    <w:rsid w:val="452D2D7A"/>
    <w:rsid w:val="452D7411"/>
    <w:rsid w:val="45317076"/>
    <w:rsid w:val="453B4A17"/>
    <w:rsid w:val="45412BED"/>
    <w:rsid w:val="454B049A"/>
    <w:rsid w:val="454F7F8B"/>
    <w:rsid w:val="45501FCB"/>
    <w:rsid w:val="45544D30"/>
    <w:rsid w:val="455E7EB3"/>
    <w:rsid w:val="456015CE"/>
    <w:rsid w:val="45706D26"/>
    <w:rsid w:val="45753DAC"/>
    <w:rsid w:val="45761ACB"/>
    <w:rsid w:val="458940A9"/>
    <w:rsid w:val="458B4583"/>
    <w:rsid w:val="458E6BBE"/>
    <w:rsid w:val="45957A9A"/>
    <w:rsid w:val="45963E01"/>
    <w:rsid w:val="459D0C77"/>
    <w:rsid w:val="459F329C"/>
    <w:rsid w:val="45A31BDA"/>
    <w:rsid w:val="45A656D1"/>
    <w:rsid w:val="45AB05B9"/>
    <w:rsid w:val="45AD4058"/>
    <w:rsid w:val="45B84BF1"/>
    <w:rsid w:val="45F44CAF"/>
    <w:rsid w:val="45FC0FA7"/>
    <w:rsid w:val="460F3382"/>
    <w:rsid w:val="46126BEE"/>
    <w:rsid w:val="461A2166"/>
    <w:rsid w:val="462828D1"/>
    <w:rsid w:val="463E0C7D"/>
    <w:rsid w:val="46463C6F"/>
    <w:rsid w:val="465A72A9"/>
    <w:rsid w:val="46666627"/>
    <w:rsid w:val="466C691A"/>
    <w:rsid w:val="46741C23"/>
    <w:rsid w:val="46760BF4"/>
    <w:rsid w:val="468A7131"/>
    <w:rsid w:val="468E4E87"/>
    <w:rsid w:val="4691038A"/>
    <w:rsid w:val="46921267"/>
    <w:rsid w:val="46921409"/>
    <w:rsid w:val="469544D8"/>
    <w:rsid w:val="46A56B05"/>
    <w:rsid w:val="46A62635"/>
    <w:rsid w:val="46A83099"/>
    <w:rsid w:val="46B019C2"/>
    <w:rsid w:val="46B43663"/>
    <w:rsid w:val="46BA09E6"/>
    <w:rsid w:val="46C87FF5"/>
    <w:rsid w:val="46CD3D44"/>
    <w:rsid w:val="46CE1CE8"/>
    <w:rsid w:val="46D413CF"/>
    <w:rsid w:val="46E722CD"/>
    <w:rsid w:val="46F14346"/>
    <w:rsid w:val="46F14FB3"/>
    <w:rsid w:val="46F32F87"/>
    <w:rsid w:val="46FD7572"/>
    <w:rsid w:val="470902D0"/>
    <w:rsid w:val="47107AB5"/>
    <w:rsid w:val="47202E96"/>
    <w:rsid w:val="473E085E"/>
    <w:rsid w:val="474132BE"/>
    <w:rsid w:val="47475F21"/>
    <w:rsid w:val="474A6314"/>
    <w:rsid w:val="475A0FCD"/>
    <w:rsid w:val="477476D0"/>
    <w:rsid w:val="47782206"/>
    <w:rsid w:val="477E2A47"/>
    <w:rsid w:val="479478DD"/>
    <w:rsid w:val="479F1AD4"/>
    <w:rsid w:val="47A95A58"/>
    <w:rsid w:val="47AF2F63"/>
    <w:rsid w:val="47CD5197"/>
    <w:rsid w:val="47D62EEB"/>
    <w:rsid w:val="47E12061"/>
    <w:rsid w:val="47E75453"/>
    <w:rsid w:val="47F4047F"/>
    <w:rsid w:val="47F425EA"/>
    <w:rsid w:val="47F75CF4"/>
    <w:rsid w:val="48000D05"/>
    <w:rsid w:val="48005E52"/>
    <w:rsid w:val="48010B21"/>
    <w:rsid w:val="48054C75"/>
    <w:rsid w:val="48071A26"/>
    <w:rsid w:val="481D433B"/>
    <w:rsid w:val="48270C6F"/>
    <w:rsid w:val="483B411A"/>
    <w:rsid w:val="483B78E2"/>
    <w:rsid w:val="48402316"/>
    <w:rsid w:val="4841321B"/>
    <w:rsid w:val="48431FAC"/>
    <w:rsid w:val="48486B00"/>
    <w:rsid w:val="48491F8D"/>
    <w:rsid w:val="484C255F"/>
    <w:rsid w:val="487B34C7"/>
    <w:rsid w:val="48923136"/>
    <w:rsid w:val="489817A6"/>
    <w:rsid w:val="489D50C6"/>
    <w:rsid w:val="48A531BC"/>
    <w:rsid w:val="48A657A3"/>
    <w:rsid w:val="48A905A4"/>
    <w:rsid w:val="48AF5F0C"/>
    <w:rsid w:val="48B43814"/>
    <w:rsid w:val="48D22159"/>
    <w:rsid w:val="48D93244"/>
    <w:rsid w:val="48D936A8"/>
    <w:rsid w:val="48E32E23"/>
    <w:rsid w:val="49001596"/>
    <w:rsid w:val="490E5A67"/>
    <w:rsid w:val="49165F8E"/>
    <w:rsid w:val="49283856"/>
    <w:rsid w:val="49371930"/>
    <w:rsid w:val="49457852"/>
    <w:rsid w:val="49475F6C"/>
    <w:rsid w:val="4950443E"/>
    <w:rsid w:val="49525670"/>
    <w:rsid w:val="4955555E"/>
    <w:rsid w:val="49970741"/>
    <w:rsid w:val="499A7467"/>
    <w:rsid w:val="49A0251D"/>
    <w:rsid w:val="49A2565E"/>
    <w:rsid w:val="49C36851"/>
    <w:rsid w:val="49D62BF3"/>
    <w:rsid w:val="49DB0CF2"/>
    <w:rsid w:val="49DD0FFA"/>
    <w:rsid w:val="49DF50EC"/>
    <w:rsid w:val="49EE0980"/>
    <w:rsid w:val="49EF17EF"/>
    <w:rsid w:val="49F14A97"/>
    <w:rsid w:val="49F845AB"/>
    <w:rsid w:val="49FD4A73"/>
    <w:rsid w:val="49FD4CC7"/>
    <w:rsid w:val="4A00781D"/>
    <w:rsid w:val="4A0A76ED"/>
    <w:rsid w:val="4A0C49BE"/>
    <w:rsid w:val="4A1277D9"/>
    <w:rsid w:val="4A1D7ECF"/>
    <w:rsid w:val="4A1F56C5"/>
    <w:rsid w:val="4A377460"/>
    <w:rsid w:val="4A391CFA"/>
    <w:rsid w:val="4A4C773B"/>
    <w:rsid w:val="4A5213A7"/>
    <w:rsid w:val="4A5A582F"/>
    <w:rsid w:val="4A65285A"/>
    <w:rsid w:val="4A796420"/>
    <w:rsid w:val="4A7C125A"/>
    <w:rsid w:val="4A955EB0"/>
    <w:rsid w:val="4A9B3349"/>
    <w:rsid w:val="4AA07508"/>
    <w:rsid w:val="4AAC44DE"/>
    <w:rsid w:val="4AAE5C96"/>
    <w:rsid w:val="4ABA5EA6"/>
    <w:rsid w:val="4AC32049"/>
    <w:rsid w:val="4ACC6C2B"/>
    <w:rsid w:val="4AD917F1"/>
    <w:rsid w:val="4AE9594D"/>
    <w:rsid w:val="4B0C095C"/>
    <w:rsid w:val="4B1308D1"/>
    <w:rsid w:val="4B216C8B"/>
    <w:rsid w:val="4B2B29C4"/>
    <w:rsid w:val="4B365A74"/>
    <w:rsid w:val="4B3B0B22"/>
    <w:rsid w:val="4B54456E"/>
    <w:rsid w:val="4B5741B1"/>
    <w:rsid w:val="4B60240A"/>
    <w:rsid w:val="4B63653E"/>
    <w:rsid w:val="4B6A1845"/>
    <w:rsid w:val="4B8D178D"/>
    <w:rsid w:val="4B92173F"/>
    <w:rsid w:val="4B970476"/>
    <w:rsid w:val="4BAA1E5E"/>
    <w:rsid w:val="4BAC7231"/>
    <w:rsid w:val="4BAD1C34"/>
    <w:rsid w:val="4BBC65BE"/>
    <w:rsid w:val="4BBF201F"/>
    <w:rsid w:val="4BEA11C9"/>
    <w:rsid w:val="4BED5D3E"/>
    <w:rsid w:val="4BF55B3F"/>
    <w:rsid w:val="4BFE13C9"/>
    <w:rsid w:val="4C0C0983"/>
    <w:rsid w:val="4C0D5228"/>
    <w:rsid w:val="4C1766F9"/>
    <w:rsid w:val="4C3F5707"/>
    <w:rsid w:val="4C685E6F"/>
    <w:rsid w:val="4C6A25BA"/>
    <w:rsid w:val="4C6E2563"/>
    <w:rsid w:val="4C783B02"/>
    <w:rsid w:val="4C9149E5"/>
    <w:rsid w:val="4C972F12"/>
    <w:rsid w:val="4C974298"/>
    <w:rsid w:val="4C984F9B"/>
    <w:rsid w:val="4C9E62DA"/>
    <w:rsid w:val="4CB17BD9"/>
    <w:rsid w:val="4CC05A20"/>
    <w:rsid w:val="4CC155CA"/>
    <w:rsid w:val="4CC6590D"/>
    <w:rsid w:val="4CC823D1"/>
    <w:rsid w:val="4CCB626F"/>
    <w:rsid w:val="4CCB6DEA"/>
    <w:rsid w:val="4CE90285"/>
    <w:rsid w:val="4CEF6C50"/>
    <w:rsid w:val="4CFE326D"/>
    <w:rsid w:val="4D1153A3"/>
    <w:rsid w:val="4D1A42BC"/>
    <w:rsid w:val="4D1D724A"/>
    <w:rsid w:val="4D225C8C"/>
    <w:rsid w:val="4D252D21"/>
    <w:rsid w:val="4D2A3492"/>
    <w:rsid w:val="4D2A3925"/>
    <w:rsid w:val="4D2C23C1"/>
    <w:rsid w:val="4D2D0592"/>
    <w:rsid w:val="4D390D85"/>
    <w:rsid w:val="4D4B4D8F"/>
    <w:rsid w:val="4D5F2D35"/>
    <w:rsid w:val="4D604AD2"/>
    <w:rsid w:val="4D651337"/>
    <w:rsid w:val="4D6F2E46"/>
    <w:rsid w:val="4D7030B3"/>
    <w:rsid w:val="4D796F28"/>
    <w:rsid w:val="4D7F5185"/>
    <w:rsid w:val="4D8E7176"/>
    <w:rsid w:val="4D92119A"/>
    <w:rsid w:val="4D940089"/>
    <w:rsid w:val="4D940ADF"/>
    <w:rsid w:val="4D9926DC"/>
    <w:rsid w:val="4D9F1C57"/>
    <w:rsid w:val="4DA9143F"/>
    <w:rsid w:val="4DBF6912"/>
    <w:rsid w:val="4DD118F6"/>
    <w:rsid w:val="4DD9774A"/>
    <w:rsid w:val="4DF33A40"/>
    <w:rsid w:val="4DFC3B0B"/>
    <w:rsid w:val="4DFE0209"/>
    <w:rsid w:val="4E05458D"/>
    <w:rsid w:val="4E1C6C7C"/>
    <w:rsid w:val="4E214FA3"/>
    <w:rsid w:val="4E374EB5"/>
    <w:rsid w:val="4E394CBB"/>
    <w:rsid w:val="4E46033C"/>
    <w:rsid w:val="4E4A6924"/>
    <w:rsid w:val="4E5111F0"/>
    <w:rsid w:val="4E555EC8"/>
    <w:rsid w:val="4E556F61"/>
    <w:rsid w:val="4E5571E8"/>
    <w:rsid w:val="4E922CD7"/>
    <w:rsid w:val="4E9B60C3"/>
    <w:rsid w:val="4EA12CFB"/>
    <w:rsid w:val="4EA31DB8"/>
    <w:rsid w:val="4EAB059E"/>
    <w:rsid w:val="4EC12873"/>
    <w:rsid w:val="4ECB2498"/>
    <w:rsid w:val="4EDB63EB"/>
    <w:rsid w:val="4EE11B53"/>
    <w:rsid w:val="4EEB5FE3"/>
    <w:rsid w:val="4EF619F3"/>
    <w:rsid w:val="4EFC2205"/>
    <w:rsid w:val="4EFE3139"/>
    <w:rsid w:val="4F056FEA"/>
    <w:rsid w:val="4F08080E"/>
    <w:rsid w:val="4F0F02C3"/>
    <w:rsid w:val="4F103696"/>
    <w:rsid w:val="4F113523"/>
    <w:rsid w:val="4F170070"/>
    <w:rsid w:val="4F286C9D"/>
    <w:rsid w:val="4F2A7DC8"/>
    <w:rsid w:val="4F31425D"/>
    <w:rsid w:val="4F3D19AB"/>
    <w:rsid w:val="4F4A0E68"/>
    <w:rsid w:val="4F4A6306"/>
    <w:rsid w:val="4F583EE0"/>
    <w:rsid w:val="4F6B65F0"/>
    <w:rsid w:val="4F6D1FF7"/>
    <w:rsid w:val="4F83209B"/>
    <w:rsid w:val="4F8C16E4"/>
    <w:rsid w:val="4F963A1F"/>
    <w:rsid w:val="4F9E49FF"/>
    <w:rsid w:val="4FA43223"/>
    <w:rsid w:val="4FAB2A57"/>
    <w:rsid w:val="4FCF40E9"/>
    <w:rsid w:val="4FD80F34"/>
    <w:rsid w:val="4FDC6DC0"/>
    <w:rsid w:val="4FDF4126"/>
    <w:rsid w:val="4FE7744A"/>
    <w:rsid w:val="4FEC0603"/>
    <w:rsid w:val="4FEC376C"/>
    <w:rsid w:val="4FFD1758"/>
    <w:rsid w:val="501574AE"/>
    <w:rsid w:val="50230348"/>
    <w:rsid w:val="50295B11"/>
    <w:rsid w:val="5032097A"/>
    <w:rsid w:val="503853B0"/>
    <w:rsid w:val="503F6029"/>
    <w:rsid w:val="5063083A"/>
    <w:rsid w:val="506656F6"/>
    <w:rsid w:val="50696A8D"/>
    <w:rsid w:val="506E6C45"/>
    <w:rsid w:val="50771592"/>
    <w:rsid w:val="507743D3"/>
    <w:rsid w:val="507E7976"/>
    <w:rsid w:val="5086682B"/>
    <w:rsid w:val="508D55FB"/>
    <w:rsid w:val="50935EC0"/>
    <w:rsid w:val="509D7460"/>
    <w:rsid w:val="50B2422B"/>
    <w:rsid w:val="50B536F8"/>
    <w:rsid w:val="50C11611"/>
    <w:rsid w:val="50C61D24"/>
    <w:rsid w:val="50CF5A30"/>
    <w:rsid w:val="50D36BD8"/>
    <w:rsid w:val="50D778CB"/>
    <w:rsid w:val="50DC6B55"/>
    <w:rsid w:val="50E1107E"/>
    <w:rsid w:val="51084EAF"/>
    <w:rsid w:val="51147713"/>
    <w:rsid w:val="512046BF"/>
    <w:rsid w:val="51210524"/>
    <w:rsid w:val="512706A0"/>
    <w:rsid w:val="512C15CA"/>
    <w:rsid w:val="51356FE3"/>
    <w:rsid w:val="5137491B"/>
    <w:rsid w:val="51445889"/>
    <w:rsid w:val="51464EC7"/>
    <w:rsid w:val="514E1F83"/>
    <w:rsid w:val="515D57DD"/>
    <w:rsid w:val="516149C4"/>
    <w:rsid w:val="51736111"/>
    <w:rsid w:val="51754A84"/>
    <w:rsid w:val="51891AA3"/>
    <w:rsid w:val="518F4BEB"/>
    <w:rsid w:val="51922B6F"/>
    <w:rsid w:val="519555A0"/>
    <w:rsid w:val="519B7BB1"/>
    <w:rsid w:val="51A12D59"/>
    <w:rsid w:val="51B43D99"/>
    <w:rsid w:val="51BC21F5"/>
    <w:rsid w:val="51C06CB7"/>
    <w:rsid w:val="51C17CAB"/>
    <w:rsid w:val="51C419ED"/>
    <w:rsid w:val="51C870B1"/>
    <w:rsid w:val="51D51818"/>
    <w:rsid w:val="520249CA"/>
    <w:rsid w:val="52067964"/>
    <w:rsid w:val="521D44D4"/>
    <w:rsid w:val="5222394C"/>
    <w:rsid w:val="52394A6C"/>
    <w:rsid w:val="523A1FC0"/>
    <w:rsid w:val="523A2157"/>
    <w:rsid w:val="52430699"/>
    <w:rsid w:val="5244529D"/>
    <w:rsid w:val="5249574F"/>
    <w:rsid w:val="524B433B"/>
    <w:rsid w:val="524B4E97"/>
    <w:rsid w:val="52513557"/>
    <w:rsid w:val="525C7E7D"/>
    <w:rsid w:val="52650937"/>
    <w:rsid w:val="52685B19"/>
    <w:rsid w:val="52687DD5"/>
    <w:rsid w:val="52706F89"/>
    <w:rsid w:val="52766A34"/>
    <w:rsid w:val="527C4646"/>
    <w:rsid w:val="528A287A"/>
    <w:rsid w:val="528F43A2"/>
    <w:rsid w:val="52970E35"/>
    <w:rsid w:val="52A61FC8"/>
    <w:rsid w:val="52AE755F"/>
    <w:rsid w:val="52B2047C"/>
    <w:rsid w:val="52B77E11"/>
    <w:rsid w:val="52C67863"/>
    <w:rsid w:val="52CB15EE"/>
    <w:rsid w:val="52D62669"/>
    <w:rsid w:val="52F51A9E"/>
    <w:rsid w:val="531149B2"/>
    <w:rsid w:val="532F4FD9"/>
    <w:rsid w:val="53301E78"/>
    <w:rsid w:val="53361649"/>
    <w:rsid w:val="537761C7"/>
    <w:rsid w:val="537A59B7"/>
    <w:rsid w:val="537B52DF"/>
    <w:rsid w:val="537D5985"/>
    <w:rsid w:val="538665C9"/>
    <w:rsid w:val="539B6228"/>
    <w:rsid w:val="53A927B9"/>
    <w:rsid w:val="53C81562"/>
    <w:rsid w:val="53D92B25"/>
    <w:rsid w:val="53E76B14"/>
    <w:rsid w:val="53F3465C"/>
    <w:rsid w:val="53F45233"/>
    <w:rsid w:val="54046C49"/>
    <w:rsid w:val="54076CC3"/>
    <w:rsid w:val="54151EE0"/>
    <w:rsid w:val="54344254"/>
    <w:rsid w:val="544444E4"/>
    <w:rsid w:val="54475B4F"/>
    <w:rsid w:val="54487F8F"/>
    <w:rsid w:val="5456522B"/>
    <w:rsid w:val="546552BE"/>
    <w:rsid w:val="546B520C"/>
    <w:rsid w:val="549459BA"/>
    <w:rsid w:val="549636BE"/>
    <w:rsid w:val="54985F41"/>
    <w:rsid w:val="54A834E6"/>
    <w:rsid w:val="54B00753"/>
    <w:rsid w:val="54B0091F"/>
    <w:rsid w:val="54B65A12"/>
    <w:rsid w:val="54CF69F2"/>
    <w:rsid w:val="54DD291A"/>
    <w:rsid w:val="54E219D3"/>
    <w:rsid w:val="54EB1AAA"/>
    <w:rsid w:val="54F95527"/>
    <w:rsid w:val="550F769D"/>
    <w:rsid w:val="550F7B88"/>
    <w:rsid w:val="5510282A"/>
    <w:rsid w:val="55223299"/>
    <w:rsid w:val="552E396D"/>
    <w:rsid w:val="553B473A"/>
    <w:rsid w:val="554A4758"/>
    <w:rsid w:val="55705FE8"/>
    <w:rsid w:val="558605CA"/>
    <w:rsid w:val="559353B9"/>
    <w:rsid w:val="559C6C03"/>
    <w:rsid w:val="55A30723"/>
    <w:rsid w:val="55B049B8"/>
    <w:rsid w:val="55C05D2B"/>
    <w:rsid w:val="55C416EC"/>
    <w:rsid w:val="55C914F8"/>
    <w:rsid w:val="55CC0C1E"/>
    <w:rsid w:val="55FF023A"/>
    <w:rsid w:val="56070CD3"/>
    <w:rsid w:val="56195BA6"/>
    <w:rsid w:val="562A5C7C"/>
    <w:rsid w:val="562C5D9B"/>
    <w:rsid w:val="563D464E"/>
    <w:rsid w:val="563F3C68"/>
    <w:rsid w:val="56462A90"/>
    <w:rsid w:val="564B224F"/>
    <w:rsid w:val="564C1C40"/>
    <w:rsid w:val="565547D7"/>
    <w:rsid w:val="565B5171"/>
    <w:rsid w:val="56606948"/>
    <w:rsid w:val="5663384B"/>
    <w:rsid w:val="566775D0"/>
    <w:rsid w:val="56753AB3"/>
    <w:rsid w:val="569C7E2B"/>
    <w:rsid w:val="56C34BB0"/>
    <w:rsid w:val="56D71B8E"/>
    <w:rsid w:val="56DB7B13"/>
    <w:rsid w:val="56F42D23"/>
    <w:rsid w:val="56F607F6"/>
    <w:rsid w:val="57110D66"/>
    <w:rsid w:val="571C5DFA"/>
    <w:rsid w:val="57286583"/>
    <w:rsid w:val="572C3C6A"/>
    <w:rsid w:val="57340AE7"/>
    <w:rsid w:val="5742436F"/>
    <w:rsid w:val="5759342B"/>
    <w:rsid w:val="576332DB"/>
    <w:rsid w:val="57806160"/>
    <w:rsid w:val="57822D00"/>
    <w:rsid w:val="57836FA1"/>
    <w:rsid w:val="57852A6F"/>
    <w:rsid w:val="578B43CF"/>
    <w:rsid w:val="57974D29"/>
    <w:rsid w:val="579802FB"/>
    <w:rsid w:val="57AB36AA"/>
    <w:rsid w:val="57C433FE"/>
    <w:rsid w:val="57CC23D2"/>
    <w:rsid w:val="57CF07B2"/>
    <w:rsid w:val="57D0536C"/>
    <w:rsid w:val="57D2240D"/>
    <w:rsid w:val="57DA7555"/>
    <w:rsid w:val="57E14717"/>
    <w:rsid w:val="57F16097"/>
    <w:rsid w:val="58175F35"/>
    <w:rsid w:val="581E2CCE"/>
    <w:rsid w:val="582D70FF"/>
    <w:rsid w:val="582D7CF9"/>
    <w:rsid w:val="584117F8"/>
    <w:rsid w:val="58430542"/>
    <w:rsid w:val="585614FD"/>
    <w:rsid w:val="58647CF0"/>
    <w:rsid w:val="586B58D0"/>
    <w:rsid w:val="586E0241"/>
    <w:rsid w:val="5871792F"/>
    <w:rsid w:val="587B146F"/>
    <w:rsid w:val="58A32B08"/>
    <w:rsid w:val="58A35376"/>
    <w:rsid w:val="58B53004"/>
    <w:rsid w:val="58B96828"/>
    <w:rsid w:val="58BB46CE"/>
    <w:rsid w:val="58C43D49"/>
    <w:rsid w:val="58C97C22"/>
    <w:rsid w:val="58D02A3A"/>
    <w:rsid w:val="58D03B70"/>
    <w:rsid w:val="58D14966"/>
    <w:rsid w:val="58E91552"/>
    <w:rsid w:val="58F15754"/>
    <w:rsid w:val="58F25FBB"/>
    <w:rsid w:val="58F951F1"/>
    <w:rsid w:val="58FC6474"/>
    <w:rsid w:val="590647AD"/>
    <w:rsid w:val="59066928"/>
    <w:rsid w:val="59104003"/>
    <w:rsid w:val="5916719A"/>
    <w:rsid w:val="592913D1"/>
    <w:rsid w:val="593E6D79"/>
    <w:rsid w:val="5964738D"/>
    <w:rsid w:val="596E5881"/>
    <w:rsid w:val="5979000B"/>
    <w:rsid w:val="59843637"/>
    <w:rsid w:val="599071DA"/>
    <w:rsid w:val="59961C3F"/>
    <w:rsid w:val="59A33504"/>
    <w:rsid w:val="59C217B3"/>
    <w:rsid w:val="59D04D2D"/>
    <w:rsid w:val="59E129C6"/>
    <w:rsid w:val="59E44DC2"/>
    <w:rsid w:val="59E95753"/>
    <w:rsid w:val="59ED5E18"/>
    <w:rsid w:val="5A062F2B"/>
    <w:rsid w:val="5A4052F7"/>
    <w:rsid w:val="5A4B3D64"/>
    <w:rsid w:val="5A656B7D"/>
    <w:rsid w:val="5A6911FB"/>
    <w:rsid w:val="5A6E45F6"/>
    <w:rsid w:val="5A6E5791"/>
    <w:rsid w:val="5A7203C3"/>
    <w:rsid w:val="5A7359B6"/>
    <w:rsid w:val="5A946E9E"/>
    <w:rsid w:val="5A9A59E9"/>
    <w:rsid w:val="5A9A78A2"/>
    <w:rsid w:val="5AAE4BCA"/>
    <w:rsid w:val="5AB441F4"/>
    <w:rsid w:val="5AB97AE1"/>
    <w:rsid w:val="5ABE658C"/>
    <w:rsid w:val="5AC21871"/>
    <w:rsid w:val="5AC3781F"/>
    <w:rsid w:val="5AC56D7E"/>
    <w:rsid w:val="5AD65D2C"/>
    <w:rsid w:val="5AE66844"/>
    <w:rsid w:val="5AEB58A3"/>
    <w:rsid w:val="5AEE36BF"/>
    <w:rsid w:val="5AF30F60"/>
    <w:rsid w:val="5AF82BC2"/>
    <w:rsid w:val="5B005111"/>
    <w:rsid w:val="5B141E25"/>
    <w:rsid w:val="5B1874A9"/>
    <w:rsid w:val="5B230904"/>
    <w:rsid w:val="5B301046"/>
    <w:rsid w:val="5B584657"/>
    <w:rsid w:val="5B595267"/>
    <w:rsid w:val="5B7B3430"/>
    <w:rsid w:val="5B8930BB"/>
    <w:rsid w:val="5B8D0D99"/>
    <w:rsid w:val="5BA362DD"/>
    <w:rsid w:val="5BAA5AC3"/>
    <w:rsid w:val="5BAD7DF7"/>
    <w:rsid w:val="5BBA658A"/>
    <w:rsid w:val="5C0D0D85"/>
    <w:rsid w:val="5C1061AD"/>
    <w:rsid w:val="5C181771"/>
    <w:rsid w:val="5C215127"/>
    <w:rsid w:val="5C22347D"/>
    <w:rsid w:val="5C2240B4"/>
    <w:rsid w:val="5C25031B"/>
    <w:rsid w:val="5C2675C8"/>
    <w:rsid w:val="5C292373"/>
    <w:rsid w:val="5C2D138D"/>
    <w:rsid w:val="5C3D2CC3"/>
    <w:rsid w:val="5C4E5508"/>
    <w:rsid w:val="5C6435E4"/>
    <w:rsid w:val="5C69599F"/>
    <w:rsid w:val="5C735B72"/>
    <w:rsid w:val="5C7B5899"/>
    <w:rsid w:val="5C8149BB"/>
    <w:rsid w:val="5C8209B8"/>
    <w:rsid w:val="5C84632C"/>
    <w:rsid w:val="5C8C6F77"/>
    <w:rsid w:val="5C955AE5"/>
    <w:rsid w:val="5CA617F1"/>
    <w:rsid w:val="5CA6628A"/>
    <w:rsid w:val="5CA81C60"/>
    <w:rsid w:val="5CAB38A1"/>
    <w:rsid w:val="5CAF0B46"/>
    <w:rsid w:val="5CB163A0"/>
    <w:rsid w:val="5CCB4A8E"/>
    <w:rsid w:val="5D033941"/>
    <w:rsid w:val="5D092423"/>
    <w:rsid w:val="5D1129F8"/>
    <w:rsid w:val="5D1F75EC"/>
    <w:rsid w:val="5D4A7CA4"/>
    <w:rsid w:val="5D4F174E"/>
    <w:rsid w:val="5D554BB4"/>
    <w:rsid w:val="5D5C103F"/>
    <w:rsid w:val="5D5E358E"/>
    <w:rsid w:val="5D732FF2"/>
    <w:rsid w:val="5D742392"/>
    <w:rsid w:val="5D855D15"/>
    <w:rsid w:val="5D986C1B"/>
    <w:rsid w:val="5D9B5470"/>
    <w:rsid w:val="5D9F027D"/>
    <w:rsid w:val="5DA654D2"/>
    <w:rsid w:val="5DD41D21"/>
    <w:rsid w:val="5DD609C8"/>
    <w:rsid w:val="5DD66934"/>
    <w:rsid w:val="5DDE1552"/>
    <w:rsid w:val="5DE30E18"/>
    <w:rsid w:val="5DE43F0F"/>
    <w:rsid w:val="5DE762FC"/>
    <w:rsid w:val="5DEE0E3B"/>
    <w:rsid w:val="5DF63761"/>
    <w:rsid w:val="5E103256"/>
    <w:rsid w:val="5E1B7BD2"/>
    <w:rsid w:val="5E1E23BF"/>
    <w:rsid w:val="5E3234D6"/>
    <w:rsid w:val="5E32584C"/>
    <w:rsid w:val="5E3358C1"/>
    <w:rsid w:val="5E36348A"/>
    <w:rsid w:val="5E562534"/>
    <w:rsid w:val="5E5948C5"/>
    <w:rsid w:val="5E624355"/>
    <w:rsid w:val="5E6C4086"/>
    <w:rsid w:val="5E725E0D"/>
    <w:rsid w:val="5E733F40"/>
    <w:rsid w:val="5E740A3F"/>
    <w:rsid w:val="5E9640F1"/>
    <w:rsid w:val="5EA6431A"/>
    <w:rsid w:val="5EAC6809"/>
    <w:rsid w:val="5EAD0764"/>
    <w:rsid w:val="5EAD5507"/>
    <w:rsid w:val="5EBA243F"/>
    <w:rsid w:val="5EBC4CA9"/>
    <w:rsid w:val="5EC16869"/>
    <w:rsid w:val="5EC72464"/>
    <w:rsid w:val="5ECB1C1F"/>
    <w:rsid w:val="5ED56C46"/>
    <w:rsid w:val="5EDD3468"/>
    <w:rsid w:val="5EE17487"/>
    <w:rsid w:val="5EF96CAD"/>
    <w:rsid w:val="5EFF39EF"/>
    <w:rsid w:val="5EFF767D"/>
    <w:rsid w:val="5F2C2D42"/>
    <w:rsid w:val="5F4054B5"/>
    <w:rsid w:val="5F4B5598"/>
    <w:rsid w:val="5F52696C"/>
    <w:rsid w:val="5F536D80"/>
    <w:rsid w:val="5F584447"/>
    <w:rsid w:val="5F5D0D5A"/>
    <w:rsid w:val="5F691C67"/>
    <w:rsid w:val="5F6E1060"/>
    <w:rsid w:val="5F79713B"/>
    <w:rsid w:val="5F801639"/>
    <w:rsid w:val="5F806B73"/>
    <w:rsid w:val="5F86114D"/>
    <w:rsid w:val="5F883691"/>
    <w:rsid w:val="5F88394B"/>
    <w:rsid w:val="5F8A511F"/>
    <w:rsid w:val="5F8E7B0F"/>
    <w:rsid w:val="5F9C6679"/>
    <w:rsid w:val="5FA06FEE"/>
    <w:rsid w:val="5FA850BE"/>
    <w:rsid w:val="5FAC498C"/>
    <w:rsid w:val="5FC102A5"/>
    <w:rsid w:val="5FCD14BC"/>
    <w:rsid w:val="5FD85188"/>
    <w:rsid w:val="5FDD6EA0"/>
    <w:rsid w:val="5FE33B7B"/>
    <w:rsid w:val="5FF63C63"/>
    <w:rsid w:val="5FF95AFE"/>
    <w:rsid w:val="60172B5E"/>
    <w:rsid w:val="60191EB4"/>
    <w:rsid w:val="601C4C45"/>
    <w:rsid w:val="60243717"/>
    <w:rsid w:val="603744B5"/>
    <w:rsid w:val="60387C30"/>
    <w:rsid w:val="603D29E0"/>
    <w:rsid w:val="60447E06"/>
    <w:rsid w:val="605B435E"/>
    <w:rsid w:val="60621935"/>
    <w:rsid w:val="607074DA"/>
    <w:rsid w:val="60842F69"/>
    <w:rsid w:val="60843E5F"/>
    <w:rsid w:val="608C29D6"/>
    <w:rsid w:val="608F681C"/>
    <w:rsid w:val="60B22405"/>
    <w:rsid w:val="60B87D6F"/>
    <w:rsid w:val="60B87F19"/>
    <w:rsid w:val="60BC2752"/>
    <w:rsid w:val="60D46EB1"/>
    <w:rsid w:val="60D8486C"/>
    <w:rsid w:val="60E071C2"/>
    <w:rsid w:val="60F46E8B"/>
    <w:rsid w:val="60FA5D0A"/>
    <w:rsid w:val="61140952"/>
    <w:rsid w:val="611D2391"/>
    <w:rsid w:val="611F6B1B"/>
    <w:rsid w:val="61227EAA"/>
    <w:rsid w:val="6123428B"/>
    <w:rsid w:val="612D331E"/>
    <w:rsid w:val="612F1165"/>
    <w:rsid w:val="61301728"/>
    <w:rsid w:val="61353868"/>
    <w:rsid w:val="615142EF"/>
    <w:rsid w:val="615F4EB7"/>
    <w:rsid w:val="61877300"/>
    <w:rsid w:val="618A0059"/>
    <w:rsid w:val="619250C8"/>
    <w:rsid w:val="61943886"/>
    <w:rsid w:val="61A92915"/>
    <w:rsid w:val="61AE28A7"/>
    <w:rsid w:val="61BD543B"/>
    <w:rsid w:val="61D94A0C"/>
    <w:rsid w:val="61E4223B"/>
    <w:rsid w:val="61F56F02"/>
    <w:rsid w:val="61F730E4"/>
    <w:rsid w:val="61F97775"/>
    <w:rsid w:val="62116C55"/>
    <w:rsid w:val="623F0400"/>
    <w:rsid w:val="624238CD"/>
    <w:rsid w:val="624428DA"/>
    <w:rsid w:val="624B60B8"/>
    <w:rsid w:val="62527910"/>
    <w:rsid w:val="625C68D5"/>
    <w:rsid w:val="62601F71"/>
    <w:rsid w:val="626E5245"/>
    <w:rsid w:val="627D016C"/>
    <w:rsid w:val="627D702E"/>
    <w:rsid w:val="628608B2"/>
    <w:rsid w:val="62A24903"/>
    <w:rsid w:val="62CA61EB"/>
    <w:rsid w:val="62D7011C"/>
    <w:rsid w:val="62E27CF1"/>
    <w:rsid w:val="630A6A12"/>
    <w:rsid w:val="63187DAE"/>
    <w:rsid w:val="63196670"/>
    <w:rsid w:val="63206E52"/>
    <w:rsid w:val="633816AF"/>
    <w:rsid w:val="6339625B"/>
    <w:rsid w:val="633F3C50"/>
    <w:rsid w:val="634C2D9E"/>
    <w:rsid w:val="63683E7B"/>
    <w:rsid w:val="63942003"/>
    <w:rsid w:val="63984B32"/>
    <w:rsid w:val="639B0D87"/>
    <w:rsid w:val="639B104E"/>
    <w:rsid w:val="63A7198B"/>
    <w:rsid w:val="63AA73F6"/>
    <w:rsid w:val="63C35930"/>
    <w:rsid w:val="63DB5636"/>
    <w:rsid w:val="63DB6459"/>
    <w:rsid w:val="63E5541C"/>
    <w:rsid w:val="63FC0E86"/>
    <w:rsid w:val="641F1048"/>
    <w:rsid w:val="6428216C"/>
    <w:rsid w:val="643A39B8"/>
    <w:rsid w:val="643C7516"/>
    <w:rsid w:val="64430863"/>
    <w:rsid w:val="64450AAB"/>
    <w:rsid w:val="644C3509"/>
    <w:rsid w:val="644C4E9D"/>
    <w:rsid w:val="645101EA"/>
    <w:rsid w:val="6456020D"/>
    <w:rsid w:val="64571640"/>
    <w:rsid w:val="645834E6"/>
    <w:rsid w:val="64621809"/>
    <w:rsid w:val="647A2C46"/>
    <w:rsid w:val="648147D0"/>
    <w:rsid w:val="648E7F01"/>
    <w:rsid w:val="648F3C88"/>
    <w:rsid w:val="64902D58"/>
    <w:rsid w:val="64957EB7"/>
    <w:rsid w:val="6497295D"/>
    <w:rsid w:val="64984234"/>
    <w:rsid w:val="649B41FB"/>
    <w:rsid w:val="64AA2E1F"/>
    <w:rsid w:val="64B378C5"/>
    <w:rsid w:val="64B4546B"/>
    <w:rsid w:val="64BC5523"/>
    <w:rsid w:val="64DA0335"/>
    <w:rsid w:val="64DE7494"/>
    <w:rsid w:val="64DF0391"/>
    <w:rsid w:val="64F50CDE"/>
    <w:rsid w:val="64F80211"/>
    <w:rsid w:val="64F85D90"/>
    <w:rsid w:val="64FD13BA"/>
    <w:rsid w:val="65024685"/>
    <w:rsid w:val="650629AF"/>
    <w:rsid w:val="65331D06"/>
    <w:rsid w:val="6534541F"/>
    <w:rsid w:val="654167BA"/>
    <w:rsid w:val="65446B06"/>
    <w:rsid w:val="65597C49"/>
    <w:rsid w:val="65613F94"/>
    <w:rsid w:val="65624481"/>
    <w:rsid w:val="65644F35"/>
    <w:rsid w:val="656A091F"/>
    <w:rsid w:val="6571377B"/>
    <w:rsid w:val="65767842"/>
    <w:rsid w:val="659445C2"/>
    <w:rsid w:val="65950EF0"/>
    <w:rsid w:val="65A4389E"/>
    <w:rsid w:val="65A617BA"/>
    <w:rsid w:val="65A714B9"/>
    <w:rsid w:val="65AE01AE"/>
    <w:rsid w:val="65AE61B0"/>
    <w:rsid w:val="65B80A7E"/>
    <w:rsid w:val="65BF5E55"/>
    <w:rsid w:val="65E838A7"/>
    <w:rsid w:val="65EB22CA"/>
    <w:rsid w:val="65F230D3"/>
    <w:rsid w:val="65F735FF"/>
    <w:rsid w:val="65FA423E"/>
    <w:rsid w:val="66056E07"/>
    <w:rsid w:val="660C3C48"/>
    <w:rsid w:val="660C3CBE"/>
    <w:rsid w:val="660E0090"/>
    <w:rsid w:val="661552CA"/>
    <w:rsid w:val="66174A0D"/>
    <w:rsid w:val="66184849"/>
    <w:rsid w:val="66281D90"/>
    <w:rsid w:val="663B46C9"/>
    <w:rsid w:val="6661108B"/>
    <w:rsid w:val="66632EDD"/>
    <w:rsid w:val="667C1D27"/>
    <w:rsid w:val="668F3432"/>
    <w:rsid w:val="668F7D8F"/>
    <w:rsid w:val="66974447"/>
    <w:rsid w:val="669B4986"/>
    <w:rsid w:val="66BE4BCA"/>
    <w:rsid w:val="66D94F5C"/>
    <w:rsid w:val="66E906BE"/>
    <w:rsid w:val="6703194C"/>
    <w:rsid w:val="67034111"/>
    <w:rsid w:val="670E1C73"/>
    <w:rsid w:val="67116A92"/>
    <w:rsid w:val="67124A12"/>
    <w:rsid w:val="67181975"/>
    <w:rsid w:val="671E0E48"/>
    <w:rsid w:val="671E3574"/>
    <w:rsid w:val="67233438"/>
    <w:rsid w:val="672828C1"/>
    <w:rsid w:val="673051D2"/>
    <w:rsid w:val="67471ECD"/>
    <w:rsid w:val="675212BC"/>
    <w:rsid w:val="6753024D"/>
    <w:rsid w:val="67585AA8"/>
    <w:rsid w:val="675C0B63"/>
    <w:rsid w:val="675E383C"/>
    <w:rsid w:val="675F4E6C"/>
    <w:rsid w:val="677024DF"/>
    <w:rsid w:val="67705FE4"/>
    <w:rsid w:val="677069C5"/>
    <w:rsid w:val="678410BA"/>
    <w:rsid w:val="67860E67"/>
    <w:rsid w:val="67A02C8D"/>
    <w:rsid w:val="67A24D3D"/>
    <w:rsid w:val="67A55E99"/>
    <w:rsid w:val="67A861F3"/>
    <w:rsid w:val="67AB0BF9"/>
    <w:rsid w:val="67BD17A4"/>
    <w:rsid w:val="67C55C9C"/>
    <w:rsid w:val="67D55226"/>
    <w:rsid w:val="67DD4F56"/>
    <w:rsid w:val="67E049F9"/>
    <w:rsid w:val="67F06CAB"/>
    <w:rsid w:val="67FD2AAB"/>
    <w:rsid w:val="6817217C"/>
    <w:rsid w:val="683D362A"/>
    <w:rsid w:val="68456CBA"/>
    <w:rsid w:val="68625FD5"/>
    <w:rsid w:val="68863414"/>
    <w:rsid w:val="68990BEF"/>
    <w:rsid w:val="68A00E39"/>
    <w:rsid w:val="68A670E0"/>
    <w:rsid w:val="68A961AE"/>
    <w:rsid w:val="68AD3177"/>
    <w:rsid w:val="68C65329"/>
    <w:rsid w:val="68E4477A"/>
    <w:rsid w:val="6904398B"/>
    <w:rsid w:val="69050C23"/>
    <w:rsid w:val="69085C81"/>
    <w:rsid w:val="691928F2"/>
    <w:rsid w:val="691C2242"/>
    <w:rsid w:val="69274E84"/>
    <w:rsid w:val="6932468B"/>
    <w:rsid w:val="6934557A"/>
    <w:rsid w:val="693D2D4C"/>
    <w:rsid w:val="694C73DA"/>
    <w:rsid w:val="694D51B4"/>
    <w:rsid w:val="694E24AF"/>
    <w:rsid w:val="69771483"/>
    <w:rsid w:val="69796AD5"/>
    <w:rsid w:val="6988285F"/>
    <w:rsid w:val="69883A4C"/>
    <w:rsid w:val="699B4E9B"/>
    <w:rsid w:val="69BD5344"/>
    <w:rsid w:val="69C06CEF"/>
    <w:rsid w:val="69D055CF"/>
    <w:rsid w:val="69D45F6B"/>
    <w:rsid w:val="69D74BBC"/>
    <w:rsid w:val="69DA3487"/>
    <w:rsid w:val="69E515BE"/>
    <w:rsid w:val="69E95B2B"/>
    <w:rsid w:val="69ED5047"/>
    <w:rsid w:val="69FA3D78"/>
    <w:rsid w:val="69FB3AA4"/>
    <w:rsid w:val="6A024D1C"/>
    <w:rsid w:val="6A21612B"/>
    <w:rsid w:val="6A2E06D9"/>
    <w:rsid w:val="6A347FCA"/>
    <w:rsid w:val="6A497973"/>
    <w:rsid w:val="6A51242E"/>
    <w:rsid w:val="6A665789"/>
    <w:rsid w:val="6A6D78F5"/>
    <w:rsid w:val="6A71677E"/>
    <w:rsid w:val="6A7C4452"/>
    <w:rsid w:val="6A965FA8"/>
    <w:rsid w:val="6A9A57A4"/>
    <w:rsid w:val="6AA11867"/>
    <w:rsid w:val="6AB42D7E"/>
    <w:rsid w:val="6AB5205B"/>
    <w:rsid w:val="6AC50223"/>
    <w:rsid w:val="6AC87D14"/>
    <w:rsid w:val="6AD24530"/>
    <w:rsid w:val="6AD45EC0"/>
    <w:rsid w:val="6AEE731B"/>
    <w:rsid w:val="6AF629C5"/>
    <w:rsid w:val="6AF83E34"/>
    <w:rsid w:val="6AF95370"/>
    <w:rsid w:val="6AFB533E"/>
    <w:rsid w:val="6B0F78C6"/>
    <w:rsid w:val="6B1E1FB7"/>
    <w:rsid w:val="6B1F68AF"/>
    <w:rsid w:val="6B3377C5"/>
    <w:rsid w:val="6B451364"/>
    <w:rsid w:val="6B4F1D0C"/>
    <w:rsid w:val="6B5B657E"/>
    <w:rsid w:val="6B6E4569"/>
    <w:rsid w:val="6B7A07AA"/>
    <w:rsid w:val="6B852E51"/>
    <w:rsid w:val="6B8F5E83"/>
    <w:rsid w:val="6B913117"/>
    <w:rsid w:val="6B9A5E05"/>
    <w:rsid w:val="6B9F1A51"/>
    <w:rsid w:val="6BA17ADC"/>
    <w:rsid w:val="6BB5512E"/>
    <w:rsid w:val="6BBF6F53"/>
    <w:rsid w:val="6BC70A93"/>
    <w:rsid w:val="6BD47F5C"/>
    <w:rsid w:val="6BD75F48"/>
    <w:rsid w:val="6BDA5F51"/>
    <w:rsid w:val="6BE04499"/>
    <w:rsid w:val="6BF8685F"/>
    <w:rsid w:val="6C131B8D"/>
    <w:rsid w:val="6C15713F"/>
    <w:rsid w:val="6C267FE0"/>
    <w:rsid w:val="6C2E0825"/>
    <w:rsid w:val="6C4913AF"/>
    <w:rsid w:val="6C4E294A"/>
    <w:rsid w:val="6C532D90"/>
    <w:rsid w:val="6C597151"/>
    <w:rsid w:val="6C5F4375"/>
    <w:rsid w:val="6C653FB4"/>
    <w:rsid w:val="6C656DD9"/>
    <w:rsid w:val="6C7D03DF"/>
    <w:rsid w:val="6C881922"/>
    <w:rsid w:val="6C881F88"/>
    <w:rsid w:val="6C9666B1"/>
    <w:rsid w:val="6C987200"/>
    <w:rsid w:val="6CA56897"/>
    <w:rsid w:val="6CAC0991"/>
    <w:rsid w:val="6CB467A2"/>
    <w:rsid w:val="6CB873EF"/>
    <w:rsid w:val="6CC74491"/>
    <w:rsid w:val="6CCB73C7"/>
    <w:rsid w:val="6CD6037B"/>
    <w:rsid w:val="6CF068C5"/>
    <w:rsid w:val="6CF65C80"/>
    <w:rsid w:val="6D084871"/>
    <w:rsid w:val="6D09600B"/>
    <w:rsid w:val="6D0B7668"/>
    <w:rsid w:val="6D0C2FB1"/>
    <w:rsid w:val="6D104872"/>
    <w:rsid w:val="6D1C7E21"/>
    <w:rsid w:val="6D22461C"/>
    <w:rsid w:val="6D2265BD"/>
    <w:rsid w:val="6D3113B3"/>
    <w:rsid w:val="6D3D1CF8"/>
    <w:rsid w:val="6D405A80"/>
    <w:rsid w:val="6D493B1C"/>
    <w:rsid w:val="6D504DAC"/>
    <w:rsid w:val="6D5A423F"/>
    <w:rsid w:val="6D5C4CEC"/>
    <w:rsid w:val="6D5F7817"/>
    <w:rsid w:val="6D68383A"/>
    <w:rsid w:val="6D760823"/>
    <w:rsid w:val="6D77008D"/>
    <w:rsid w:val="6D7A2AAC"/>
    <w:rsid w:val="6D806BB4"/>
    <w:rsid w:val="6D887D82"/>
    <w:rsid w:val="6DB02A97"/>
    <w:rsid w:val="6DB04116"/>
    <w:rsid w:val="6DBB1E16"/>
    <w:rsid w:val="6DC76865"/>
    <w:rsid w:val="6DCF4F15"/>
    <w:rsid w:val="6DD1181D"/>
    <w:rsid w:val="6DD16EDF"/>
    <w:rsid w:val="6DD35299"/>
    <w:rsid w:val="6DEC5471"/>
    <w:rsid w:val="6DED6D6A"/>
    <w:rsid w:val="6DF14D19"/>
    <w:rsid w:val="6DF20CAB"/>
    <w:rsid w:val="6DFD768A"/>
    <w:rsid w:val="6E0A7995"/>
    <w:rsid w:val="6E1B3C17"/>
    <w:rsid w:val="6E2B7463"/>
    <w:rsid w:val="6E311BDC"/>
    <w:rsid w:val="6E3269D7"/>
    <w:rsid w:val="6E3360ED"/>
    <w:rsid w:val="6E393DE4"/>
    <w:rsid w:val="6E3B0389"/>
    <w:rsid w:val="6E3C64AA"/>
    <w:rsid w:val="6E49106B"/>
    <w:rsid w:val="6E51604A"/>
    <w:rsid w:val="6E5C5B23"/>
    <w:rsid w:val="6E5F7E48"/>
    <w:rsid w:val="6E626800"/>
    <w:rsid w:val="6E7D2073"/>
    <w:rsid w:val="6E82207D"/>
    <w:rsid w:val="6E8A6A92"/>
    <w:rsid w:val="6E8B6695"/>
    <w:rsid w:val="6EA02691"/>
    <w:rsid w:val="6EA166D4"/>
    <w:rsid w:val="6EA87C9B"/>
    <w:rsid w:val="6EB60C5E"/>
    <w:rsid w:val="6EEC4557"/>
    <w:rsid w:val="6EF14D69"/>
    <w:rsid w:val="6F067813"/>
    <w:rsid w:val="6F132612"/>
    <w:rsid w:val="6F171F9A"/>
    <w:rsid w:val="6F286FD3"/>
    <w:rsid w:val="6F316184"/>
    <w:rsid w:val="6F465C0A"/>
    <w:rsid w:val="6F47436D"/>
    <w:rsid w:val="6F485108"/>
    <w:rsid w:val="6F570747"/>
    <w:rsid w:val="6F696E43"/>
    <w:rsid w:val="6F6A62D2"/>
    <w:rsid w:val="6F6B3422"/>
    <w:rsid w:val="6F6C04F2"/>
    <w:rsid w:val="6F8378B8"/>
    <w:rsid w:val="6F9462E7"/>
    <w:rsid w:val="6F9523CE"/>
    <w:rsid w:val="6F9C1821"/>
    <w:rsid w:val="6FA73537"/>
    <w:rsid w:val="6FB10D74"/>
    <w:rsid w:val="6FD05B59"/>
    <w:rsid w:val="6FD577C1"/>
    <w:rsid w:val="6FDC1B6B"/>
    <w:rsid w:val="6FDF3411"/>
    <w:rsid w:val="6FE74798"/>
    <w:rsid w:val="6FEA467B"/>
    <w:rsid w:val="6FF1789F"/>
    <w:rsid w:val="6FF17D73"/>
    <w:rsid w:val="6FF43D22"/>
    <w:rsid w:val="6FF54A6D"/>
    <w:rsid w:val="6FFD5FA0"/>
    <w:rsid w:val="70045625"/>
    <w:rsid w:val="701614EE"/>
    <w:rsid w:val="703818E7"/>
    <w:rsid w:val="704374F7"/>
    <w:rsid w:val="70472BD4"/>
    <w:rsid w:val="705603D2"/>
    <w:rsid w:val="705C5752"/>
    <w:rsid w:val="706251AF"/>
    <w:rsid w:val="70663E42"/>
    <w:rsid w:val="70696222"/>
    <w:rsid w:val="70733F9E"/>
    <w:rsid w:val="7075012D"/>
    <w:rsid w:val="707D334E"/>
    <w:rsid w:val="7088372F"/>
    <w:rsid w:val="70961169"/>
    <w:rsid w:val="709A6CF6"/>
    <w:rsid w:val="70A76E5E"/>
    <w:rsid w:val="70AE720E"/>
    <w:rsid w:val="70B02CAC"/>
    <w:rsid w:val="70B42F77"/>
    <w:rsid w:val="70BF6F98"/>
    <w:rsid w:val="70C81D5D"/>
    <w:rsid w:val="70CD28D5"/>
    <w:rsid w:val="70E02CFF"/>
    <w:rsid w:val="70E17439"/>
    <w:rsid w:val="70E40BD7"/>
    <w:rsid w:val="70E76648"/>
    <w:rsid w:val="70FC0831"/>
    <w:rsid w:val="710B0A29"/>
    <w:rsid w:val="711B080D"/>
    <w:rsid w:val="711D3E43"/>
    <w:rsid w:val="71254BFF"/>
    <w:rsid w:val="712D603E"/>
    <w:rsid w:val="71430EF8"/>
    <w:rsid w:val="71506ACE"/>
    <w:rsid w:val="71542301"/>
    <w:rsid w:val="7156521B"/>
    <w:rsid w:val="71682F42"/>
    <w:rsid w:val="716F0FF3"/>
    <w:rsid w:val="717151CC"/>
    <w:rsid w:val="717A4531"/>
    <w:rsid w:val="719A4145"/>
    <w:rsid w:val="71A353A7"/>
    <w:rsid w:val="71A461B8"/>
    <w:rsid w:val="71C971CF"/>
    <w:rsid w:val="71CA02EA"/>
    <w:rsid w:val="71CA10CD"/>
    <w:rsid w:val="71DA03CE"/>
    <w:rsid w:val="71DD3A6C"/>
    <w:rsid w:val="71EB612D"/>
    <w:rsid w:val="7210228E"/>
    <w:rsid w:val="72194E94"/>
    <w:rsid w:val="723530A5"/>
    <w:rsid w:val="72387521"/>
    <w:rsid w:val="723D1AC9"/>
    <w:rsid w:val="724D1CE2"/>
    <w:rsid w:val="724E266F"/>
    <w:rsid w:val="724E3C63"/>
    <w:rsid w:val="725465AD"/>
    <w:rsid w:val="72606E22"/>
    <w:rsid w:val="726540F4"/>
    <w:rsid w:val="728A52EF"/>
    <w:rsid w:val="729676C2"/>
    <w:rsid w:val="729A0077"/>
    <w:rsid w:val="729C3049"/>
    <w:rsid w:val="72A37689"/>
    <w:rsid w:val="72A56536"/>
    <w:rsid w:val="72B2267F"/>
    <w:rsid w:val="72C056DA"/>
    <w:rsid w:val="72CC37CF"/>
    <w:rsid w:val="72DC0911"/>
    <w:rsid w:val="72E17744"/>
    <w:rsid w:val="72FB3FB5"/>
    <w:rsid w:val="72FE13EB"/>
    <w:rsid w:val="731408EC"/>
    <w:rsid w:val="731760E5"/>
    <w:rsid w:val="731D7836"/>
    <w:rsid w:val="7326464B"/>
    <w:rsid w:val="732B4905"/>
    <w:rsid w:val="734831EA"/>
    <w:rsid w:val="735A1458"/>
    <w:rsid w:val="73730EE0"/>
    <w:rsid w:val="7373483A"/>
    <w:rsid w:val="73792F9F"/>
    <w:rsid w:val="738D37B5"/>
    <w:rsid w:val="738D50EF"/>
    <w:rsid w:val="73936F4C"/>
    <w:rsid w:val="739777A7"/>
    <w:rsid w:val="73A21147"/>
    <w:rsid w:val="73A526A0"/>
    <w:rsid w:val="73A9480C"/>
    <w:rsid w:val="73B96F99"/>
    <w:rsid w:val="73BB1B31"/>
    <w:rsid w:val="73BB5EC5"/>
    <w:rsid w:val="73D11195"/>
    <w:rsid w:val="73E37688"/>
    <w:rsid w:val="74014F5C"/>
    <w:rsid w:val="74033C4A"/>
    <w:rsid w:val="74072EEA"/>
    <w:rsid w:val="741C26A3"/>
    <w:rsid w:val="74266529"/>
    <w:rsid w:val="743042A8"/>
    <w:rsid w:val="743A08E1"/>
    <w:rsid w:val="74574FB0"/>
    <w:rsid w:val="74A15A55"/>
    <w:rsid w:val="74BF11AC"/>
    <w:rsid w:val="74D26036"/>
    <w:rsid w:val="74D55102"/>
    <w:rsid w:val="74DE7B80"/>
    <w:rsid w:val="74E03648"/>
    <w:rsid w:val="74E45CC9"/>
    <w:rsid w:val="74E76D13"/>
    <w:rsid w:val="74E90ED2"/>
    <w:rsid w:val="74EF4423"/>
    <w:rsid w:val="74F07158"/>
    <w:rsid w:val="74F16E35"/>
    <w:rsid w:val="75141F70"/>
    <w:rsid w:val="75251B40"/>
    <w:rsid w:val="753766AA"/>
    <w:rsid w:val="75396F3C"/>
    <w:rsid w:val="75450833"/>
    <w:rsid w:val="75480237"/>
    <w:rsid w:val="754C6F35"/>
    <w:rsid w:val="75656DE5"/>
    <w:rsid w:val="75821646"/>
    <w:rsid w:val="75871020"/>
    <w:rsid w:val="75925086"/>
    <w:rsid w:val="75997FD4"/>
    <w:rsid w:val="75A43126"/>
    <w:rsid w:val="75A663C1"/>
    <w:rsid w:val="75B24A01"/>
    <w:rsid w:val="75BC74F0"/>
    <w:rsid w:val="75C169B5"/>
    <w:rsid w:val="75C26B49"/>
    <w:rsid w:val="75C635E5"/>
    <w:rsid w:val="75C94940"/>
    <w:rsid w:val="75D64BF6"/>
    <w:rsid w:val="75F762C0"/>
    <w:rsid w:val="76085993"/>
    <w:rsid w:val="76216B46"/>
    <w:rsid w:val="7624387E"/>
    <w:rsid w:val="76250849"/>
    <w:rsid w:val="76255FF9"/>
    <w:rsid w:val="76320DB1"/>
    <w:rsid w:val="76443030"/>
    <w:rsid w:val="76612916"/>
    <w:rsid w:val="766D79C1"/>
    <w:rsid w:val="76735D63"/>
    <w:rsid w:val="76775D4E"/>
    <w:rsid w:val="768F46E0"/>
    <w:rsid w:val="76920976"/>
    <w:rsid w:val="76926E2D"/>
    <w:rsid w:val="76AC44C7"/>
    <w:rsid w:val="76BC4018"/>
    <w:rsid w:val="76D87DA0"/>
    <w:rsid w:val="76E76224"/>
    <w:rsid w:val="76F30DFD"/>
    <w:rsid w:val="770A0F7C"/>
    <w:rsid w:val="770E6AAE"/>
    <w:rsid w:val="771F2A69"/>
    <w:rsid w:val="772131D0"/>
    <w:rsid w:val="772772CF"/>
    <w:rsid w:val="77321C68"/>
    <w:rsid w:val="77347E52"/>
    <w:rsid w:val="77393ABC"/>
    <w:rsid w:val="77402C3C"/>
    <w:rsid w:val="77447EF3"/>
    <w:rsid w:val="774E05EA"/>
    <w:rsid w:val="77512C9D"/>
    <w:rsid w:val="77576BBC"/>
    <w:rsid w:val="776672B5"/>
    <w:rsid w:val="776C465C"/>
    <w:rsid w:val="777E094A"/>
    <w:rsid w:val="777F5641"/>
    <w:rsid w:val="778154D2"/>
    <w:rsid w:val="77891662"/>
    <w:rsid w:val="778D7C68"/>
    <w:rsid w:val="779571D0"/>
    <w:rsid w:val="779B7C83"/>
    <w:rsid w:val="77A9693D"/>
    <w:rsid w:val="77B23236"/>
    <w:rsid w:val="77B95F79"/>
    <w:rsid w:val="77BE76A5"/>
    <w:rsid w:val="77C60035"/>
    <w:rsid w:val="77D01FB6"/>
    <w:rsid w:val="77E92DE0"/>
    <w:rsid w:val="77F208A9"/>
    <w:rsid w:val="77F9655A"/>
    <w:rsid w:val="77FC1E7B"/>
    <w:rsid w:val="78007ECD"/>
    <w:rsid w:val="780834C3"/>
    <w:rsid w:val="780974A9"/>
    <w:rsid w:val="78191CE5"/>
    <w:rsid w:val="781C70B8"/>
    <w:rsid w:val="78202874"/>
    <w:rsid w:val="78203833"/>
    <w:rsid w:val="78240EAC"/>
    <w:rsid w:val="78295E8F"/>
    <w:rsid w:val="782F5913"/>
    <w:rsid w:val="783A5239"/>
    <w:rsid w:val="784A7A87"/>
    <w:rsid w:val="78502E6B"/>
    <w:rsid w:val="7855167B"/>
    <w:rsid w:val="78690B58"/>
    <w:rsid w:val="787718A0"/>
    <w:rsid w:val="787C1407"/>
    <w:rsid w:val="788D0EF2"/>
    <w:rsid w:val="788F1E71"/>
    <w:rsid w:val="789C5D38"/>
    <w:rsid w:val="789C62AF"/>
    <w:rsid w:val="789E4DDD"/>
    <w:rsid w:val="78A66BEE"/>
    <w:rsid w:val="78AD626E"/>
    <w:rsid w:val="78B07272"/>
    <w:rsid w:val="78B23479"/>
    <w:rsid w:val="78B47B29"/>
    <w:rsid w:val="78D424A1"/>
    <w:rsid w:val="78DC00F8"/>
    <w:rsid w:val="78DF1747"/>
    <w:rsid w:val="78FE4DE6"/>
    <w:rsid w:val="78FE7F44"/>
    <w:rsid w:val="791B7B90"/>
    <w:rsid w:val="79214DC2"/>
    <w:rsid w:val="7922228B"/>
    <w:rsid w:val="79463183"/>
    <w:rsid w:val="794C480A"/>
    <w:rsid w:val="794D3A33"/>
    <w:rsid w:val="79541C34"/>
    <w:rsid w:val="795804B5"/>
    <w:rsid w:val="79593195"/>
    <w:rsid w:val="795B1A73"/>
    <w:rsid w:val="795B591A"/>
    <w:rsid w:val="79604395"/>
    <w:rsid w:val="79610432"/>
    <w:rsid w:val="796A490A"/>
    <w:rsid w:val="79782959"/>
    <w:rsid w:val="79A64B1E"/>
    <w:rsid w:val="79B0341F"/>
    <w:rsid w:val="79B153E8"/>
    <w:rsid w:val="79BB6861"/>
    <w:rsid w:val="79C269FC"/>
    <w:rsid w:val="79C33633"/>
    <w:rsid w:val="79C36006"/>
    <w:rsid w:val="79CA181D"/>
    <w:rsid w:val="79E50F80"/>
    <w:rsid w:val="7A094044"/>
    <w:rsid w:val="7A0B68D2"/>
    <w:rsid w:val="7A0B6FB0"/>
    <w:rsid w:val="7A127F5B"/>
    <w:rsid w:val="7A154FE6"/>
    <w:rsid w:val="7A1649F4"/>
    <w:rsid w:val="7A185E1F"/>
    <w:rsid w:val="7A2A5581"/>
    <w:rsid w:val="7A2E5BFD"/>
    <w:rsid w:val="7A31669B"/>
    <w:rsid w:val="7A3507F6"/>
    <w:rsid w:val="7A3B49C8"/>
    <w:rsid w:val="7A4032D6"/>
    <w:rsid w:val="7A4146D4"/>
    <w:rsid w:val="7A4A0B0A"/>
    <w:rsid w:val="7A517BD4"/>
    <w:rsid w:val="7A58512F"/>
    <w:rsid w:val="7A652C42"/>
    <w:rsid w:val="7A691FDF"/>
    <w:rsid w:val="7A712410"/>
    <w:rsid w:val="7A7A2537"/>
    <w:rsid w:val="7A7E0271"/>
    <w:rsid w:val="7A807C8B"/>
    <w:rsid w:val="7A865270"/>
    <w:rsid w:val="7A886595"/>
    <w:rsid w:val="7A8E2E90"/>
    <w:rsid w:val="7A964E6B"/>
    <w:rsid w:val="7AB17A7B"/>
    <w:rsid w:val="7ABC09D3"/>
    <w:rsid w:val="7AE93E43"/>
    <w:rsid w:val="7B0009F6"/>
    <w:rsid w:val="7B074057"/>
    <w:rsid w:val="7B076778"/>
    <w:rsid w:val="7B0F10EF"/>
    <w:rsid w:val="7B173B05"/>
    <w:rsid w:val="7B194DD3"/>
    <w:rsid w:val="7B1E74DC"/>
    <w:rsid w:val="7B200B21"/>
    <w:rsid w:val="7B271B5B"/>
    <w:rsid w:val="7B3828B4"/>
    <w:rsid w:val="7B471C56"/>
    <w:rsid w:val="7B512AEF"/>
    <w:rsid w:val="7B552FFC"/>
    <w:rsid w:val="7B5573A2"/>
    <w:rsid w:val="7B6C743A"/>
    <w:rsid w:val="7B6F6F5D"/>
    <w:rsid w:val="7B907303"/>
    <w:rsid w:val="7B99100D"/>
    <w:rsid w:val="7BA47A5C"/>
    <w:rsid w:val="7BA774D1"/>
    <w:rsid w:val="7BAB2B7F"/>
    <w:rsid w:val="7BAB4157"/>
    <w:rsid w:val="7BAC2D3A"/>
    <w:rsid w:val="7BCA2787"/>
    <w:rsid w:val="7BEE6EAE"/>
    <w:rsid w:val="7BEE730A"/>
    <w:rsid w:val="7BF003B0"/>
    <w:rsid w:val="7BF3045C"/>
    <w:rsid w:val="7BF658B4"/>
    <w:rsid w:val="7C095E0D"/>
    <w:rsid w:val="7C102FA1"/>
    <w:rsid w:val="7C2B6FA4"/>
    <w:rsid w:val="7C2E0981"/>
    <w:rsid w:val="7C3F1447"/>
    <w:rsid w:val="7C527AF5"/>
    <w:rsid w:val="7C630442"/>
    <w:rsid w:val="7C6A0830"/>
    <w:rsid w:val="7C79509B"/>
    <w:rsid w:val="7C833DC2"/>
    <w:rsid w:val="7C876DD2"/>
    <w:rsid w:val="7C8950E4"/>
    <w:rsid w:val="7C951713"/>
    <w:rsid w:val="7CA558DD"/>
    <w:rsid w:val="7CA676DE"/>
    <w:rsid w:val="7CA91C97"/>
    <w:rsid w:val="7CAD5D27"/>
    <w:rsid w:val="7CB95D14"/>
    <w:rsid w:val="7CC63900"/>
    <w:rsid w:val="7CD10F76"/>
    <w:rsid w:val="7CF2748B"/>
    <w:rsid w:val="7D172DA2"/>
    <w:rsid w:val="7D1E1A15"/>
    <w:rsid w:val="7D221505"/>
    <w:rsid w:val="7D34739A"/>
    <w:rsid w:val="7D574C31"/>
    <w:rsid w:val="7D5E6A76"/>
    <w:rsid w:val="7D624957"/>
    <w:rsid w:val="7D633FF9"/>
    <w:rsid w:val="7D6F3931"/>
    <w:rsid w:val="7D873826"/>
    <w:rsid w:val="7DC415C8"/>
    <w:rsid w:val="7DC50BCF"/>
    <w:rsid w:val="7DD3502C"/>
    <w:rsid w:val="7DD559F9"/>
    <w:rsid w:val="7DDE7D05"/>
    <w:rsid w:val="7DE4141D"/>
    <w:rsid w:val="7DF64E2A"/>
    <w:rsid w:val="7DFF5497"/>
    <w:rsid w:val="7E0D01D0"/>
    <w:rsid w:val="7E106B9A"/>
    <w:rsid w:val="7E2168D3"/>
    <w:rsid w:val="7E2C34F7"/>
    <w:rsid w:val="7E30558A"/>
    <w:rsid w:val="7E374B3D"/>
    <w:rsid w:val="7E44499F"/>
    <w:rsid w:val="7E505474"/>
    <w:rsid w:val="7E512A3E"/>
    <w:rsid w:val="7E8807F6"/>
    <w:rsid w:val="7E952A9D"/>
    <w:rsid w:val="7EA13FF1"/>
    <w:rsid w:val="7EA34A35"/>
    <w:rsid w:val="7EB07466"/>
    <w:rsid w:val="7EB808E7"/>
    <w:rsid w:val="7EBB22FA"/>
    <w:rsid w:val="7EC745FC"/>
    <w:rsid w:val="7ED04A7D"/>
    <w:rsid w:val="7EE0560B"/>
    <w:rsid w:val="7EF41C03"/>
    <w:rsid w:val="7F053E87"/>
    <w:rsid w:val="7F1C3523"/>
    <w:rsid w:val="7F1C42C1"/>
    <w:rsid w:val="7F2145B1"/>
    <w:rsid w:val="7F2461BD"/>
    <w:rsid w:val="7F2C3DB6"/>
    <w:rsid w:val="7F2F22B8"/>
    <w:rsid w:val="7F301C41"/>
    <w:rsid w:val="7F3736E0"/>
    <w:rsid w:val="7F375F9F"/>
    <w:rsid w:val="7F5003E0"/>
    <w:rsid w:val="7F5271F2"/>
    <w:rsid w:val="7F585C65"/>
    <w:rsid w:val="7F622462"/>
    <w:rsid w:val="7F6C0ECD"/>
    <w:rsid w:val="7F7156E3"/>
    <w:rsid w:val="7F8932EA"/>
    <w:rsid w:val="7F9067D0"/>
    <w:rsid w:val="7F974623"/>
    <w:rsid w:val="7F9908B7"/>
    <w:rsid w:val="7FA46482"/>
    <w:rsid w:val="7FAE44DD"/>
    <w:rsid w:val="7FDC14BE"/>
    <w:rsid w:val="7FDF6ECC"/>
    <w:rsid w:val="7FE0383D"/>
    <w:rsid w:val="7FE641E4"/>
    <w:rsid w:val="7FEE4328"/>
    <w:rsid w:val="7FF31FF6"/>
    <w:rsid w:val="7FF56C0F"/>
    <w:rsid w:val="7FFC4394"/>
    <w:rsid w:val="7FFE6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nhideWhenUsed="0" w:uiPriority="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3" w:firstLineChars="200"/>
      <w:jc w:val="both"/>
    </w:pPr>
    <w:rPr>
      <w:rFonts w:ascii="Calibri" w:hAnsi="Calibri" w:eastAsia="宋体" w:cs="Times New Roman"/>
      <w:kern w:val="2"/>
      <w:sz w:val="24"/>
      <w:szCs w:val="24"/>
      <w:lang w:val="en-US" w:eastAsia="zh-CN" w:bidi="ar-SA"/>
    </w:rPr>
  </w:style>
  <w:style w:type="paragraph" w:styleId="2">
    <w:name w:val="heading 1"/>
    <w:basedOn w:val="1"/>
    <w:next w:val="3"/>
    <w:link w:val="49"/>
    <w:qFormat/>
    <w:uiPriority w:val="0"/>
    <w:pPr>
      <w:keepNext/>
      <w:keepLines/>
      <w:pageBreakBefore/>
      <w:numPr>
        <w:ilvl w:val="0"/>
        <w:numId w:val="1"/>
      </w:numPr>
      <w:adjustRightInd w:val="0"/>
      <w:snapToGrid w:val="0"/>
      <w:ind w:left="0" w:firstLine="0"/>
      <w:jc w:val="center"/>
      <w:outlineLvl w:val="0"/>
    </w:pPr>
    <w:rPr>
      <w:rFonts w:ascii="Times New Roman" w:hAnsi="Times New Roman" w:eastAsia="黑体" w:cs="Times New Roman"/>
      <w:b/>
      <w:color w:val="000000"/>
      <w:kern w:val="44"/>
      <w:sz w:val="32"/>
      <w:lang w:val="en-US" w:eastAsia="zh-CN" w:bidi="ar-SA"/>
    </w:rPr>
  </w:style>
  <w:style w:type="paragraph" w:styleId="4">
    <w:name w:val="heading 2"/>
    <w:basedOn w:val="1"/>
    <w:next w:val="1"/>
    <w:link w:val="51"/>
    <w:qFormat/>
    <w:uiPriority w:val="0"/>
    <w:pPr>
      <w:keepNext/>
      <w:numPr>
        <w:ilvl w:val="1"/>
        <w:numId w:val="1"/>
      </w:numPr>
      <w:ind w:firstLine="0" w:firstLineChars="0"/>
      <w:jc w:val="left"/>
      <w:outlineLvl w:val="1"/>
    </w:pPr>
    <w:rPr>
      <w:rFonts w:ascii="宋体" w:hAnsi="宋体"/>
      <w:b/>
      <w:snapToGrid w:val="0"/>
      <w:sz w:val="30"/>
      <w:szCs w:val="20"/>
    </w:rPr>
  </w:style>
  <w:style w:type="paragraph" w:styleId="5">
    <w:name w:val="heading 3"/>
    <w:basedOn w:val="1"/>
    <w:next w:val="1"/>
    <w:link w:val="47"/>
    <w:qFormat/>
    <w:uiPriority w:val="0"/>
    <w:pPr>
      <w:numPr>
        <w:ilvl w:val="2"/>
        <w:numId w:val="1"/>
      </w:numPr>
      <w:tabs>
        <w:tab w:val="left" w:pos="0"/>
      </w:tabs>
      <w:ind w:left="0" w:firstLine="0" w:firstLineChars="0"/>
      <w:outlineLvl w:val="2"/>
    </w:pPr>
    <w:rPr>
      <w:rFonts w:ascii="Times New Roman" w:hAnsi="Times New Roman"/>
      <w:b/>
      <w:bCs/>
      <w:szCs w:val="32"/>
    </w:rPr>
  </w:style>
  <w:style w:type="paragraph" w:styleId="6">
    <w:name w:val="heading 4"/>
    <w:basedOn w:val="1"/>
    <w:next w:val="1"/>
    <w:link w:val="48"/>
    <w:qFormat/>
    <w:uiPriority w:val="0"/>
    <w:pPr>
      <w:keepNext/>
      <w:keepLines/>
      <w:numPr>
        <w:ilvl w:val="3"/>
        <w:numId w:val="1"/>
      </w:numPr>
      <w:tabs>
        <w:tab w:val="left" w:pos="0"/>
      </w:tabs>
      <w:ind w:left="0" w:firstLine="720"/>
      <w:outlineLvl w:val="3"/>
    </w:pPr>
    <w:rPr>
      <w:kern w:val="0"/>
      <w:szCs w:val="20"/>
    </w:rPr>
  </w:style>
  <w:style w:type="paragraph" w:styleId="7">
    <w:name w:val="heading 5"/>
    <w:basedOn w:val="1"/>
    <w:next w:val="1"/>
    <w:qFormat/>
    <w:uiPriority w:val="0"/>
    <w:pPr>
      <w:keepNext/>
      <w:keepLines/>
      <w:numPr>
        <w:ilvl w:val="4"/>
        <w:numId w:val="1"/>
      </w:numPr>
      <w:spacing w:before="280" w:after="290" w:line="372" w:lineRule="auto"/>
      <w:ind w:firstLine="0" w:firstLineChars="0"/>
      <w:outlineLvl w:val="4"/>
    </w:pPr>
    <w:rPr>
      <w:b/>
      <w:sz w:val="28"/>
    </w:rPr>
  </w:style>
  <w:style w:type="paragraph" w:styleId="8">
    <w:name w:val="heading 6"/>
    <w:basedOn w:val="1"/>
    <w:next w:val="1"/>
    <w:qFormat/>
    <w:uiPriority w:val="0"/>
    <w:pPr>
      <w:keepNext/>
      <w:keepLines/>
      <w:numPr>
        <w:ilvl w:val="5"/>
        <w:numId w:val="1"/>
      </w:numPr>
      <w:spacing w:before="240" w:after="64" w:line="317" w:lineRule="auto"/>
      <w:ind w:firstLine="0" w:firstLineChars="0"/>
      <w:outlineLvl w:val="5"/>
    </w:pPr>
    <w:rPr>
      <w:rFonts w:ascii="Arial" w:hAnsi="Arial" w:eastAsia="黑体"/>
      <w:b/>
    </w:rPr>
  </w:style>
  <w:style w:type="paragraph" w:styleId="9">
    <w:name w:val="heading 7"/>
    <w:basedOn w:val="1"/>
    <w:next w:val="1"/>
    <w:qFormat/>
    <w:uiPriority w:val="0"/>
    <w:pPr>
      <w:keepNext/>
      <w:keepLines/>
      <w:numPr>
        <w:ilvl w:val="6"/>
        <w:numId w:val="1"/>
      </w:numPr>
      <w:spacing w:before="240" w:after="64" w:line="317" w:lineRule="auto"/>
      <w:ind w:firstLine="0" w:firstLineChars="0"/>
      <w:outlineLvl w:val="6"/>
    </w:pPr>
    <w:rPr>
      <w:b/>
    </w:rPr>
  </w:style>
  <w:style w:type="paragraph" w:styleId="10">
    <w:name w:val="heading 8"/>
    <w:basedOn w:val="1"/>
    <w:next w:val="1"/>
    <w:qFormat/>
    <w:uiPriority w:val="0"/>
    <w:pPr>
      <w:keepNext/>
      <w:keepLines/>
      <w:numPr>
        <w:ilvl w:val="7"/>
        <w:numId w:val="1"/>
      </w:numPr>
      <w:spacing w:before="240" w:after="64" w:line="317" w:lineRule="auto"/>
      <w:ind w:firstLine="0" w:firstLineChars="0"/>
      <w:outlineLvl w:val="7"/>
    </w:pPr>
    <w:rPr>
      <w:rFonts w:ascii="Arial" w:hAnsi="Arial" w:eastAsia="黑体"/>
    </w:rPr>
  </w:style>
  <w:style w:type="paragraph" w:styleId="11">
    <w:name w:val="heading 9"/>
    <w:basedOn w:val="1"/>
    <w:next w:val="1"/>
    <w:qFormat/>
    <w:uiPriority w:val="0"/>
    <w:pPr>
      <w:keepNext/>
      <w:keepLines/>
      <w:numPr>
        <w:ilvl w:val="8"/>
        <w:numId w:val="1"/>
      </w:numPr>
      <w:spacing w:before="240" w:after="64" w:line="317" w:lineRule="auto"/>
      <w:ind w:firstLine="0" w:firstLineChars="0"/>
      <w:outlineLvl w:val="8"/>
    </w:pPr>
    <w:rPr>
      <w:rFonts w:ascii="Arial" w:hAnsi="Arial" w:eastAsia="黑体"/>
      <w:sz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3">
    <w:name w:val="正文2"/>
    <w:basedOn w:val="1"/>
    <w:qFormat/>
    <w:uiPriority w:val="0"/>
    <w:pPr>
      <w:spacing w:line="360" w:lineRule="auto"/>
      <w:ind w:firstLine="420" w:firstLineChars="200"/>
    </w:pPr>
  </w:style>
  <w:style w:type="paragraph" w:styleId="12">
    <w:name w:val="Normal Indent"/>
    <w:basedOn w:val="1"/>
    <w:next w:val="1"/>
    <w:qFormat/>
    <w:uiPriority w:val="0"/>
    <w:pPr>
      <w:ind w:firstLine="420"/>
    </w:pPr>
    <w:rPr>
      <w:sz w:val="28"/>
      <w:szCs w:val="20"/>
    </w:rPr>
  </w:style>
  <w:style w:type="paragraph" w:styleId="13">
    <w:name w:val="caption"/>
    <w:basedOn w:val="1"/>
    <w:next w:val="1"/>
    <w:qFormat/>
    <w:uiPriority w:val="0"/>
    <w:rPr>
      <w:rFonts w:ascii="宋体" w:hAnsi="宋体"/>
      <w:b/>
      <w:bCs/>
    </w:rPr>
  </w:style>
  <w:style w:type="paragraph" w:styleId="14">
    <w:name w:val="annotation text"/>
    <w:basedOn w:val="1"/>
    <w:link w:val="67"/>
    <w:qFormat/>
    <w:uiPriority w:val="0"/>
    <w:pPr>
      <w:jc w:val="left"/>
    </w:pPr>
  </w:style>
  <w:style w:type="paragraph" w:styleId="15">
    <w:name w:val="Body Text"/>
    <w:basedOn w:val="1"/>
    <w:qFormat/>
    <w:uiPriority w:val="0"/>
    <w:pPr>
      <w:widowControl/>
      <w:snapToGrid w:val="0"/>
      <w:spacing w:before="60" w:after="160" w:line="259" w:lineRule="auto"/>
      <w:ind w:right="113"/>
    </w:pPr>
    <w:rPr>
      <w:kern w:val="0"/>
      <w:sz w:val="18"/>
      <w:szCs w:val="20"/>
    </w:rPr>
  </w:style>
  <w:style w:type="paragraph" w:styleId="16">
    <w:name w:val="Body Text Indent"/>
    <w:basedOn w:val="1"/>
    <w:next w:val="17"/>
    <w:qFormat/>
    <w:uiPriority w:val="0"/>
    <w:pPr>
      <w:spacing w:after="120"/>
      <w:ind w:left="420" w:leftChars="200"/>
    </w:pPr>
    <w:rPr>
      <w:rFonts w:ascii="Times New Roman" w:hAnsi="Times New Roman"/>
      <w:szCs w:val="20"/>
    </w:rPr>
  </w:style>
  <w:style w:type="paragraph" w:styleId="17">
    <w:name w:val="toc 9"/>
    <w:basedOn w:val="1"/>
    <w:next w:val="1"/>
    <w:qFormat/>
    <w:uiPriority w:val="0"/>
    <w:pPr>
      <w:ind w:left="1680"/>
      <w:jc w:val="left"/>
    </w:pPr>
    <w:rPr>
      <w:rFonts w:asciiTheme="minorHAnsi" w:hAnsiTheme="minorHAnsi" w:cstheme="minorHAnsi"/>
      <w:sz w:val="18"/>
      <w:szCs w:val="18"/>
    </w:rPr>
  </w:style>
  <w:style w:type="paragraph" w:styleId="18">
    <w:name w:val="Plain Text"/>
    <w:basedOn w:val="1"/>
    <w:next w:val="1"/>
    <w:qFormat/>
    <w:uiPriority w:val="0"/>
    <w:rPr>
      <w:rFonts w:ascii="宋体" w:hAnsi="Courier New"/>
      <w:sz w:val="21"/>
    </w:rPr>
  </w:style>
  <w:style w:type="paragraph" w:styleId="19">
    <w:name w:val="Balloon Text"/>
    <w:basedOn w:val="1"/>
    <w:link w:val="73"/>
    <w:qFormat/>
    <w:uiPriority w:val="0"/>
    <w:pPr>
      <w:spacing w:line="240" w:lineRule="auto"/>
    </w:pPr>
    <w:rPr>
      <w:sz w:val="18"/>
      <w:szCs w:val="18"/>
    </w:rPr>
  </w:style>
  <w:style w:type="paragraph" w:styleId="20">
    <w:name w:val="footer"/>
    <w:basedOn w:val="1"/>
    <w:link w:val="52"/>
    <w:qFormat/>
    <w:uiPriority w:val="99"/>
    <w:pPr>
      <w:tabs>
        <w:tab w:val="center" w:pos="4153"/>
        <w:tab w:val="right" w:pos="8306"/>
      </w:tabs>
      <w:snapToGrid w:val="0"/>
      <w:jc w:val="left"/>
    </w:pPr>
    <w:rPr>
      <w:sz w:val="18"/>
      <w:szCs w:val="18"/>
    </w:rPr>
  </w:style>
  <w:style w:type="paragraph" w:styleId="21">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0"/>
    <w:pPr>
      <w:ind w:firstLine="0" w:firstLineChars="0"/>
    </w:pPr>
  </w:style>
  <w:style w:type="paragraph" w:styleId="23">
    <w:name w:val="toc 4"/>
    <w:basedOn w:val="1"/>
    <w:next w:val="1"/>
    <w:semiHidden/>
    <w:qFormat/>
    <w:uiPriority w:val="0"/>
    <w:pPr>
      <w:ind w:left="630"/>
      <w:jc w:val="left"/>
    </w:pPr>
    <w:rPr>
      <w:sz w:val="18"/>
      <w:szCs w:val="18"/>
    </w:rPr>
  </w:style>
  <w:style w:type="paragraph" w:styleId="24">
    <w:name w:val="List"/>
    <w:basedOn w:val="1"/>
    <w:qFormat/>
    <w:uiPriority w:val="0"/>
    <w:pPr>
      <w:ind w:left="200" w:hanging="200" w:hangingChars="200"/>
      <w:jc w:val="center"/>
    </w:pPr>
  </w:style>
  <w:style w:type="paragraph" w:styleId="25">
    <w:name w:val="toc 2"/>
    <w:basedOn w:val="1"/>
    <w:next w:val="1"/>
    <w:qFormat/>
    <w:uiPriority w:val="0"/>
  </w:style>
  <w:style w:type="paragraph" w:styleId="26">
    <w:name w:val="Normal (Web)"/>
    <w:basedOn w:val="1"/>
    <w:qFormat/>
    <w:uiPriority w:val="0"/>
    <w:pPr>
      <w:spacing w:before="100" w:beforeAutospacing="1" w:after="100" w:afterAutospacing="1"/>
      <w:jc w:val="left"/>
    </w:pPr>
    <w:rPr>
      <w:kern w:val="0"/>
    </w:rPr>
  </w:style>
  <w:style w:type="paragraph" w:styleId="27">
    <w:name w:val="annotation subject"/>
    <w:basedOn w:val="14"/>
    <w:next w:val="14"/>
    <w:link w:val="68"/>
    <w:qFormat/>
    <w:uiPriority w:val="0"/>
    <w:rPr>
      <w:b/>
      <w:bCs/>
    </w:rPr>
  </w:style>
  <w:style w:type="paragraph" w:styleId="28">
    <w:name w:val="Body Text First Indent"/>
    <w:basedOn w:val="15"/>
    <w:next w:val="1"/>
    <w:qFormat/>
    <w:uiPriority w:val="0"/>
    <w:pPr>
      <w:ind w:firstLine="420" w:firstLineChars="100"/>
    </w:pPr>
  </w:style>
  <w:style w:type="paragraph" w:styleId="29">
    <w:name w:val="Body Text First Indent 2"/>
    <w:basedOn w:val="16"/>
    <w:next w:val="1"/>
    <w:qFormat/>
    <w:uiPriority w:val="0"/>
    <w:pPr>
      <w:ind w:firstLine="42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basedOn w:val="32"/>
    <w:qFormat/>
    <w:uiPriority w:val="0"/>
    <w:rPr>
      <w:b/>
    </w:rPr>
  </w:style>
  <w:style w:type="character" w:styleId="34">
    <w:name w:val="page number"/>
    <w:basedOn w:val="32"/>
    <w:qFormat/>
    <w:uiPriority w:val="0"/>
  </w:style>
  <w:style w:type="character" w:styleId="35">
    <w:name w:val="Hyperlink"/>
    <w:basedOn w:val="32"/>
    <w:qFormat/>
    <w:uiPriority w:val="0"/>
    <w:rPr>
      <w:color w:val="0000FF"/>
      <w:u w:val="single"/>
    </w:rPr>
  </w:style>
  <w:style w:type="character" w:styleId="36">
    <w:name w:val="annotation reference"/>
    <w:basedOn w:val="32"/>
    <w:qFormat/>
    <w:uiPriority w:val="0"/>
    <w:rPr>
      <w:sz w:val="21"/>
      <w:szCs w:val="21"/>
    </w:rPr>
  </w:style>
  <w:style w:type="paragraph" w:customStyle="1" w:styleId="37">
    <w:name w:val="Default"/>
    <w:unhideWhenUsed/>
    <w:qFormat/>
    <w:uiPriority w:val="99"/>
    <w:pPr>
      <w:widowControl w:val="0"/>
      <w:autoSpaceDE w:val="0"/>
      <w:autoSpaceDN w:val="0"/>
      <w:adjustRightInd w:val="0"/>
    </w:pPr>
    <w:rPr>
      <w:rFonts w:hint="eastAsia" w:ascii="黑体" w:hAnsi="黑体" w:eastAsia="黑体" w:cs="Times New Roman"/>
      <w:color w:val="000000"/>
      <w:sz w:val="24"/>
      <w:lang w:val="en-US" w:eastAsia="zh-CN" w:bidi="ar-SA"/>
    </w:rPr>
  </w:style>
  <w:style w:type="paragraph" w:customStyle="1" w:styleId="38">
    <w:name w:val="表标题"/>
    <w:next w:val="39"/>
    <w:link w:val="40"/>
    <w:qFormat/>
    <w:uiPriority w:val="0"/>
    <w:pPr>
      <w:tabs>
        <w:tab w:val="left" w:pos="0"/>
      </w:tabs>
      <w:spacing w:line="360" w:lineRule="auto"/>
      <w:jc w:val="center"/>
    </w:pPr>
    <w:rPr>
      <w:rFonts w:ascii="Times New Roman" w:hAnsi="Times New Roman" w:eastAsia="黑体" w:cs="Times New Roman"/>
      <w:sz w:val="24"/>
      <w:lang w:val="en-US" w:eastAsia="zh-CN" w:bidi="ar-SA"/>
    </w:rPr>
  </w:style>
  <w:style w:type="paragraph" w:customStyle="1" w:styleId="39">
    <w:name w:val="表格"/>
    <w:basedOn w:val="24"/>
    <w:next w:val="1"/>
    <w:link w:val="54"/>
    <w:qFormat/>
    <w:uiPriority w:val="0"/>
    <w:pPr>
      <w:tabs>
        <w:tab w:val="left" w:pos="1315"/>
        <w:tab w:val="left" w:pos="2565"/>
      </w:tabs>
      <w:adjustRightInd w:val="0"/>
      <w:spacing w:line="320" w:lineRule="exact"/>
      <w:ind w:firstLine="0" w:firstLineChars="0"/>
      <w:textAlignment w:val="baseline"/>
    </w:pPr>
    <w:rPr>
      <w:rFonts w:ascii="Times New Roman" w:hAnsi="Times New Roman"/>
      <w:spacing w:val="11"/>
      <w:kern w:val="0"/>
      <w:sz w:val="21"/>
      <w:szCs w:val="21"/>
    </w:rPr>
  </w:style>
  <w:style w:type="character" w:customStyle="1" w:styleId="40">
    <w:name w:val="表标题 Char"/>
    <w:link w:val="38"/>
    <w:qFormat/>
    <w:uiPriority w:val="0"/>
    <w:rPr>
      <w:rFonts w:eastAsia="黑体"/>
      <w:sz w:val="24"/>
      <w:lang w:val="en-US" w:eastAsia="zh-CN" w:bidi="ar-SA"/>
    </w:rPr>
  </w:style>
  <w:style w:type="paragraph" w:customStyle="1" w:styleId="41">
    <w:name w:val="表格文字"/>
    <w:next w:val="1"/>
    <w:link w:val="44"/>
    <w:qFormat/>
    <w:uiPriority w:val="0"/>
    <w:pPr>
      <w:spacing w:line="260" w:lineRule="auto"/>
      <w:jc w:val="center"/>
      <w:textAlignment w:val="center"/>
    </w:pPr>
    <w:rPr>
      <w:rFonts w:ascii="Times New Roman" w:hAnsi="Times New Roman" w:eastAsia="宋体" w:cs="Times New Roman"/>
      <w:sz w:val="21"/>
      <w:szCs w:val="21"/>
      <w:lang w:val="en-US" w:eastAsia="zh-CN" w:bidi="ar-SA"/>
    </w:rPr>
  </w:style>
  <w:style w:type="paragraph" w:customStyle="1" w:styleId="42">
    <w:name w:val="表格标题"/>
    <w:basedOn w:val="1"/>
    <w:next w:val="1"/>
    <w:link w:val="43"/>
    <w:qFormat/>
    <w:uiPriority w:val="0"/>
    <w:pPr>
      <w:ind w:firstLine="0" w:firstLineChars="0"/>
      <w:jc w:val="center"/>
    </w:pPr>
    <w:rPr>
      <w:rFonts w:ascii="Times New Roman" w:hAnsi="Times New Roman"/>
      <w:b/>
      <w:szCs w:val="20"/>
    </w:rPr>
  </w:style>
  <w:style w:type="character" w:customStyle="1" w:styleId="43">
    <w:name w:val="表格标题 Char"/>
    <w:link w:val="42"/>
    <w:qFormat/>
    <w:uiPriority w:val="0"/>
    <w:rPr>
      <w:rFonts w:ascii="Times New Roman" w:hAnsi="Times New Roman"/>
      <w:b/>
      <w:szCs w:val="20"/>
    </w:rPr>
  </w:style>
  <w:style w:type="character" w:customStyle="1" w:styleId="44">
    <w:name w:val="表格文字 Char"/>
    <w:link w:val="41"/>
    <w:qFormat/>
    <w:uiPriority w:val="0"/>
    <w:rPr>
      <w:rFonts w:ascii="Times New Roman" w:hAnsi="Times New Roman" w:eastAsia="宋体"/>
      <w:sz w:val="21"/>
      <w:szCs w:val="21"/>
      <w:lang w:val="en-US" w:eastAsia="zh-CN" w:bidi="ar-SA"/>
    </w:rPr>
  </w:style>
  <w:style w:type="paragraph" w:customStyle="1" w:styleId="45">
    <w:name w:val="表格内容"/>
    <w:basedOn w:val="1"/>
    <w:qFormat/>
    <w:uiPriority w:val="99"/>
    <w:pPr>
      <w:tabs>
        <w:tab w:val="left" w:pos="1315"/>
        <w:tab w:val="left" w:pos="2565"/>
      </w:tabs>
      <w:adjustRightInd w:val="0"/>
      <w:snapToGrid w:val="0"/>
      <w:spacing w:line="240" w:lineRule="auto"/>
      <w:ind w:firstLine="0" w:firstLineChars="0"/>
      <w:jc w:val="center"/>
    </w:pPr>
    <w:rPr>
      <w:rFonts w:ascii="Times New Roman" w:hAnsi="Times New Roman"/>
      <w:color w:val="000000"/>
      <w:sz w:val="21"/>
      <w:szCs w:val="21"/>
    </w:rPr>
  </w:style>
  <w:style w:type="paragraph" w:customStyle="1" w:styleId="46">
    <w:name w:val="0正文"/>
    <w:qFormat/>
    <w:uiPriority w:val="0"/>
    <w:pPr>
      <w:widowControl w:val="0"/>
      <w:spacing w:line="360" w:lineRule="auto"/>
      <w:ind w:firstLine="720" w:firstLineChars="200"/>
    </w:pPr>
    <w:rPr>
      <w:rFonts w:ascii="Calibri" w:hAnsi="Calibri" w:eastAsia="仿宋_GB2312" w:cs="Times New Roman"/>
      <w:sz w:val="24"/>
      <w:szCs w:val="22"/>
      <w:lang w:val="en-US" w:eastAsia="zh-CN" w:bidi="ar-SA"/>
    </w:rPr>
  </w:style>
  <w:style w:type="character" w:customStyle="1" w:styleId="47">
    <w:name w:val="标题 3 Char"/>
    <w:basedOn w:val="32"/>
    <w:link w:val="5"/>
    <w:qFormat/>
    <w:uiPriority w:val="0"/>
    <w:rPr>
      <w:rFonts w:ascii="Times New Roman" w:hAnsi="Times New Roman" w:eastAsia="宋体"/>
      <w:b/>
      <w:bCs/>
      <w:kern w:val="2"/>
      <w:sz w:val="24"/>
      <w:szCs w:val="32"/>
    </w:rPr>
  </w:style>
  <w:style w:type="character" w:customStyle="1" w:styleId="48">
    <w:name w:val="标题 4 Char"/>
    <w:link w:val="6"/>
    <w:qFormat/>
    <w:uiPriority w:val="0"/>
    <w:rPr>
      <w:rFonts w:ascii="Times New Roman" w:hAnsi="Times New Roman" w:eastAsia="宋体"/>
      <w:sz w:val="24"/>
    </w:rPr>
  </w:style>
  <w:style w:type="character" w:customStyle="1" w:styleId="49">
    <w:name w:val="标题 1 Char"/>
    <w:link w:val="2"/>
    <w:qFormat/>
    <w:uiPriority w:val="0"/>
    <w:rPr>
      <w:rFonts w:ascii="Times New Roman" w:hAnsi="Times New Roman" w:eastAsia="黑体"/>
      <w:b/>
      <w:color w:val="000000"/>
      <w:kern w:val="44"/>
      <w:sz w:val="32"/>
      <w:lang w:bidi="ar-SA"/>
    </w:rPr>
  </w:style>
  <w:style w:type="paragraph" w:customStyle="1" w:styleId="50">
    <w:name w:val="xl27"/>
    <w:basedOn w:val="1"/>
    <w:next w:val="1"/>
    <w:qFormat/>
    <w:uiPriority w:val="0"/>
    <w:pPr>
      <w:widowControl/>
      <w:pBdr>
        <w:bottom w:val="single" w:color="auto" w:sz="4" w:space="0"/>
        <w:right w:val="single" w:color="auto" w:sz="4" w:space="0"/>
      </w:pBdr>
      <w:spacing w:before="100" w:beforeAutospacing="1" w:after="100" w:afterAutospacing="1"/>
      <w:jc w:val="center"/>
    </w:pPr>
    <w:rPr>
      <w:rFonts w:eastAsia="Arial Unicode MS"/>
      <w:kern w:val="0"/>
      <w:szCs w:val="21"/>
    </w:rPr>
  </w:style>
  <w:style w:type="character" w:customStyle="1" w:styleId="51">
    <w:name w:val="标题 2 Char"/>
    <w:link w:val="4"/>
    <w:qFormat/>
    <w:uiPriority w:val="0"/>
    <w:rPr>
      <w:rFonts w:ascii="宋体" w:hAnsi="宋体" w:eastAsia="宋体"/>
      <w:b/>
      <w:snapToGrid w:val="0"/>
      <w:kern w:val="2"/>
      <w:sz w:val="30"/>
    </w:rPr>
  </w:style>
  <w:style w:type="character" w:customStyle="1" w:styleId="52">
    <w:name w:val="页脚 Char"/>
    <w:basedOn w:val="32"/>
    <w:link w:val="20"/>
    <w:qFormat/>
    <w:uiPriority w:val="99"/>
    <w:rPr>
      <w:rFonts w:hint="eastAsia" w:ascii="宋体" w:hAnsi="宋体" w:eastAsia="宋体" w:cs="宋体"/>
    </w:rPr>
  </w:style>
  <w:style w:type="character" w:customStyle="1" w:styleId="53">
    <w:name w:val="页眉 Char"/>
    <w:basedOn w:val="32"/>
    <w:link w:val="21"/>
    <w:qFormat/>
    <w:uiPriority w:val="99"/>
    <w:rPr>
      <w:rFonts w:hint="eastAsia" w:ascii="宋体" w:hAnsi="宋体" w:eastAsia="宋体" w:cs="宋体"/>
    </w:rPr>
  </w:style>
  <w:style w:type="character" w:customStyle="1" w:styleId="54">
    <w:name w:val="表格 Char1"/>
    <w:link w:val="39"/>
    <w:qFormat/>
    <w:uiPriority w:val="99"/>
    <w:rPr>
      <w:rFonts w:ascii="Times New Roman" w:hAnsi="Times New Roman" w:eastAsia="宋体" w:cs="Times New Roman"/>
      <w:spacing w:val="11"/>
      <w:kern w:val="0"/>
      <w:sz w:val="21"/>
      <w:szCs w:val="21"/>
    </w:rPr>
  </w:style>
  <w:style w:type="paragraph" w:customStyle="1" w:styleId="55">
    <w:name w:val="1正文段落"/>
    <w:basedOn w:val="1"/>
    <w:qFormat/>
    <w:uiPriority w:val="0"/>
    <w:pPr>
      <w:ind w:firstLine="200"/>
    </w:pPr>
    <w:rPr>
      <w:rFonts w:ascii="Times New Roman" w:hAnsi="Times New Roman"/>
      <w:snapToGrid w:val="0"/>
      <w:kern w:val="0"/>
      <w:szCs w:val="21"/>
    </w:rPr>
  </w:style>
  <w:style w:type="paragraph" w:customStyle="1" w:styleId="56">
    <w:name w:val="表格第一行"/>
    <w:next w:val="1"/>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paragraph" w:customStyle="1" w:styleId="57">
    <w:name w:val="表文"/>
    <w:basedOn w:val="1"/>
    <w:qFormat/>
    <w:uiPriority w:val="0"/>
    <w:pPr>
      <w:tabs>
        <w:tab w:val="left" w:pos="1021"/>
      </w:tabs>
      <w:spacing w:line="240" w:lineRule="auto"/>
      <w:ind w:firstLine="0" w:firstLineChars="0"/>
      <w:jc w:val="center"/>
    </w:pPr>
    <w:rPr>
      <w:kern w:val="0"/>
      <w:position w:val="-24"/>
      <w:sz w:val="21"/>
      <w:szCs w:val="21"/>
    </w:rPr>
  </w:style>
  <w:style w:type="paragraph" w:styleId="58">
    <w:name w:val="List Paragraph"/>
    <w:basedOn w:val="1"/>
    <w:qFormat/>
    <w:uiPriority w:val="99"/>
    <w:pPr>
      <w:ind w:firstLine="420"/>
    </w:pPr>
  </w:style>
  <w:style w:type="table" w:customStyle="1" w:styleId="59">
    <w:name w:val="Table Normal"/>
    <w:unhideWhenUsed/>
    <w:qFormat/>
    <w:uiPriority w:val="0"/>
    <w:tblPr>
      <w:tblCellMar>
        <w:top w:w="0" w:type="dxa"/>
        <w:left w:w="0" w:type="dxa"/>
        <w:bottom w:w="0" w:type="dxa"/>
        <w:right w:w="0" w:type="dxa"/>
      </w:tblCellMar>
    </w:tblPr>
  </w:style>
  <w:style w:type="table" w:customStyle="1" w:styleId="60">
    <w:name w:val="TableGrid"/>
    <w:qFormat/>
    <w:uiPriority w:val="0"/>
    <w:rPr>
      <w:rFonts w:ascii="等线" w:hAnsi="等线" w:eastAsia="等线"/>
      <w:kern w:val="2"/>
      <w:sz w:val="21"/>
      <w:szCs w:val="22"/>
    </w:rPr>
    <w:tblPr>
      <w:tblCellMar>
        <w:top w:w="0" w:type="dxa"/>
        <w:left w:w="0" w:type="dxa"/>
        <w:bottom w:w="0" w:type="dxa"/>
        <w:right w:w="0" w:type="dxa"/>
      </w:tblCellMar>
    </w:tblPr>
  </w:style>
  <w:style w:type="paragraph" w:customStyle="1" w:styleId="61">
    <w:name w:val="图片文字"/>
    <w:basedOn w:val="1"/>
    <w:next w:val="1"/>
    <w:qFormat/>
    <w:uiPriority w:val="0"/>
    <w:pPr>
      <w:ind w:firstLine="0" w:firstLineChars="0"/>
      <w:jc w:val="center"/>
    </w:pPr>
    <w:rPr>
      <w:rFonts w:ascii="Times New Roman" w:hAnsi="Times New Roman"/>
      <w:b/>
    </w:rPr>
  </w:style>
  <w:style w:type="paragraph" w:customStyle="1" w:styleId="62">
    <w:name w:val="BT22"/>
    <w:basedOn w:val="4"/>
    <w:next w:val="1"/>
    <w:qFormat/>
    <w:uiPriority w:val="0"/>
    <w:rPr>
      <w:rFonts w:ascii="Times New Roman" w:hAnsi="Times New Roman"/>
      <w:b w:val="0"/>
      <w:kern w:val="0"/>
      <w:sz w:val="20"/>
    </w:rPr>
  </w:style>
  <w:style w:type="paragraph" w:customStyle="1" w:styleId="63">
    <w:name w:val="Table Paragraph"/>
    <w:basedOn w:val="1"/>
    <w:qFormat/>
    <w:uiPriority w:val="1"/>
    <w:pPr>
      <w:jc w:val="center"/>
    </w:pPr>
    <w:rPr>
      <w:rFonts w:ascii="宋体" w:hAnsi="宋体" w:cs="宋体"/>
      <w:lang w:val="zh-CN" w:bidi="zh-CN"/>
    </w:rPr>
  </w:style>
  <w:style w:type="character" w:customStyle="1" w:styleId="64">
    <w:name w:val="font21"/>
    <w:basedOn w:val="32"/>
    <w:qFormat/>
    <w:uiPriority w:val="0"/>
    <w:rPr>
      <w:rFonts w:hint="eastAsia" w:ascii="等线" w:hAnsi="等线" w:eastAsia="等线" w:cs="等线"/>
      <w:color w:val="000000"/>
      <w:sz w:val="22"/>
      <w:szCs w:val="22"/>
      <w:u w:val="none"/>
    </w:rPr>
  </w:style>
  <w:style w:type="character" w:customStyle="1" w:styleId="65">
    <w:name w:val="font11"/>
    <w:basedOn w:val="32"/>
    <w:qFormat/>
    <w:uiPriority w:val="0"/>
    <w:rPr>
      <w:rFonts w:ascii="Calibri" w:hAnsi="Calibri" w:cs="Calibri"/>
      <w:color w:val="000000"/>
      <w:sz w:val="22"/>
      <w:szCs w:val="22"/>
      <w:u w:val="none"/>
    </w:rPr>
  </w:style>
  <w:style w:type="character" w:customStyle="1" w:styleId="66">
    <w:name w:val="font01"/>
    <w:basedOn w:val="32"/>
    <w:qFormat/>
    <w:uiPriority w:val="0"/>
    <w:rPr>
      <w:rFonts w:hint="eastAsia" w:ascii="宋体" w:hAnsi="宋体" w:eastAsia="宋体" w:cs="宋体"/>
      <w:color w:val="000000"/>
      <w:sz w:val="22"/>
      <w:szCs w:val="22"/>
      <w:u w:val="none"/>
    </w:rPr>
  </w:style>
  <w:style w:type="character" w:customStyle="1" w:styleId="67">
    <w:name w:val="批注文字 Char"/>
    <w:basedOn w:val="32"/>
    <w:link w:val="14"/>
    <w:qFormat/>
    <w:uiPriority w:val="0"/>
    <w:rPr>
      <w:rFonts w:ascii="Calibri" w:hAnsi="Calibri"/>
      <w:kern w:val="2"/>
      <w:sz w:val="24"/>
      <w:szCs w:val="24"/>
    </w:rPr>
  </w:style>
  <w:style w:type="character" w:customStyle="1" w:styleId="68">
    <w:name w:val="批注主题 Char"/>
    <w:basedOn w:val="67"/>
    <w:link w:val="27"/>
    <w:qFormat/>
    <w:uiPriority w:val="0"/>
    <w:rPr>
      <w:rFonts w:ascii="Calibri" w:hAnsi="Calibri"/>
      <w:b/>
      <w:bCs/>
      <w:kern w:val="2"/>
      <w:sz w:val="24"/>
      <w:szCs w:val="24"/>
    </w:rPr>
  </w:style>
  <w:style w:type="character" w:customStyle="1" w:styleId="69">
    <w:name w:val="cf01"/>
    <w:basedOn w:val="32"/>
    <w:qFormat/>
    <w:uiPriority w:val="0"/>
    <w:rPr>
      <w:rFonts w:hint="eastAsia" w:ascii="Microsoft YaHei UI" w:hAnsi="Microsoft YaHei UI" w:eastAsia="Microsoft YaHei UI"/>
      <w:sz w:val="18"/>
      <w:szCs w:val="18"/>
    </w:rPr>
  </w:style>
  <w:style w:type="character" w:customStyle="1" w:styleId="70">
    <w:name w:val="cf11"/>
    <w:basedOn w:val="32"/>
    <w:qFormat/>
    <w:uiPriority w:val="0"/>
    <w:rPr>
      <w:rFonts w:hint="eastAsia" w:ascii="Microsoft YaHei UI" w:hAnsi="Microsoft YaHei UI" w:eastAsia="Microsoft YaHei UI"/>
      <w:sz w:val="18"/>
      <w:szCs w:val="18"/>
    </w:rPr>
  </w:style>
  <w:style w:type="character" w:customStyle="1" w:styleId="71">
    <w:name w:val="font31"/>
    <w:basedOn w:val="32"/>
    <w:qFormat/>
    <w:uiPriority w:val="0"/>
    <w:rPr>
      <w:rFonts w:hint="default" w:ascii="Times New Roman" w:hAnsi="Times New Roman" w:cs="Times New Roman"/>
      <w:color w:val="000000"/>
      <w:sz w:val="21"/>
      <w:szCs w:val="21"/>
      <w:u w:val="none"/>
    </w:rPr>
  </w:style>
  <w:style w:type="character" w:customStyle="1" w:styleId="72">
    <w:name w:val="font41"/>
    <w:basedOn w:val="32"/>
    <w:qFormat/>
    <w:uiPriority w:val="0"/>
    <w:rPr>
      <w:rFonts w:hint="eastAsia" w:ascii="宋体" w:hAnsi="宋体" w:eastAsia="宋体" w:cs="宋体"/>
      <w:color w:val="000000"/>
      <w:sz w:val="21"/>
      <w:szCs w:val="21"/>
      <w:u w:val="none"/>
    </w:rPr>
  </w:style>
  <w:style w:type="character" w:customStyle="1" w:styleId="73">
    <w:name w:val="批注框文本 Char"/>
    <w:basedOn w:val="32"/>
    <w:link w:val="19"/>
    <w:qFormat/>
    <w:uiPriority w:val="0"/>
    <w:rPr>
      <w:rFonts w:ascii="Calibri" w:hAnsi="Calibri"/>
      <w:kern w:val="2"/>
      <w:sz w:val="18"/>
      <w:szCs w:val="18"/>
    </w:rPr>
  </w:style>
  <w:style w:type="paragraph" w:customStyle="1" w:styleId="74">
    <w:name w:val="7表格文字"/>
    <w:basedOn w:val="1"/>
    <w:qFormat/>
    <w:uiPriority w:val="0"/>
    <w:pPr>
      <w:spacing w:line="240" w:lineRule="auto"/>
      <w:ind w:firstLine="0" w:firstLineChars="0"/>
      <w:jc w:val="center"/>
    </w:pPr>
    <w:rPr>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0.jpe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header" Target="head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wmf"/><Relationship Id="rId44" Type="http://schemas.openxmlformats.org/officeDocument/2006/relationships/oleObject" Target="embeddings/oleObject15.bin"/><Relationship Id="rId43" Type="http://schemas.openxmlformats.org/officeDocument/2006/relationships/oleObject" Target="embeddings/oleObject14.bin"/><Relationship Id="rId42" Type="http://schemas.openxmlformats.org/officeDocument/2006/relationships/image" Target="media/image19.wmf"/><Relationship Id="rId41" Type="http://schemas.openxmlformats.org/officeDocument/2006/relationships/oleObject" Target="embeddings/oleObject13.bin"/><Relationship Id="rId40" Type="http://schemas.openxmlformats.org/officeDocument/2006/relationships/oleObject" Target="embeddings/oleObject12.bin"/><Relationship Id="rId4" Type="http://schemas.openxmlformats.org/officeDocument/2006/relationships/endnotes" Target="endnotes.xml"/><Relationship Id="rId39" Type="http://schemas.openxmlformats.org/officeDocument/2006/relationships/oleObject" Target="embeddings/oleObject11.bin"/><Relationship Id="rId38" Type="http://schemas.openxmlformats.org/officeDocument/2006/relationships/image" Target="media/image18.wmf"/><Relationship Id="rId37" Type="http://schemas.openxmlformats.org/officeDocument/2006/relationships/oleObject" Target="embeddings/oleObject10.bin"/><Relationship Id="rId36" Type="http://schemas.openxmlformats.org/officeDocument/2006/relationships/image" Target="media/image17.wmf"/><Relationship Id="rId35" Type="http://schemas.openxmlformats.org/officeDocument/2006/relationships/oleObject" Target="embeddings/oleObject9.bin"/><Relationship Id="rId34" Type="http://schemas.openxmlformats.org/officeDocument/2006/relationships/image" Target="media/image16.wmf"/><Relationship Id="rId33" Type="http://schemas.openxmlformats.org/officeDocument/2006/relationships/oleObject" Target="embeddings/oleObject8.bin"/><Relationship Id="rId32" Type="http://schemas.openxmlformats.org/officeDocument/2006/relationships/image" Target="media/image15.wmf"/><Relationship Id="rId31" Type="http://schemas.openxmlformats.org/officeDocument/2006/relationships/oleObject" Target="embeddings/oleObject7.bin"/><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3.wmf"/><Relationship Id="rId27" Type="http://schemas.openxmlformats.org/officeDocument/2006/relationships/oleObject" Target="embeddings/oleObject5.bin"/><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4.bin"/><Relationship Id="rId17" Type="http://schemas.openxmlformats.org/officeDocument/2006/relationships/image" Target="media/image4.wmf"/><Relationship Id="rId16" Type="http://schemas.openxmlformats.org/officeDocument/2006/relationships/oleObject" Target="embeddings/oleObject3.bin"/><Relationship Id="rId15" Type="http://schemas.openxmlformats.org/officeDocument/2006/relationships/image" Target="media/image3.wmf"/><Relationship Id="rId14" Type="http://schemas.openxmlformats.org/officeDocument/2006/relationships/oleObject" Target="embeddings/oleObject2.bin"/><Relationship Id="rId13" Type="http://schemas.openxmlformats.org/officeDocument/2006/relationships/image" Target="media/image2.wmf"/><Relationship Id="rId12" Type="http://schemas.openxmlformats.org/officeDocument/2006/relationships/oleObject" Target="embeddings/oleObject1.bin"/><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Tk1NTcwNDMxMjE1IiwKCSJHcm91cElkIiA6ICI3NjMxNzU3MjUiLAoJIkltYWdlIiA6ICJpVkJPUncwS0dnb0FBQUFOU1VoRVVnQUFBejhBQUFGWUNBWUFBQUI5TzBLSUFBQUFDWEJJV1hNQUFBc1RBQUFMRXdFQW1wd1lBQUFnQUVsRVFWUjRuTzNkZTN3VTVkMy8vL2ZNQmpBaHhCWUZoVXJsVUxYOHJFSTJISXg0QUN4V0txV2lvbFVnZ25KU2ZoaGI1R0J1T2FxQUZiUjNRRUQwVmdRS0NnakswVUpGTWRnSXVna1VRYXRHUURsb09LZ2hoR1N6dTlmM0Q5aHRRaEpJTU1sbU02L240OEZqZDY3cm1wblBMRFBaL2V4MXpiVVN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181</Pages>
  <Words>7450</Words>
  <Characters>7905</Characters>
  <Lines>1552</Lines>
  <Paragraphs>437</Paragraphs>
  <TotalTime>0</TotalTime>
  <ScaleCrop>false</ScaleCrop>
  <LinksUpToDate>false</LinksUpToDate>
  <CharactersWithSpaces>8031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2022-08-12T02:58:00Z</dcterms:created>
  <dc:creator>sunny</dc:creator>
  <cp:lastModifiedBy>XQD</cp:lastModifiedBy>
  <cp:lastPrinted>2022-10-18T08:47:00Z</cp:lastPrinted>
  <dcterms:modified xsi:type="dcterms:W3CDTF">2025-03-04T09:29:52Z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6E29FFBDDA9F467CAA265E1D1297C536_13</vt:lpwstr>
  </property>
  <property fmtid="{D5CDD505-2E9C-101B-9397-08002B2CF9AE}" pid="4" name="KSOTemplateDocerSaveRecord">
    <vt:lpwstr>eyJoZGlkIjoiMmYzNGE0ZjFiYWVhMDRkNDY1MTQ2OGU2ZmFkZjIwN2IiLCJ1c2VySWQiOiIzODg4OTkxNjgifQ==</vt:lpwstr>
  </property>
</Properties>
</file>